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Sun Microsystem Pvt Ltd - 90-9-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77908954090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Chennai-98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Cuddalore-1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09-11-2023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Ammenometer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24-11-2023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