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DADB" w14:textId="77777777" w:rsidR="00B7465A" w:rsidRPr="00B7465A" w:rsidRDefault="00B7465A" w:rsidP="00B7465A">
      <w:pPr>
        <w:spacing w:line="300" w:lineRule="auto"/>
        <w:jc w:val="both"/>
        <w:rPr>
          <w:rFonts w:cs="Calibri"/>
          <w:b/>
          <w:color w:val="000000" w:themeColor="text1"/>
          <w:lang w:val="pt-BR"/>
        </w:rPr>
      </w:pPr>
      <w:bookmarkStart w:id="0" w:name="_Hlk521322512"/>
      <w:r>
        <w:rPr>
          <w:rFonts w:cs="Calibri"/>
          <w:b/>
          <w:color w:val="000000" w:themeColor="text1"/>
          <w:lang w:val="pt-BR"/>
        </w:rPr>
        <w:t>EXCELENTÍSSIMO(A) SENHOR(A) DOUTOR(A) JUIZ(A) DE DIREITO DA M.M. ____ª VARA DO JUIZADO ESPECIAL DA FAZENDA PÚBLICA ESTADUAL E MUNICIPAL DA COMARCA DE MANAUS/AM</w:t>
      </w:r>
    </w:p>
    <w:p w14:paraId="74B6B30F" w14:textId="77777777" w:rsidR="00B7465A" w:rsidRPr="00B7465A" w:rsidRDefault="00B7465A" w:rsidP="00B7465A">
      <w:pPr>
        <w:spacing w:line="300" w:lineRule="auto"/>
        <w:jc w:val="both"/>
        <w:rPr>
          <w:rFonts w:cs="Calibri"/>
          <w:bCs/>
          <w:color w:val="000000" w:themeColor="text1"/>
          <w:lang w:val="pt-BR"/>
        </w:rPr>
      </w:pPr>
    </w:p>
    <w:p w14:paraId="20004CCC" w14:textId="77777777" w:rsidR="00B7465A" w:rsidRPr="00B7465A" w:rsidRDefault="00B7465A" w:rsidP="00B7465A">
      <w:pPr>
        <w:spacing w:line="300" w:lineRule="auto"/>
        <w:jc w:val="both"/>
        <w:rPr>
          <w:rFonts w:cs="Calibri"/>
          <w:bCs/>
          <w:color w:val="000000" w:themeColor="text1"/>
          <w:lang w:val="pt-BR"/>
        </w:rPr>
      </w:pPr>
    </w:p>
    <w:p w14:paraId="468EFBCF" w14:textId="77777777" w:rsidR="00B7465A" w:rsidRPr="00B7465A" w:rsidRDefault="00B7465A" w:rsidP="00B7465A">
      <w:pPr>
        <w:spacing w:line="300" w:lineRule="auto"/>
        <w:jc w:val="both"/>
        <w:rPr>
          <w:rFonts w:cs="Calibri"/>
          <w:bCs/>
          <w:color w:val="000000" w:themeColor="text1"/>
          <w:lang w:val="pt-BR"/>
        </w:rPr>
      </w:pPr>
    </w:p>
    <w:p w14:paraId="765F1BE6" w14:textId="77777777" w:rsidR="00B7465A" w:rsidRPr="00B7465A" w:rsidRDefault="00B7465A" w:rsidP="00B7465A">
      <w:pPr>
        <w:spacing w:line="300" w:lineRule="auto"/>
        <w:jc w:val="both"/>
        <w:rPr>
          <w:rFonts w:cs="Calibri"/>
          <w:bCs/>
          <w:color w:val="000000" w:themeColor="text1"/>
          <w:lang w:val="pt-BR"/>
        </w:rPr>
      </w:pPr>
    </w:p>
    <w:p w14:paraId="39BE2F61" w14:textId="77777777" w:rsidR="00B7465A" w:rsidRPr="00B7465A" w:rsidRDefault="00B7465A" w:rsidP="00B7465A">
      <w:pPr>
        <w:spacing w:line="300" w:lineRule="auto"/>
        <w:jc w:val="both"/>
        <w:rPr>
          <w:rFonts w:cs="Calibri"/>
          <w:bCs/>
          <w:color w:val="000000" w:themeColor="text1"/>
          <w:lang w:val="pt-BR"/>
        </w:rPr>
      </w:pPr>
    </w:p>
    <w:p w14:paraId="5567272D" w14:textId="77777777" w:rsidR="00B7465A" w:rsidRPr="00B7465A" w:rsidRDefault="00B7465A" w:rsidP="00B7465A">
      <w:pPr>
        <w:spacing w:line="300" w:lineRule="auto"/>
        <w:jc w:val="both"/>
        <w:rPr>
          <w:rFonts w:cs="Calibri"/>
          <w:b/>
          <w:lang w:val="pt-BR"/>
        </w:rPr>
      </w:pPr>
    </w:p>
    <w:p w14:paraId="7156D804" w14:textId="77777777" w:rsidR="00B7465A" w:rsidRPr="00B7465A" w:rsidRDefault="00B7465A" w:rsidP="00B7465A">
      <w:pPr>
        <w:spacing w:line="300" w:lineRule="auto"/>
        <w:jc w:val="both"/>
        <w:rPr>
          <w:rFonts w:cs="Calibri"/>
          <w:b/>
          <w:color w:val="000000" w:themeColor="text1"/>
          <w:lang w:val="pt-BR"/>
        </w:rPr>
      </w:pPr>
    </w:p>
    <w:p w14:paraId="2BA9F629" w14:textId="77777777" w:rsidR="00B7465A" w:rsidRPr="00B7465A" w:rsidRDefault="00B7465A" w:rsidP="00B7465A">
      <w:pPr>
        <w:spacing w:line="300" w:lineRule="auto"/>
        <w:jc w:val="both"/>
        <w:rPr>
          <w:rFonts w:cs="Calibri"/>
          <w:b/>
          <w:color w:val="000000" w:themeColor="text1"/>
          <w:lang w:val="pt-BR"/>
        </w:rPr>
      </w:pPr>
    </w:p>
    <w:p w14:paraId="32553B2B" w14:textId="77777777" w:rsidR="00B7465A" w:rsidRPr="00B7465A" w:rsidRDefault="00B7465A" w:rsidP="00B7465A">
      <w:pPr>
        <w:spacing w:line="300" w:lineRule="auto"/>
        <w:jc w:val="both"/>
        <w:rPr>
          <w:rFonts w:cs="Calibri"/>
          <w:b/>
          <w:color w:val="000000" w:themeColor="text1"/>
          <w:lang w:val="pt-BR"/>
        </w:rPr>
      </w:pPr>
    </w:p>
    <w:p w14:paraId="0ACBA3E9" w14:textId="6233F14C" w:rsidR="00B7465A" w:rsidRPr="00B7465A" w:rsidRDefault="00B7465A" w:rsidP="00B7465A">
      <w:pPr>
        <w:tabs>
          <w:tab w:val="left" w:pos="2694"/>
        </w:tabs>
        <w:spacing w:line="300" w:lineRule="auto"/>
        <w:ind w:firstLine="1418"/>
        <w:jc w:val="both"/>
        <w:rPr>
          <w:rFonts w:cs="Calibri"/>
          <w:color w:val="000000" w:themeColor="text1"/>
          <w:lang w:val="pt-BR"/>
        </w:rPr>
      </w:pPr>
      <w:bookmarkStart w:id="1" w:name="_Hlk198289192"/>
      <w:bookmarkStart w:id="2" w:name="_Hlk69475933"/>
      <w:r>
        <w:rPr>
          <w:rFonts w:cs="Calibri"/>
          <w:b/>
          <w:color w:val="000000" w:themeColor="text1"/>
          <w:lang w:val="pt-BR"/>
        </w:rPr>
        <w:t>{{NOME_COMPLETO}},</w:t>
      </w:r>
      <w:r>
        <w:rPr>
          <w:rFonts w:cs="Calibri"/>
          <w:color w:val="000000" w:themeColor="text1"/>
          <w:lang w:val="pt-BR"/>
        </w:rPr>
        <w:t xml:space="preserve"> {{QUALIFICACAO}}, detentor da cédula de identidade n° {{RG}} e do CPF n° {{CPF}}, residente e domiciliado nesta cidade, {{ENDERECO_CLIENTE}}, por seus advogados que esta subscrevem (procuração em anexo), com escritório profissional a Rua Salvador, n˚ 120, sala 708, 7˚ andar – Edifício Vieiralves Business Center, bairro: Adrianópolis, Manaus/AM – Cep: 69.057-040, e-mail </w:t>
      </w:r>
      <w:hyperlink r:id="rId8" w:history="1">
        <w:r>
          <w:rPr>
            <w:rStyle w:val="Hyperlink"/>
            <w:rFonts w:cs="Calibri"/>
            <w:u w:val="none"/>
            <w:lang w:val="pt-BR"/>
          </w:rPr>
          <w:t>juridico@bentesramos.adv.br</w:t>
        </w:r>
      </w:hyperlink>
      <w:r>
        <w:rPr>
          <w:rFonts w:cs="Calibri"/>
          <w:color w:val="000000" w:themeColor="text1"/>
          <w:lang w:val="pt-BR"/>
        </w:rPr>
        <w:t xml:space="preserve"> e </w:t>
      </w:r>
      <w:r>
        <w:rPr>
          <w:rFonts w:cs="Calibri"/>
          <w:b/>
          <w:bCs/>
          <w:color w:val="000000" w:themeColor="text1"/>
          <w:lang w:val="pt-BR"/>
        </w:rPr>
        <w:t>WhatsApp (92) 99160-4348 / 98223-7330</w:t>
      </w:r>
      <w:r>
        <w:rPr>
          <w:rFonts w:cs="Calibri"/>
          <w:color w:val="000000" w:themeColor="text1"/>
          <w:lang w:val="pt-BR"/>
        </w:rPr>
        <w:t>, onde recebem intimações e demais atos processuais, vem, respeitosamente, a presença de Vossa Excelência, propor a presente</w:t>
      </w:r>
      <w:bookmarkEnd w:id="1"/>
    </w:p>
    <w:bookmarkEnd w:id="2"/>
    <w:p w14:paraId="415BD977" w14:textId="77777777" w:rsidR="00B7465A" w:rsidRPr="00B7465A" w:rsidRDefault="00B7465A" w:rsidP="00B7465A">
      <w:pPr>
        <w:spacing w:line="300" w:lineRule="auto"/>
        <w:jc w:val="both"/>
        <w:rPr>
          <w:rFonts w:cs="Calibri"/>
          <w:color w:val="000000" w:themeColor="text1"/>
          <w:lang w:val="pt-BR"/>
        </w:rPr>
      </w:pPr>
    </w:p>
    <w:p w14:paraId="7BB2906E"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themeColor="text1"/>
          <w:lang w:val="pt-BR"/>
        </w:rPr>
      </w:pPr>
      <w:r>
        <w:rPr>
          <w:rFonts w:cs="Calibri"/>
          <w:b/>
          <w:color w:val="000000" w:themeColor="text1"/>
          <w:lang w:val="pt-BR"/>
        </w:rPr>
        <w:t>{{TIPO_ACAO}}</w:t>
      </w:r>
    </w:p>
    <w:p w14:paraId="0C5BC2E0" w14:textId="77777777" w:rsidR="00B7465A" w:rsidRPr="00B7465A" w:rsidRDefault="00B7465A" w:rsidP="00B7465A">
      <w:pPr>
        <w:spacing w:line="300" w:lineRule="auto"/>
        <w:jc w:val="both"/>
        <w:rPr>
          <w:rFonts w:cs="Calibri"/>
          <w:color w:val="000000" w:themeColor="text1"/>
          <w:lang w:val="pt-BR"/>
        </w:rPr>
      </w:pPr>
    </w:p>
    <w:p w14:paraId="374FC90B" w14:textId="77777777" w:rsidR="00B7465A" w:rsidRPr="00B7465A" w:rsidRDefault="00B7465A" w:rsidP="00B7465A">
      <w:pPr>
        <w:spacing w:line="300" w:lineRule="auto"/>
        <w:jc w:val="both"/>
        <w:rPr>
          <w:rFonts w:cs="Calibri"/>
          <w:color w:val="000000" w:themeColor="text1"/>
          <w:lang w:val="pt-BR"/>
        </w:rPr>
      </w:pPr>
      <w:r>
        <w:rPr>
          <w:rFonts w:cs="Calibri"/>
          <w:color w:val="000000" w:themeColor="text1"/>
          <w:lang w:val="pt-BR"/>
        </w:rPr>
        <w:t xml:space="preserve">em face do </w:t>
      </w:r>
      <w:r>
        <w:rPr>
          <w:rFonts w:cs="Calibri"/>
          <w:b/>
          <w:color w:val="000000" w:themeColor="text1"/>
          <w:lang w:val="pt-BR"/>
        </w:rPr>
        <w:t>{{REU_NOME}}</w:t>
      </w:r>
      <w:r>
        <w:rPr>
          <w:rFonts w:eastAsia="Batang" w:cs="Calibri"/>
          <w:color w:val="000000" w:themeColor="text1"/>
          <w:lang w:val="pt-BR"/>
        </w:rPr>
        <w:t xml:space="preserve">, </w:t>
      </w:r>
      <w:r>
        <w:rPr>
          <w:rFonts w:eastAsia="Batang" w:cs="Calibri"/>
          <w:iCs/>
          <w:color w:val="000000" w:themeColor="text1"/>
          <w:lang w:val="pt-BR"/>
        </w:rPr>
        <w:t>pessoa jurídica de direito público interno, inscrito no CNPJ n.˚ 04.312.369/0001-90, na pessoa do Procurador Geral do Estado, podendo ser citado na sede da Procuradoria Geral do Estado, à Rua Emilio Moreira, nº 1308, Praça 14 de janeiro, Manaus/AM</w:t>
      </w:r>
      <w:r>
        <w:rPr>
          <w:rFonts w:cs="Calibri"/>
          <w:color w:val="000000" w:themeColor="text1"/>
          <w:shd w:val="clear" w:color="auto" w:fill="FFFFFF"/>
          <w:lang w:val="pt-BR"/>
        </w:rPr>
        <w:t xml:space="preserve">, </w:t>
      </w:r>
      <w:r>
        <w:rPr>
          <w:rFonts w:eastAsia="Batang" w:cs="Calibri"/>
          <w:bCs/>
          <w:color w:val="000000" w:themeColor="text1"/>
          <w:lang w:val="pt-BR"/>
        </w:rPr>
        <w:t>pelos seguintes fundamentos de fato e de direito:</w:t>
      </w:r>
    </w:p>
    <w:p w14:paraId="0AE07148" w14:textId="77777777" w:rsidR="00B7465A" w:rsidRPr="00B7465A" w:rsidRDefault="00B7465A" w:rsidP="00B7465A">
      <w:pPr>
        <w:spacing w:line="300" w:lineRule="auto"/>
        <w:jc w:val="both"/>
        <w:rPr>
          <w:rFonts w:cs="Calibri"/>
          <w:color w:val="000000" w:themeColor="text1"/>
          <w:lang w:val="pt-BR"/>
        </w:rPr>
      </w:pPr>
      <w:r>
        <w:rPr>
          <w:rFonts w:cs="Calibri"/>
          <w:color w:val="000000" w:themeColor="text1"/>
          <w:lang w:val="pt-BR"/>
        </w:rPr>
        <w:t xml:space="preserve"> </w:t>
      </w:r>
    </w:p>
    <w:p w14:paraId="5F66992B"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themeColor="text1"/>
          <w:lang w:val="pt-BR"/>
        </w:rPr>
      </w:pPr>
      <w:r>
        <w:rPr>
          <w:rFonts w:cs="Calibri"/>
          <w:b/>
          <w:color w:val="000000" w:themeColor="text1"/>
          <w:lang w:val="pt-BR"/>
        </w:rPr>
        <w:t>1 – DOS REQUERIMENTOS PRÉVIOS</w:t>
      </w:r>
    </w:p>
    <w:p w14:paraId="7E0EE16E" w14:textId="77777777" w:rsidR="00B7465A" w:rsidRPr="00B7465A" w:rsidRDefault="00B7465A" w:rsidP="00B7465A">
      <w:pPr>
        <w:spacing w:line="300" w:lineRule="auto"/>
        <w:jc w:val="both"/>
        <w:rPr>
          <w:rFonts w:eastAsia="Times New Roman" w:cs="Calibri"/>
          <w:color w:val="000000" w:themeColor="text1"/>
          <w:lang w:val="pt-BR" w:eastAsia="pt-BR"/>
        </w:rPr>
      </w:pPr>
    </w:p>
    <w:p w14:paraId="1BEB3EDC" w14:textId="77777777" w:rsidR="00B7465A" w:rsidRPr="00B7465A" w:rsidRDefault="00B7465A" w:rsidP="00B7465A">
      <w:pPr>
        <w:pStyle w:val="PargrafodaLista"/>
        <w:numPr>
          <w:ilvl w:val="1"/>
          <w:numId w:val="16"/>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276" w:lineRule="auto"/>
        <w:ind w:left="284" w:hanging="284"/>
        <w:jc w:val="both"/>
        <w:rPr>
          <w:rFonts w:cs="Calibri"/>
          <w:b/>
          <w:bCs/>
        </w:rPr>
      </w:pPr>
      <w:r>
        <w:rPr>
          <w:rFonts w:cs="Calibri"/>
          <w:b/>
          <w:bCs/>
        </w:rPr>
        <w:t xml:space="preserve">– PRIORIDADE NA TRAMITAÇÃO PROCESSUAL - REQUERENTE IDOSO </w:t>
      </w:r>
    </w:p>
    <w:p w14:paraId="2AD7482D" w14:textId="77777777" w:rsidR="00B7465A" w:rsidRPr="00B7465A" w:rsidRDefault="00B7465A" w:rsidP="00B7465A">
      <w:pPr>
        <w:spacing w:line="300" w:lineRule="auto"/>
        <w:ind w:firstLine="1985"/>
        <w:jc w:val="both"/>
        <w:rPr>
          <w:rFonts w:cs="Calibri"/>
          <w:lang w:val="pt-BR"/>
        </w:rPr>
      </w:pPr>
    </w:p>
    <w:p w14:paraId="1FF8C06A" w14:textId="77777777" w:rsidR="00B7465A" w:rsidRPr="00B7465A" w:rsidRDefault="00B7465A" w:rsidP="00B7465A">
      <w:pPr>
        <w:pStyle w:val="PargrafodaLista"/>
        <w:spacing w:after="0" w:line="300" w:lineRule="auto"/>
        <w:ind w:left="0" w:firstLine="1418"/>
        <w:jc w:val="both"/>
        <w:rPr>
          <w:rFonts w:cs="Calibri"/>
        </w:rPr>
      </w:pPr>
      <w:r>
        <w:rPr>
          <w:rFonts w:cs="Calibri"/>
        </w:rPr>
        <w:t>Nos termos da legislação vigente, a parte requerente faz jus à tramitação prioritária do presente feito, por ser pessoa idosa, conforme comprova documento de identidade anexado.</w:t>
      </w:r>
    </w:p>
    <w:p w14:paraId="24FA62B9" w14:textId="77777777" w:rsidR="00B7465A" w:rsidRPr="00B7465A" w:rsidRDefault="00B7465A" w:rsidP="00B7465A">
      <w:pPr>
        <w:pStyle w:val="PargrafodaLista"/>
        <w:spacing w:after="0" w:line="300" w:lineRule="auto"/>
        <w:ind w:left="0" w:firstLine="1418"/>
        <w:jc w:val="both"/>
        <w:rPr>
          <w:rFonts w:cs="Calibri"/>
        </w:rPr>
      </w:pPr>
    </w:p>
    <w:p w14:paraId="34AA203C" w14:textId="77777777" w:rsidR="00B7465A" w:rsidRPr="00B7465A" w:rsidRDefault="00B7465A" w:rsidP="00B7465A">
      <w:pPr>
        <w:pStyle w:val="PargrafodaLista"/>
        <w:spacing w:after="0" w:line="300" w:lineRule="auto"/>
        <w:ind w:left="0" w:firstLine="1418"/>
        <w:jc w:val="both"/>
        <w:rPr>
          <w:rFonts w:cs="Calibri"/>
        </w:rPr>
      </w:pPr>
      <w:r>
        <w:rPr>
          <w:rFonts w:cs="Calibri"/>
        </w:rPr>
        <w:t>O Estatuto do Idoso (Lei 10.741/2003), em seu art. 71, dispõe expressamente:</w:t>
      </w:r>
    </w:p>
    <w:p w14:paraId="7DA36D24" w14:textId="77777777" w:rsidR="00B7465A" w:rsidRPr="00B7465A" w:rsidRDefault="00B7465A" w:rsidP="00B7465A">
      <w:pPr>
        <w:spacing w:line="240" w:lineRule="auto"/>
        <w:ind w:left="2268"/>
        <w:jc w:val="both"/>
        <w:rPr>
          <w:rFonts w:cs="Calibri"/>
          <w:sz w:val="20"/>
          <w:szCs w:val="20"/>
          <w:lang w:val="pt-BR"/>
        </w:rPr>
      </w:pPr>
    </w:p>
    <w:p w14:paraId="019F0BFF" w14:textId="77777777" w:rsidR="00B7465A" w:rsidRPr="00B7465A" w:rsidRDefault="00B7465A" w:rsidP="00B7465A">
      <w:pPr>
        <w:spacing w:line="240" w:lineRule="auto"/>
        <w:ind w:left="2268"/>
        <w:jc w:val="both"/>
        <w:rPr>
          <w:rFonts w:cs="Calibri"/>
          <w:sz w:val="20"/>
          <w:szCs w:val="20"/>
          <w:lang w:val="pt-BR"/>
        </w:rPr>
      </w:pPr>
      <w:r>
        <w:rPr>
          <w:rFonts w:cs="Calibri"/>
          <w:sz w:val="20"/>
          <w:szCs w:val="20"/>
          <w:lang w:val="pt-BR"/>
        </w:rPr>
        <w:t xml:space="preserve">Art. 71. </w:t>
      </w:r>
      <w:r>
        <w:rPr>
          <w:rFonts w:cs="Calibri"/>
          <w:b/>
          <w:bCs/>
          <w:sz w:val="20"/>
          <w:szCs w:val="20"/>
          <w:lang w:val="pt-BR"/>
        </w:rPr>
        <w:t>É assegurada prioridade na tramitação dos processos</w:t>
      </w:r>
      <w:r>
        <w:rPr>
          <w:rFonts w:cs="Calibri"/>
          <w:sz w:val="20"/>
          <w:szCs w:val="20"/>
          <w:lang w:val="pt-BR"/>
        </w:rPr>
        <w:t xml:space="preserve"> e procedimentos e na execução dos atos e diligências judiciais em que </w:t>
      </w:r>
      <w:r>
        <w:rPr>
          <w:rFonts w:cs="Calibri"/>
          <w:b/>
          <w:bCs/>
          <w:sz w:val="20"/>
          <w:szCs w:val="20"/>
          <w:lang w:val="pt-BR"/>
        </w:rPr>
        <w:t>figure como parte ou interveniente pessoa com idade igual ou superior a 60 (sessenta) anos, em qualquer instância</w:t>
      </w:r>
      <w:r>
        <w:rPr>
          <w:rFonts w:cs="Calibri"/>
          <w:sz w:val="20"/>
          <w:szCs w:val="20"/>
          <w:lang w:val="pt-BR"/>
        </w:rPr>
        <w:t>.</w:t>
      </w:r>
    </w:p>
    <w:p w14:paraId="4D9BEA50" w14:textId="77777777" w:rsidR="00B7465A" w:rsidRPr="00B7465A" w:rsidRDefault="00B7465A" w:rsidP="00B7465A">
      <w:pPr>
        <w:spacing w:line="240" w:lineRule="auto"/>
        <w:ind w:left="2268"/>
        <w:jc w:val="both"/>
        <w:rPr>
          <w:rFonts w:cs="Calibri"/>
          <w:sz w:val="20"/>
          <w:szCs w:val="20"/>
          <w:lang w:val="pt-BR"/>
        </w:rPr>
      </w:pPr>
    </w:p>
    <w:p w14:paraId="7178CD23" w14:textId="77777777" w:rsidR="00B7465A" w:rsidRPr="00B7465A" w:rsidRDefault="00B7465A" w:rsidP="00B7465A">
      <w:pPr>
        <w:spacing w:line="240" w:lineRule="auto"/>
        <w:ind w:left="2268"/>
        <w:jc w:val="both"/>
        <w:rPr>
          <w:rFonts w:cs="Calibri"/>
          <w:sz w:val="20"/>
          <w:szCs w:val="20"/>
          <w:lang w:val="pt-BR"/>
        </w:rPr>
      </w:pPr>
      <w:r>
        <w:rPr>
          <w:rFonts w:cs="Calibri"/>
          <w:sz w:val="20"/>
          <w:szCs w:val="20"/>
          <w:lang w:val="pt-BR"/>
        </w:rPr>
        <w:lastRenderedPageBreak/>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4262A75C" w14:textId="77777777" w:rsidR="00B7465A" w:rsidRPr="00B7465A" w:rsidRDefault="00B7465A" w:rsidP="00B7465A">
      <w:pPr>
        <w:spacing w:line="300" w:lineRule="auto"/>
        <w:ind w:left="2268"/>
        <w:jc w:val="both"/>
        <w:rPr>
          <w:rFonts w:cs="Calibri"/>
          <w:lang w:val="pt-BR"/>
        </w:rPr>
      </w:pPr>
    </w:p>
    <w:p w14:paraId="5DBB40C6" w14:textId="77777777" w:rsidR="00B7465A" w:rsidRPr="00B7465A" w:rsidRDefault="00B7465A" w:rsidP="00B7465A">
      <w:pPr>
        <w:spacing w:line="300" w:lineRule="auto"/>
        <w:ind w:firstLine="1418"/>
        <w:jc w:val="both"/>
        <w:rPr>
          <w:rFonts w:cs="Calibri"/>
          <w:lang w:val="pt-BR"/>
        </w:rPr>
      </w:pPr>
      <w:r>
        <w:rPr>
          <w:rFonts w:cs="Calibri"/>
          <w:lang w:val="pt-BR"/>
        </w:rPr>
        <w:t xml:space="preserve">No mesmo sentido, o Código de Processo Civil, em seu artigo 1.048, inciso I, assegura: </w:t>
      </w:r>
    </w:p>
    <w:p w14:paraId="73B0C94A" w14:textId="77777777" w:rsidR="00B7465A" w:rsidRPr="00B7465A" w:rsidRDefault="00B7465A" w:rsidP="00B7465A">
      <w:pPr>
        <w:spacing w:line="240" w:lineRule="auto"/>
        <w:ind w:left="2268"/>
        <w:jc w:val="both"/>
        <w:rPr>
          <w:rFonts w:cs="Calibri"/>
          <w:sz w:val="20"/>
          <w:szCs w:val="20"/>
          <w:lang w:val="pt-BR"/>
        </w:rPr>
      </w:pPr>
    </w:p>
    <w:p w14:paraId="60270229" w14:textId="77777777" w:rsidR="00B7465A" w:rsidRPr="00B7465A" w:rsidRDefault="00B7465A" w:rsidP="00B7465A">
      <w:pPr>
        <w:spacing w:line="240" w:lineRule="auto"/>
        <w:ind w:left="2268"/>
        <w:jc w:val="both"/>
        <w:rPr>
          <w:rFonts w:cs="Calibri"/>
          <w:sz w:val="20"/>
          <w:szCs w:val="20"/>
          <w:lang w:val="pt-BR"/>
        </w:rPr>
      </w:pPr>
      <w:r>
        <w:rPr>
          <w:rFonts w:cs="Calibri"/>
          <w:sz w:val="20"/>
          <w:szCs w:val="20"/>
          <w:lang w:val="pt-BR"/>
        </w:rPr>
        <w:t xml:space="preserve">Art. 1.048. </w:t>
      </w:r>
      <w:r>
        <w:rPr>
          <w:rFonts w:cs="Calibri"/>
          <w:b/>
          <w:bCs/>
          <w:sz w:val="20"/>
          <w:szCs w:val="20"/>
          <w:lang w:val="pt-BR"/>
        </w:rPr>
        <w:t>Terão prioridade de tramitação, em qualquer juízo ou tribunal, os procedimentos judiciais</w:t>
      </w:r>
      <w:r>
        <w:rPr>
          <w:rFonts w:cs="Calibri"/>
          <w:sz w:val="20"/>
          <w:szCs w:val="20"/>
          <w:lang w:val="pt-BR"/>
        </w:rPr>
        <w:t>:</w:t>
      </w:r>
    </w:p>
    <w:p w14:paraId="538AB67C" w14:textId="77777777" w:rsidR="00B7465A" w:rsidRPr="00B7465A" w:rsidRDefault="00B7465A" w:rsidP="00B7465A">
      <w:pPr>
        <w:spacing w:line="240" w:lineRule="auto"/>
        <w:ind w:left="2268"/>
        <w:jc w:val="both"/>
        <w:rPr>
          <w:rFonts w:cs="Calibri"/>
          <w:sz w:val="20"/>
          <w:szCs w:val="20"/>
          <w:lang w:val="pt-BR"/>
        </w:rPr>
      </w:pPr>
    </w:p>
    <w:p w14:paraId="0B8799DA" w14:textId="77777777" w:rsidR="00B7465A" w:rsidRPr="00B7465A" w:rsidRDefault="00B7465A" w:rsidP="00B7465A">
      <w:pPr>
        <w:spacing w:line="240" w:lineRule="auto"/>
        <w:ind w:left="2268"/>
        <w:jc w:val="both"/>
        <w:rPr>
          <w:rFonts w:cs="Calibri"/>
          <w:sz w:val="20"/>
          <w:szCs w:val="20"/>
          <w:lang w:val="pt-BR"/>
        </w:rPr>
      </w:pPr>
      <w:r>
        <w:rPr>
          <w:rFonts w:cs="Calibri"/>
          <w:sz w:val="20"/>
          <w:szCs w:val="20"/>
          <w:lang w:val="pt-BR"/>
        </w:rPr>
        <w:t xml:space="preserve">I – </w:t>
      </w:r>
      <w:r>
        <w:rPr>
          <w:rFonts w:cs="Calibri"/>
          <w:b/>
          <w:bCs/>
          <w:sz w:val="20"/>
          <w:szCs w:val="20"/>
          <w:lang w:val="pt-BR"/>
        </w:rPr>
        <w:t>em que figure como parte ou interessado pessoa com idade igual ou superior a 60 (sessenta) anos</w:t>
      </w:r>
      <w:r>
        <w:rPr>
          <w:rFonts w:cs="Calibri"/>
          <w:sz w:val="20"/>
          <w:szCs w:val="20"/>
          <w:lang w:val="pt-BR"/>
        </w:rPr>
        <w:t xml:space="preserve"> ou portadora de doença grave, assim compreendida qualquer das enumerados no art. 6°, inciso XIV, da Lei n.° 7.713, de 22 de dezembro de 1988;</w:t>
      </w:r>
    </w:p>
    <w:p w14:paraId="6C25FBC3" w14:textId="77777777" w:rsidR="00B7465A" w:rsidRPr="00B7465A" w:rsidRDefault="00B7465A" w:rsidP="00B7465A">
      <w:pPr>
        <w:spacing w:line="240" w:lineRule="auto"/>
        <w:ind w:left="2268"/>
        <w:jc w:val="both"/>
        <w:rPr>
          <w:rFonts w:cs="Calibri"/>
          <w:sz w:val="20"/>
          <w:szCs w:val="20"/>
          <w:lang w:val="pt-BR"/>
        </w:rPr>
      </w:pPr>
    </w:p>
    <w:p w14:paraId="08385131" w14:textId="77777777" w:rsidR="00B7465A" w:rsidRPr="00B7465A" w:rsidRDefault="00B7465A" w:rsidP="00B7465A">
      <w:pPr>
        <w:spacing w:line="240" w:lineRule="auto"/>
        <w:ind w:left="2268"/>
        <w:jc w:val="both"/>
        <w:rPr>
          <w:rFonts w:cs="Calibri"/>
          <w:sz w:val="20"/>
          <w:szCs w:val="20"/>
          <w:lang w:val="pt-BR"/>
        </w:rPr>
      </w:pPr>
      <w:r>
        <w:rPr>
          <w:rFonts w:cs="Calibri"/>
          <w:sz w:val="20"/>
          <w:szCs w:val="20"/>
          <w:lang w:val="pt-BR"/>
        </w:rPr>
        <w:t>(...)</w:t>
      </w:r>
    </w:p>
    <w:p w14:paraId="738F8742" w14:textId="77777777" w:rsidR="00B7465A" w:rsidRPr="00B7465A" w:rsidRDefault="00B7465A" w:rsidP="00B7465A">
      <w:pPr>
        <w:spacing w:line="240" w:lineRule="auto"/>
        <w:ind w:left="2268"/>
        <w:jc w:val="both"/>
        <w:rPr>
          <w:rFonts w:cs="Calibri"/>
          <w:sz w:val="20"/>
          <w:szCs w:val="20"/>
          <w:lang w:val="pt-BR"/>
        </w:rPr>
      </w:pPr>
    </w:p>
    <w:p w14:paraId="6444F399" w14:textId="77777777" w:rsidR="00B7465A" w:rsidRPr="00B7465A" w:rsidRDefault="00B7465A" w:rsidP="00B7465A">
      <w:pPr>
        <w:spacing w:line="240" w:lineRule="auto"/>
        <w:ind w:left="2268"/>
        <w:jc w:val="both"/>
        <w:rPr>
          <w:rFonts w:cs="Calibri"/>
          <w:sz w:val="20"/>
          <w:szCs w:val="20"/>
          <w:lang w:val="pt-BR"/>
        </w:rPr>
      </w:pPr>
      <w:r>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444221E7" w14:textId="77777777" w:rsidR="00B7465A" w:rsidRPr="00B7465A" w:rsidRDefault="00B7465A" w:rsidP="00B7465A">
      <w:pPr>
        <w:spacing w:line="300" w:lineRule="auto"/>
        <w:ind w:firstLine="2835"/>
        <w:jc w:val="both"/>
        <w:rPr>
          <w:rFonts w:cs="Calibri"/>
          <w:lang w:val="pt-BR"/>
        </w:rPr>
      </w:pPr>
    </w:p>
    <w:p w14:paraId="381B7548" w14:textId="77777777" w:rsidR="00B7465A" w:rsidRPr="00B7465A" w:rsidRDefault="00B7465A" w:rsidP="00B7465A">
      <w:pPr>
        <w:spacing w:line="300" w:lineRule="auto"/>
        <w:ind w:firstLine="1418"/>
        <w:jc w:val="both"/>
        <w:rPr>
          <w:rFonts w:cs="Calibri"/>
          <w:lang w:val="pt-BR"/>
        </w:rPr>
      </w:pPr>
      <w:r>
        <w:rPr>
          <w:rFonts w:cs="Calibri"/>
          <w:lang w:val="pt-BR"/>
        </w:rPr>
        <w:t>No caso em tela, a parte autora conta atualmente com 68 (sessenta e oito) anos de idade, razão pela qual se encontra plenamente amparada pelas normas acima transcritas, devendo ser-lhe assegurado o benefício da tramitação prioritária, em conformidade com o princípio da proteção integral ao idoso e da efetividade da prestação jurisdicional.</w:t>
      </w:r>
    </w:p>
    <w:p w14:paraId="106F273F" w14:textId="77777777" w:rsidR="00B7465A" w:rsidRPr="00B7465A" w:rsidRDefault="00B7465A" w:rsidP="00B7465A">
      <w:pPr>
        <w:spacing w:line="300" w:lineRule="auto"/>
        <w:ind w:firstLine="1418"/>
        <w:jc w:val="both"/>
        <w:rPr>
          <w:rFonts w:cs="Calibri"/>
          <w:lang w:val="pt-BR"/>
        </w:rPr>
      </w:pPr>
    </w:p>
    <w:p w14:paraId="1341586F" w14:textId="77777777" w:rsidR="00B7465A" w:rsidRPr="00B7465A" w:rsidRDefault="00B7465A" w:rsidP="00B7465A">
      <w:pPr>
        <w:spacing w:line="300" w:lineRule="auto"/>
        <w:ind w:firstLine="1418"/>
        <w:jc w:val="both"/>
        <w:rPr>
          <w:rFonts w:cs="Calibri"/>
          <w:lang w:val="pt-BR"/>
        </w:rPr>
      </w:pPr>
      <w:r>
        <w:rPr>
          <w:rFonts w:cs="Calibri"/>
          <w:lang w:val="pt-BR"/>
        </w:rPr>
        <w:t xml:space="preserve">Diante disso, requer-se o deferimento da </w:t>
      </w:r>
      <w:r>
        <w:rPr>
          <w:rFonts w:cs="Calibri"/>
          <w:b/>
          <w:bCs/>
          <w:lang w:val="pt-BR"/>
        </w:rPr>
        <w:t>prioridade na tramitação processual</w:t>
      </w:r>
      <w:r>
        <w:rPr>
          <w:rFonts w:cs="Calibri"/>
          <w:lang w:val="pt-BR"/>
        </w:rPr>
        <w:t>, com a devida anotação nos autos, nos termos do artigo 71, § 1º, do Estatuto do Idoso, e artigo 1.048, § 1º, do Código de Processo Civil.</w:t>
      </w:r>
    </w:p>
    <w:p w14:paraId="4CEA44CF" w14:textId="77777777" w:rsidR="00B7465A" w:rsidRPr="00B7465A" w:rsidRDefault="00B7465A" w:rsidP="00B7465A">
      <w:pPr>
        <w:spacing w:line="300" w:lineRule="auto"/>
        <w:jc w:val="both"/>
        <w:rPr>
          <w:rFonts w:eastAsia="Times New Roman" w:cs="Calibri"/>
          <w:color w:val="000000" w:themeColor="text1"/>
          <w:lang w:val="pt-BR" w:eastAsia="pt-BR"/>
        </w:rPr>
      </w:pPr>
    </w:p>
    <w:p w14:paraId="525E92AA"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color w:val="000000" w:themeColor="text1"/>
          <w:lang w:val="pt-BR"/>
        </w:rPr>
      </w:pPr>
      <w:bookmarkStart w:id="3" w:name="_Hlk78383579"/>
      <w:r>
        <w:rPr>
          <w:rFonts w:cs="Calibri"/>
          <w:b/>
          <w:color w:val="000000" w:themeColor="text1"/>
          <w:lang w:val="pt-BR"/>
        </w:rPr>
        <w:t>1.2 - DA CONCESSÃO DOS BENEFÍCIOS DA JUSTIÇA GRATUITA</w:t>
      </w:r>
    </w:p>
    <w:p w14:paraId="112D58F4" w14:textId="77777777" w:rsidR="00B7465A" w:rsidRPr="00B7465A" w:rsidRDefault="00B7465A" w:rsidP="00B7465A">
      <w:pPr>
        <w:pStyle w:val="BlockQuote"/>
        <w:spacing w:before="0" w:after="0" w:line="300" w:lineRule="auto"/>
        <w:jc w:val="both"/>
        <w:rPr>
          <w:rFonts w:cs="Calibri"/>
          <w:color w:val="000000" w:themeColor="text1"/>
          <w:lang w:val="pt-BR"/>
        </w:rPr>
      </w:pPr>
    </w:p>
    <w:p w14:paraId="13BA5046" w14:textId="77777777" w:rsidR="00B7465A" w:rsidRPr="00B7465A" w:rsidRDefault="00B7465A" w:rsidP="00B7465A">
      <w:pPr>
        <w:pStyle w:val="BlockQuote"/>
        <w:spacing w:before="0" w:after="0" w:line="300" w:lineRule="auto"/>
        <w:ind w:firstLine="1418"/>
        <w:jc w:val="both"/>
        <w:rPr>
          <w:rFonts w:cs="Calibri"/>
          <w:color w:val="000000" w:themeColor="text1"/>
          <w:lang w:val="pt-BR"/>
        </w:rPr>
      </w:pPr>
      <w:r>
        <w:rPr>
          <w:rFonts w:cs="Calibri"/>
          <w:color w:val="000000" w:themeColor="text1"/>
          <w:lang w:val="pt-BR"/>
        </w:rPr>
        <w:t>Antes de adentrar no mérito da presente demanda, a parte Autora requer a concessão dos benefícios da Justiça Gratuita, tendo em vista que não dispõe de condições financeiras para arcar com as custas processuais e demais despesas do feito, sem prejuízo de seu próprio sustento e de sua família, conforme declaração de hipossuficiência que ora se junta aos autos.</w:t>
      </w:r>
    </w:p>
    <w:p w14:paraId="6DA659C7" w14:textId="77777777" w:rsidR="00B7465A" w:rsidRPr="00B7465A" w:rsidRDefault="00B7465A" w:rsidP="00B7465A">
      <w:pPr>
        <w:pStyle w:val="BlockQuote"/>
        <w:spacing w:before="0" w:after="0" w:line="300" w:lineRule="auto"/>
        <w:ind w:firstLine="1418"/>
        <w:jc w:val="both"/>
        <w:rPr>
          <w:rFonts w:cs="Calibri"/>
          <w:color w:val="000000" w:themeColor="text1"/>
          <w:lang w:val="pt-BR"/>
        </w:rPr>
      </w:pPr>
    </w:p>
    <w:p w14:paraId="21CF2B05" w14:textId="77777777" w:rsidR="00B7465A" w:rsidRPr="00B7465A" w:rsidRDefault="00B7465A" w:rsidP="00B7465A">
      <w:pPr>
        <w:pStyle w:val="BlockQuote"/>
        <w:spacing w:before="0" w:after="0" w:line="300" w:lineRule="auto"/>
        <w:ind w:firstLine="1418"/>
        <w:jc w:val="both"/>
        <w:rPr>
          <w:rFonts w:cs="Calibri"/>
          <w:color w:val="000000" w:themeColor="text1"/>
          <w:lang w:val="pt-BR"/>
        </w:rPr>
      </w:pPr>
      <w:r>
        <w:rPr>
          <w:rFonts w:cs="Calibri"/>
          <w:color w:val="000000" w:themeColor="text1"/>
          <w:lang w:val="pt-BR"/>
        </w:rPr>
        <w:t xml:space="preserve">O amparo constitucional ao pleito encontra respaldo no artigo 5º, inciso LXXIV, da Constituição Federal, que dispõe: </w:t>
      </w:r>
      <w:r>
        <w:rPr>
          <w:rFonts w:cs="Calibri"/>
          <w:i/>
          <w:iCs/>
          <w:color w:val="000000" w:themeColor="text1"/>
          <w:lang w:val="pt-BR"/>
        </w:rPr>
        <w:t>“o Estado prestará assistência jurídica integral e gratuita aos que comprovarem insuficiência de recursos”</w:t>
      </w:r>
      <w:r>
        <w:rPr>
          <w:rFonts w:cs="Calibri"/>
          <w:color w:val="000000" w:themeColor="text1"/>
          <w:lang w:val="pt-BR"/>
        </w:rPr>
        <w:t>. Além disso, o inciso XXXV do mesmo artigo consagra o princípio do acesso à justiça, reconhecido como direito fundamental e condição essencial ao exercício da cidadania.</w:t>
      </w:r>
    </w:p>
    <w:p w14:paraId="23B21EE2" w14:textId="77777777" w:rsidR="00B7465A" w:rsidRPr="00B7465A" w:rsidRDefault="00B7465A" w:rsidP="00B7465A">
      <w:pPr>
        <w:ind w:firstLine="1418"/>
        <w:rPr>
          <w:rFonts w:cs="Calibri"/>
          <w:lang w:val="pt-BR"/>
        </w:rPr>
      </w:pPr>
    </w:p>
    <w:p w14:paraId="03578332" w14:textId="77777777" w:rsidR="00B7465A" w:rsidRPr="00B7465A" w:rsidRDefault="00B7465A" w:rsidP="00B7465A">
      <w:pPr>
        <w:pStyle w:val="BlockQuote"/>
        <w:spacing w:before="0" w:after="0" w:line="300" w:lineRule="auto"/>
        <w:ind w:firstLine="1418"/>
        <w:jc w:val="both"/>
        <w:rPr>
          <w:rFonts w:cs="Calibri"/>
          <w:color w:val="000000" w:themeColor="text1"/>
          <w:lang w:val="pt-BR"/>
        </w:rPr>
      </w:pPr>
      <w:r>
        <w:rPr>
          <w:rFonts w:cs="Calibri"/>
          <w:color w:val="000000" w:themeColor="text1"/>
          <w:lang w:val="pt-BR"/>
        </w:rPr>
        <w:t>No plano infraconstitucional, a matéria é regulamentada pelos artigos 98 a 102 do Código de Processo Civil (Lei nº 13.105/2015), que, por sua vez, revogou expressamente diversos dispositivos da antiga Lei nº 1.060/50, conforme previsto no artigo 1.072, inciso III, do referido diploma legal.</w:t>
      </w:r>
    </w:p>
    <w:p w14:paraId="4F50C664" w14:textId="77777777" w:rsidR="00B7465A" w:rsidRPr="00B7465A" w:rsidRDefault="00B7465A" w:rsidP="00B7465A">
      <w:pPr>
        <w:ind w:firstLine="1418"/>
        <w:rPr>
          <w:rFonts w:cs="Calibri"/>
          <w:lang w:val="pt-BR"/>
        </w:rPr>
      </w:pPr>
    </w:p>
    <w:p w14:paraId="68D7D121" w14:textId="77777777" w:rsidR="00B7465A" w:rsidRPr="00B7465A" w:rsidRDefault="00B7465A" w:rsidP="00B7465A">
      <w:pPr>
        <w:pStyle w:val="BlockQuote"/>
        <w:spacing w:before="0" w:after="0" w:line="300" w:lineRule="auto"/>
        <w:ind w:firstLine="1418"/>
        <w:jc w:val="both"/>
        <w:rPr>
          <w:rFonts w:cs="Calibri"/>
          <w:color w:val="000000" w:themeColor="text1"/>
          <w:lang w:val="pt-BR"/>
        </w:rPr>
      </w:pPr>
      <w:r>
        <w:rPr>
          <w:rFonts w:cs="Calibri"/>
          <w:color w:val="000000" w:themeColor="text1"/>
          <w:lang w:val="pt-BR"/>
        </w:rPr>
        <w:lastRenderedPageBreak/>
        <w:t>Nos termos do artigo 98 do CPC, faz jus à gratuidade da justiça a pessoa natural com insuficiência de recursos para custear as despesas processuais e honorários advocatícios, como ocorre no caso em tela:</w:t>
      </w:r>
    </w:p>
    <w:p w14:paraId="3A7EC0EC" w14:textId="77777777" w:rsidR="00B7465A" w:rsidRPr="00B7465A" w:rsidRDefault="00B7465A" w:rsidP="00B7465A">
      <w:pPr>
        <w:pStyle w:val="BlockQuote"/>
        <w:spacing w:before="0" w:after="0" w:line="300" w:lineRule="auto"/>
        <w:ind w:firstLine="2835"/>
        <w:jc w:val="both"/>
        <w:rPr>
          <w:rFonts w:cs="Calibri"/>
          <w:color w:val="000000" w:themeColor="text1"/>
          <w:sz w:val="22"/>
          <w:szCs w:val="22"/>
          <w:lang w:val="pt-BR"/>
        </w:rPr>
      </w:pPr>
    </w:p>
    <w:p w14:paraId="2BBBE0B9" w14:textId="77777777" w:rsidR="00B7465A" w:rsidRPr="00B7465A" w:rsidRDefault="00B7465A" w:rsidP="00B7465A">
      <w:pPr>
        <w:pStyle w:val="BlockQuote"/>
        <w:spacing w:before="0" w:after="0"/>
        <w:ind w:left="2268"/>
        <w:jc w:val="both"/>
        <w:rPr>
          <w:rFonts w:cs="Calibri"/>
          <w:color w:val="000000" w:themeColor="text1"/>
          <w:lang w:val="pt-BR"/>
        </w:rPr>
      </w:pPr>
      <w:r>
        <w:rPr>
          <w:rFonts w:cs="Calibri"/>
          <w:color w:val="000000" w:themeColor="text1"/>
          <w:lang w:val="pt-BR"/>
        </w:rPr>
        <w:t>Art. 98. A pessoa natural ou jurídica, brasileira ou estrangeira, com insuficiência de recursos para pagar as custas, as despesas processuais e os honorários advocatícios tem direito à gratuidade da justiça, na forma da lei.</w:t>
      </w:r>
    </w:p>
    <w:p w14:paraId="61A8DB84" w14:textId="77777777" w:rsidR="00B7465A" w:rsidRPr="00B7465A" w:rsidRDefault="00B7465A" w:rsidP="00B7465A">
      <w:pPr>
        <w:spacing w:line="300" w:lineRule="auto"/>
        <w:ind w:firstLine="1701"/>
        <w:jc w:val="both"/>
        <w:rPr>
          <w:rFonts w:cs="Calibri"/>
          <w:color w:val="000000" w:themeColor="text1"/>
          <w:lang w:val="pt-BR"/>
        </w:rPr>
      </w:pPr>
    </w:p>
    <w:p w14:paraId="25FA4DA4" w14:textId="77777777" w:rsidR="00B7465A" w:rsidRPr="00B7465A" w:rsidRDefault="00B7465A" w:rsidP="00B7465A">
      <w:pPr>
        <w:spacing w:line="300" w:lineRule="auto"/>
        <w:ind w:firstLine="1418"/>
        <w:jc w:val="both"/>
        <w:rPr>
          <w:rFonts w:cs="Calibri"/>
          <w:color w:val="000000" w:themeColor="text1"/>
          <w:lang w:val="pt-BR"/>
        </w:rPr>
      </w:pPr>
      <w:bookmarkStart w:id="4" w:name="_Hlk78383596"/>
      <w:bookmarkEnd w:id="3"/>
      <w:r>
        <w:rPr>
          <w:rFonts w:cs="Calibri"/>
          <w:color w:val="000000" w:themeColor="text1"/>
          <w:lang w:val="pt-BR"/>
        </w:rPr>
        <w:t>Conforme autoriza o artigo 99 do mesmo Código, a parte Autora formula o pedido no primeiro momento em que se manifesta nos autos, instruindo-o com a respectiva declaração de hipossuficiência, cuja veracidade é presumida, nos termos do § 3º do referido dispositivo.</w:t>
      </w:r>
    </w:p>
    <w:p w14:paraId="0E815BA1" w14:textId="77777777" w:rsidR="00B7465A" w:rsidRPr="00B7465A" w:rsidRDefault="00B7465A" w:rsidP="00B7465A">
      <w:pPr>
        <w:spacing w:line="300" w:lineRule="auto"/>
        <w:ind w:firstLine="1418"/>
        <w:jc w:val="both"/>
        <w:rPr>
          <w:rFonts w:cs="Calibri"/>
          <w:color w:val="000000" w:themeColor="text1"/>
          <w:lang w:val="pt-BR"/>
        </w:rPr>
      </w:pPr>
    </w:p>
    <w:p w14:paraId="13A4FB2B"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Ressalte-se, ainda, que o fato de estar representada por advogado constituído não constitui óbice à concessão do benefício, nos termos do § 4º do artigo 99 do CPC/2015.</w:t>
      </w:r>
    </w:p>
    <w:p w14:paraId="3B4465A1" w14:textId="77777777" w:rsidR="00B7465A" w:rsidRPr="00B7465A" w:rsidRDefault="00B7465A" w:rsidP="00B7465A">
      <w:pPr>
        <w:spacing w:line="300" w:lineRule="auto"/>
        <w:ind w:firstLine="1418"/>
        <w:jc w:val="both"/>
        <w:rPr>
          <w:rFonts w:cs="Calibri"/>
          <w:color w:val="000000" w:themeColor="text1"/>
          <w:lang w:val="pt-BR"/>
        </w:rPr>
      </w:pPr>
    </w:p>
    <w:p w14:paraId="49FBB67E"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Diante de todo o exposto, requer-se o deferimento da gratuidade da justiça, para que a parte Autora seja dispensada do recolhimento de custas, despesas processuais e honorários advocatícios, conforme fundamentação supra e declaração anexa.</w:t>
      </w:r>
    </w:p>
    <w:p w14:paraId="5894D3EB" w14:textId="77777777" w:rsidR="00B7465A" w:rsidRPr="00B7465A" w:rsidRDefault="00B7465A" w:rsidP="00B7465A">
      <w:pPr>
        <w:spacing w:line="300" w:lineRule="auto"/>
        <w:ind w:firstLine="1418"/>
        <w:jc w:val="both"/>
        <w:rPr>
          <w:rFonts w:cs="Calibri"/>
          <w:color w:val="000000" w:themeColor="text1"/>
          <w:lang w:val="pt-BR"/>
        </w:rPr>
      </w:pPr>
    </w:p>
    <w:p w14:paraId="6092B789"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color w:val="000000" w:themeColor="text1"/>
          <w:lang w:val="pt-BR"/>
        </w:rPr>
      </w:pPr>
      <w:bookmarkStart w:id="5" w:name="_Hlk78383525"/>
      <w:r>
        <w:rPr>
          <w:rFonts w:cs="Calibri"/>
          <w:b/>
          <w:color w:val="000000" w:themeColor="text1"/>
          <w:lang w:val="pt-BR"/>
        </w:rPr>
        <w:t>1</w:t>
      </w:r>
      <w:bookmarkStart w:id="6" w:name="_Hlk78383559"/>
      <w:bookmarkEnd w:id="5"/>
      <w:r>
        <w:rPr>
          <w:rFonts w:cs="Calibri"/>
          <w:b/>
          <w:color w:val="000000" w:themeColor="text1"/>
          <w:lang w:val="pt-BR"/>
        </w:rPr>
        <w:t>.3 - DA DECLARAÇÃO DE AUTENTICIDADE DOS DOCUMENTOS JUNTADOS</w:t>
      </w:r>
    </w:p>
    <w:p w14:paraId="7797E273" w14:textId="77777777" w:rsidR="00B7465A" w:rsidRPr="00B7465A" w:rsidRDefault="00B7465A" w:rsidP="00B7465A">
      <w:pPr>
        <w:spacing w:line="300" w:lineRule="auto"/>
        <w:jc w:val="both"/>
        <w:rPr>
          <w:rFonts w:cs="Calibri"/>
          <w:color w:val="000000" w:themeColor="text1"/>
          <w:lang w:val="pt-BR"/>
        </w:rPr>
      </w:pPr>
    </w:p>
    <w:bookmarkEnd w:id="6"/>
    <w:p w14:paraId="18D75442"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Nos termos do artigo 425, inciso IV, e do artigo 435, § 1º, ambos do Código de Processo Civil, os patronos da parte Requerente, na qualidade de advogados legalmente constituídos, declaram, para os devidos fins, que todos os documentos que instruem a presente exordial — ainda que apresentados em cópia simples — são autênticos e conferem com os respectivos originais, nos termos da legislação processual vigente.</w:t>
      </w:r>
    </w:p>
    <w:p w14:paraId="17C832D5" w14:textId="77777777" w:rsidR="00B7465A" w:rsidRPr="00B7465A" w:rsidRDefault="00B7465A" w:rsidP="00B7465A">
      <w:pPr>
        <w:spacing w:line="300" w:lineRule="auto"/>
        <w:ind w:firstLine="1418"/>
        <w:jc w:val="both"/>
        <w:rPr>
          <w:rFonts w:cs="Calibri"/>
          <w:color w:val="000000" w:themeColor="text1"/>
          <w:lang w:val="pt-BR"/>
        </w:rPr>
      </w:pPr>
    </w:p>
    <w:p w14:paraId="7652DA76"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themeColor="text1"/>
          <w:lang w:val="pt-BR"/>
        </w:rPr>
      </w:pPr>
      <w:r>
        <w:rPr>
          <w:rFonts w:cs="Calibri"/>
          <w:b/>
          <w:bCs/>
          <w:color w:val="000000" w:themeColor="text1"/>
          <w:lang w:val="pt-BR"/>
        </w:rPr>
        <w:t>1.4 – DA DESNECESSIDADE DE REALIZAÇÃO DE AUDIÊNCIA DE CONCILIAÇÃO OU MEDIAÇÃO</w:t>
      </w:r>
    </w:p>
    <w:p w14:paraId="6393CCD6" w14:textId="77777777" w:rsidR="00B7465A" w:rsidRPr="00B7465A" w:rsidRDefault="00B7465A" w:rsidP="00B7465A">
      <w:pPr>
        <w:spacing w:line="300" w:lineRule="auto"/>
        <w:ind w:firstLine="1418"/>
        <w:jc w:val="both"/>
        <w:rPr>
          <w:rFonts w:cs="Calibri"/>
          <w:color w:val="000000" w:themeColor="text1"/>
          <w:lang w:val="pt-BR"/>
        </w:rPr>
      </w:pPr>
    </w:p>
    <w:bookmarkEnd w:id="4"/>
    <w:p w14:paraId="38262434"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Em cumprimento ao disposto no artigo 319, inciso VII, do Código de Processo Civil, a parte Requerente manifesta, desde logo, </w:t>
      </w:r>
      <w:r>
        <w:rPr>
          <w:rFonts w:cs="Calibri"/>
          <w:b/>
          <w:bCs/>
          <w:color w:val="000000" w:themeColor="text1"/>
          <w:lang w:val="pt-BR"/>
        </w:rPr>
        <w:t>desinteresse na realização de audiência de conciliação ou mediação</w:t>
      </w:r>
      <w:r>
        <w:rPr>
          <w:rFonts w:cs="Calibri"/>
          <w:color w:val="000000" w:themeColor="text1"/>
          <w:lang w:val="pt-BR"/>
        </w:rPr>
        <w:t>, nos termos do artigo 334, § 4º, inciso I, do mesmo diploma legal, haja vista a manifesta ausência de possibilidade de autocomposição, bem como a ineficácia do referido procedimento no presente caso.</w:t>
      </w:r>
    </w:p>
    <w:p w14:paraId="2A47BF66" w14:textId="77777777" w:rsidR="00B7465A" w:rsidRPr="00B7465A" w:rsidRDefault="00B7465A" w:rsidP="00B7465A">
      <w:pPr>
        <w:spacing w:line="300" w:lineRule="auto"/>
        <w:ind w:firstLine="1418"/>
        <w:jc w:val="both"/>
        <w:rPr>
          <w:rFonts w:cs="Calibri"/>
          <w:color w:val="000000" w:themeColor="text1"/>
          <w:lang w:val="pt-BR"/>
        </w:rPr>
      </w:pPr>
    </w:p>
    <w:p w14:paraId="1D868419"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Assim, requer-se que o feito prossiga independentemente da designação de audiência inicial.</w:t>
      </w:r>
    </w:p>
    <w:p w14:paraId="4C8676F7" w14:textId="77777777" w:rsidR="00B7465A" w:rsidRPr="00B7465A" w:rsidRDefault="00B7465A" w:rsidP="00B7465A">
      <w:pPr>
        <w:spacing w:line="300" w:lineRule="auto"/>
        <w:jc w:val="both"/>
        <w:rPr>
          <w:rFonts w:cs="Calibri"/>
          <w:color w:val="000000" w:themeColor="text1"/>
          <w:lang w:val="pt-BR"/>
        </w:rPr>
      </w:pPr>
    </w:p>
    <w:p w14:paraId="5D8ED14C"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themeColor="text1"/>
          <w:lang w:val="pt-BR"/>
        </w:rPr>
      </w:pPr>
      <w:r>
        <w:rPr>
          <w:rFonts w:cs="Calibri"/>
          <w:b/>
          <w:color w:val="000000" w:themeColor="text1"/>
          <w:lang w:val="pt-BR"/>
        </w:rPr>
        <w:t>2 – DOS FATOS</w:t>
      </w:r>
    </w:p>
    <w:p w14:paraId="4B003C35" w14:textId="77777777" w:rsidR="00B7465A" w:rsidRPr="00B7465A" w:rsidRDefault="00B7465A" w:rsidP="00B7465A">
      <w:pPr>
        <w:spacing w:line="300" w:lineRule="auto"/>
        <w:ind w:firstLine="1985"/>
        <w:jc w:val="both"/>
        <w:rPr>
          <w:rFonts w:cs="Calibri"/>
          <w:color w:val="000000" w:themeColor="text1"/>
          <w:lang w:val="pt-BR"/>
        </w:rPr>
      </w:pPr>
    </w:p>
    <w:p w14:paraId="631290CC" w14:textId="079433D9"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lastRenderedPageBreak/>
        <w:t xml:space="preserve">A parte Autora é servidora pública estadual, integrando o quadro de pessoal permanente do Estado do Amazonas, exercendo a função de </w:t>
      </w:r>
      <w:r>
        <w:rPr>
          <w:rFonts w:cs="Calibri"/>
          <w:b/>
          <w:bCs/>
          <w:color w:val="000000" w:themeColor="text1"/>
          <w:lang w:val="pt-BR"/>
        </w:rPr>
        <w:t>MOTORISTA</w:t>
      </w:r>
      <w:r>
        <w:rPr>
          <w:rFonts w:cs="Calibri"/>
          <w:color w:val="000000" w:themeColor="text1"/>
          <w:lang w:val="pt-BR"/>
        </w:rPr>
        <w:t xml:space="preserve">, matrícula nº ________, vinculada à Secretaria de Estado de Saúde (SUSAM/SES), desde </w:t>
      </w:r>
      <w:r>
        <w:rPr>
          <w:rFonts w:cs="Calibri"/>
          <w:b/>
          <w:bCs/>
          <w:color w:val="000000" w:themeColor="text1"/>
          <w:lang w:val="pt-BR"/>
        </w:rPr>
        <w:t>________</w:t>
      </w:r>
      <w:r>
        <w:rPr>
          <w:rFonts w:cs="Calibri"/>
          <w:color w:val="000000" w:themeColor="text1"/>
          <w:lang w:val="pt-BR"/>
        </w:rPr>
        <w:t>.</w:t>
      </w:r>
    </w:p>
    <w:p w14:paraId="5A49D041" w14:textId="77777777" w:rsidR="00B7465A" w:rsidRDefault="00B7465A" w:rsidP="00B7465A">
      <w:pPr>
        <w:spacing w:line="300" w:lineRule="auto"/>
        <w:jc w:val="both"/>
        <w:rPr>
          <w:rFonts w:cs="Calibri"/>
          <w:color w:val="000000" w:themeColor="text1"/>
          <w:lang w:val="pt-BR"/>
        </w:rPr>
      </w:pPr>
    </w:p>
    <w:p w14:paraId="1C547A4D" w14:textId="15D769BD" w:rsidR="00FB29B6" w:rsidRPr="00B7465A" w:rsidRDefault="00FB29B6" w:rsidP="00FB29B6">
      <w:pPr>
        <w:spacing w:line="300" w:lineRule="auto"/>
        <w:jc w:val="center"/>
        <w:rPr>
          <w:rFonts w:cs="Calibri"/>
          <w:color w:val="000000" w:themeColor="text1"/>
          <w:lang w:val="pt-BR"/>
        </w:rPr>
      </w:pPr>
      <w:r>
        <w:rPr>
          <w:rFonts w:cs="Calibri"/>
          <w:color w:val="000000" w:themeColor="text1"/>
          <w:lang w:val="pt-BR"/>
        </w:rPr>
        <w:drawing>
          <wp:inline distT="0" distB="0" distL="0" distR="0" wp14:anchorId="04003A6D" wp14:editId="149BCE53">
            <wp:extent cx="4648849" cy="3391373"/>
            <wp:effectExtent l="0" t="0" r="0" b="0"/>
            <wp:docPr id="468872333" name="Imagem 1" descr="Text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72333" name="Imagem 1" descr="Texto  O conteúdo gerado por IA pode estar incorreto."/>
                    <pic:cNvPicPr/>
                  </pic:nvPicPr>
                  <pic:blipFill>
                    <a:blip r:embed="rId9"/>
                    <a:stretch>
                      <a:fillRect/>
                    </a:stretch>
                  </pic:blipFill>
                  <pic:spPr>
                    <a:xfrm>
                      <a:off x="0" y="0"/>
                      <a:ext cx="4648849" cy="3391373"/>
                    </a:xfrm>
                    <a:prstGeom prst="rect">
                      <a:avLst/>
                    </a:prstGeom>
                  </pic:spPr>
                </pic:pic>
              </a:graphicData>
            </a:graphic>
          </wp:inline>
        </w:drawing>
      </w:r>
    </w:p>
    <w:p w14:paraId="5F529E09" w14:textId="77777777" w:rsidR="00B7465A" w:rsidRPr="00B7465A" w:rsidRDefault="00B7465A" w:rsidP="00B7465A">
      <w:pPr>
        <w:spacing w:line="300" w:lineRule="auto"/>
        <w:jc w:val="both"/>
        <w:rPr>
          <w:rFonts w:cs="Calibri"/>
          <w:color w:val="000000" w:themeColor="text1"/>
          <w:lang w:val="pt-BR"/>
        </w:rPr>
      </w:pPr>
    </w:p>
    <w:p w14:paraId="7F85A64B" w14:textId="7626635C"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Excelência, inicialmente cumpre destacar que a parte Autora se encontra atualmente enquadrada na </w:t>
      </w:r>
      <w:r>
        <w:rPr>
          <w:rFonts w:cs="Calibri"/>
          <w:b/>
          <w:bCs/>
          <w:color w:val="000000" w:themeColor="text1"/>
          <w:lang w:val="pt-BR"/>
        </w:rPr>
        <w:t>Classe “A”, Referência “1”</w:t>
      </w:r>
      <w:r>
        <w:rPr>
          <w:rFonts w:cs="Calibri"/>
          <w:color w:val="000000" w:themeColor="text1"/>
          <w:lang w:val="pt-BR"/>
        </w:rPr>
        <w:t xml:space="preserve">. Contudo, ao analisar as disposições da Lei nº 3.469/2009, que instituiu o </w:t>
      </w:r>
      <w:r>
        <w:rPr>
          <w:rFonts w:cs="Calibri"/>
          <w:b/>
          <w:bCs/>
          <w:color w:val="000000" w:themeColor="text1"/>
          <w:lang w:val="pt-BR"/>
        </w:rPr>
        <w:t>Plano de Cargos, Carreiras e Remuneração (PCCR)</w:t>
      </w:r>
      <w:r>
        <w:rPr>
          <w:rFonts w:cs="Calibri"/>
          <w:color w:val="000000" w:themeColor="text1"/>
          <w:lang w:val="pt-BR"/>
        </w:rPr>
        <w:t xml:space="preserve"> dos servidores da saúde do Estado do Amazonas, verifica-se que tal enquadramento está em desacordo com o estabelecido nos artigos 13 e 15 do referido diploma legal.</w:t>
      </w:r>
    </w:p>
    <w:p w14:paraId="45498215" w14:textId="77777777" w:rsidR="00B7465A" w:rsidRPr="00B7465A" w:rsidRDefault="00B7465A" w:rsidP="00B7465A">
      <w:pPr>
        <w:spacing w:line="300" w:lineRule="auto"/>
        <w:ind w:firstLine="1418"/>
        <w:jc w:val="both"/>
        <w:rPr>
          <w:rFonts w:cs="Calibri"/>
          <w:color w:val="000000" w:themeColor="text1"/>
          <w:lang w:val="pt-BR"/>
        </w:rPr>
      </w:pPr>
    </w:p>
    <w:p w14:paraId="30103CC4" w14:textId="4868C32E"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Segundo os critérios legais, considerando o </w:t>
      </w:r>
      <w:r>
        <w:rPr>
          <w:rFonts w:cs="Calibri"/>
          <w:b/>
          <w:bCs/>
          <w:color w:val="000000" w:themeColor="text1"/>
          <w:lang w:val="pt-BR"/>
        </w:rPr>
        <w:t>tempo de serviço superior a 8 (oito) anos</w:t>
      </w:r>
      <w:r>
        <w:rPr>
          <w:rFonts w:cs="Calibri"/>
          <w:color w:val="000000" w:themeColor="text1"/>
          <w:lang w:val="pt-BR"/>
        </w:rPr>
        <w:t xml:space="preserve"> prestado pela Requerente, esta deveria estar enquadrada na </w:t>
      </w:r>
      <w:r>
        <w:rPr>
          <w:rFonts w:cs="Calibri"/>
          <w:b/>
          <w:bCs/>
          <w:color w:val="000000" w:themeColor="text1"/>
          <w:lang w:val="pt-BR"/>
        </w:rPr>
        <w:t>Classe “A”, Referência “4”</w:t>
      </w:r>
      <w:r>
        <w:rPr>
          <w:rFonts w:cs="Calibri"/>
          <w:color w:val="000000" w:themeColor="text1"/>
          <w:lang w:val="pt-BR"/>
        </w:rPr>
        <w:t xml:space="preserve">, o que </w:t>
      </w:r>
      <w:r>
        <w:rPr>
          <w:rFonts w:cs="Calibri"/>
          <w:b/>
          <w:bCs/>
          <w:color w:val="000000" w:themeColor="text1"/>
          <w:lang w:val="pt-BR"/>
        </w:rPr>
        <w:t>não vem sendo observado pelo Estado do Amazonas</w:t>
      </w:r>
      <w:r>
        <w:rPr>
          <w:rFonts w:cs="Calibri"/>
          <w:color w:val="000000" w:themeColor="text1"/>
          <w:lang w:val="pt-BR"/>
        </w:rPr>
        <w:t>, em flagrante descumprimento da norma legal aplicável.</w:t>
      </w:r>
    </w:p>
    <w:p w14:paraId="79F7FC92" w14:textId="77777777" w:rsidR="00B7465A" w:rsidRPr="00B7465A" w:rsidRDefault="00B7465A" w:rsidP="00B7465A">
      <w:pPr>
        <w:spacing w:line="300" w:lineRule="auto"/>
        <w:ind w:firstLine="1418"/>
        <w:jc w:val="both"/>
        <w:rPr>
          <w:rFonts w:cs="Calibri"/>
          <w:color w:val="000000" w:themeColor="text1"/>
          <w:lang w:val="pt-BR"/>
        </w:rPr>
      </w:pPr>
    </w:p>
    <w:p w14:paraId="335A65C6"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Cumpre salientar que a legislação que regulamenta o PCCR tem sido objeto de sucessivas atualizações, com o objetivo de corrigir distorções e garantir o justo reajuste das remunerações e gratificações dos servidores da saúde. Nesse sentido, destacam-se as</w:t>
      </w:r>
      <w:r>
        <w:rPr>
          <w:rFonts w:cs="Calibri"/>
          <w:b/>
          <w:bCs/>
          <w:color w:val="000000" w:themeColor="text1"/>
          <w:lang w:val="pt-BR"/>
        </w:rPr>
        <w:t xml:space="preserve"> </w:t>
      </w:r>
      <w:r>
        <w:rPr>
          <w:rFonts w:cs="Calibri"/>
          <w:color w:val="000000" w:themeColor="text1"/>
          <w:lang w:val="pt-BR"/>
        </w:rPr>
        <w:t>Leis nº 4.852/2019, 5.771/2022, 5.928/2022, 6.460/2023 e 7.014/2024, que alteraram dispositivos da Lei nº 3.469/2009 e introduziram melhorias no plano de carreira.</w:t>
      </w:r>
    </w:p>
    <w:p w14:paraId="2DFF32E0" w14:textId="77777777" w:rsidR="00B7465A" w:rsidRPr="00B7465A" w:rsidRDefault="00B7465A" w:rsidP="00B7465A">
      <w:pPr>
        <w:spacing w:line="300" w:lineRule="auto"/>
        <w:ind w:firstLine="1418"/>
        <w:jc w:val="both"/>
        <w:rPr>
          <w:rFonts w:cs="Calibri"/>
          <w:color w:val="000000" w:themeColor="text1"/>
          <w:lang w:val="pt-BR"/>
        </w:rPr>
      </w:pPr>
    </w:p>
    <w:p w14:paraId="324F92F8"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Em especial, a Lei nº 4.852/2019, regulamentada pelo Decreto nº 48.917/2024, instituiu a progressão horizontal e a promoção vertical no âmbito do quadro efetivo da SES-AM, fixando reajustes </w:t>
        <w:lastRenderedPageBreak/>
        <w:t>de 5,0%, 6,5% e 7,5% incidentes sobre o vencimento base e a gratificação dos servidores, inclusive com previsão de pagamento retroativo, mesmo para a classe atual em que se encontra a parte Autora.</w:t>
      </w:r>
    </w:p>
    <w:p w14:paraId="31C5F489" w14:textId="77777777" w:rsidR="00B7465A" w:rsidRPr="00B7465A" w:rsidRDefault="00B7465A" w:rsidP="00B7465A">
      <w:pPr>
        <w:spacing w:line="300" w:lineRule="auto"/>
        <w:ind w:firstLine="1701"/>
        <w:jc w:val="both"/>
        <w:rPr>
          <w:rFonts w:cs="Calibri"/>
          <w:b/>
          <w:bCs/>
          <w:color w:val="000000" w:themeColor="text1"/>
          <w:lang w:val="pt-BR"/>
        </w:rPr>
      </w:pPr>
    </w:p>
    <w:p w14:paraId="1242E757"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A omissão da Administração Pública em aplicar corretamente as normas do PCCR afronta diretamente os princípios da legalidade, da moralidade e da eficiência, previstos no art. 37 da Constituição Federal, além de comprometer significativamente o equilíbrio orçamentário da parte Autora, que vem sendo privada de valores que legalmente lhe são devidos.</w:t>
      </w:r>
    </w:p>
    <w:p w14:paraId="2BB1B798" w14:textId="77777777" w:rsidR="00B7465A" w:rsidRPr="00B7465A" w:rsidRDefault="00B7465A" w:rsidP="00B7465A">
      <w:pPr>
        <w:spacing w:line="300" w:lineRule="auto"/>
        <w:ind w:firstLine="1418"/>
        <w:jc w:val="both"/>
        <w:rPr>
          <w:rFonts w:cs="Calibri"/>
          <w:color w:val="000000" w:themeColor="text1"/>
          <w:lang w:val="pt-BR"/>
        </w:rPr>
      </w:pPr>
    </w:p>
    <w:p w14:paraId="5BDD0487" w14:textId="08A6B999"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Assim, é imperioso o cumprimento integral das disposições da Lei nº 3.469/2009, com as alterações introduzidas pelas legislações posteriores, a fim de garantir à parte Autora o </w:t>
      </w:r>
      <w:r>
        <w:rPr>
          <w:rFonts w:cs="Calibri"/>
          <w:b/>
          <w:bCs/>
          <w:color w:val="000000" w:themeColor="text1"/>
          <w:lang w:val="pt-BR"/>
        </w:rPr>
        <w:t>enquadramento correto na Classe “A”, Referência “4”</w:t>
      </w:r>
      <w:r>
        <w:rPr>
          <w:rFonts w:cs="Calibri"/>
          <w:color w:val="000000" w:themeColor="text1"/>
          <w:lang w:val="pt-BR"/>
        </w:rPr>
        <w:t xml:space="preserve">, bem como o </w:t>
      </w:r>
      <w:r>
        <w:rPr>
          <w:rFonts w:cs="Calibri"/>
          <w:b/>
          <w:bCs/>
          <w:color w:val="000000" w:themeColor="text1"/>
          <w:lang w:val="pt-BR"/>
        </w:rPr>
        <w:t>pagamento das diferenças remuneratórias devidas</w:t>
      </w:r>
      <w:r>
        <w:rPr>
          <w:rFonts w:cs="Calibri"/>
          <w:color w:val="000000" w:themeColor="text1"/>
          <w:lang w:val="pt-BR"/>
        </w:rPr>
        <w:t xml:space="preserve">, com os respectivos </w:t>
      </w:r>
      <w:r>
        <w:rPr>
          <w:rFonts w:cs="Calibri"/>
          <w:b/>
          <w:bCs/>
          <w:color w:val="000000" w:themeColor="text1"/>
          <w:lang w:val="pt-BR"/>
        </w:rPr>
        <w:t>reajustes e reflexos legais</w:t>
      </w:r>
      <w:r>
        <w:rPr>
          <w:rFonts w:cs="Calibri"/>
          <w:color w:val="000000" w:themeColor="text1"/>
          <w:lang w:val="pt-BR"/>
        </w:rPr>
        <w:t>.</w:t>
      </w:r>
    </w:p>
    <w:p w14:paraId="4903A5BB" w14:textId="77777777" w:rsidR="00B7465A" w:rsidRPr="00B7465A" w:rsidRDefault="00B7465A" w:rsidP="00B7465A">
      <w:pPr>
        <w:spacing w:line="300" w:lineRule="auto"/>
        <w:ind w:firstLine="1701"/>
        <w:jc w:val="both"/>
        <w:rPr>
          <w:rFonts w:cs="Calibri"/>
          <w:color w:val="000000" w:themeColor="text1"/>
          <w:lang w:val="pt-BR"/>
        </w:rPr>
      </w:pPr>
    </w:p>
    <w:p w14:paraId="2BF9C5FC"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bCs/>
          <w:color w:val="000000" w:themeColor="text1"/>
          <w:lang w:val="pt-BR"/>
        </w:rPr>
      </w:pPr>
      <w:r>
        <w:rPr>
          <w:rFonts w:cs="Calibri"/>
          <w:b/>
          <w:bCs/>
          <w:color w:val="000000" w:themeColor="text1"/>
          <w:lang w:val="pt-BR"/>
        </w:rPr>
        <w:t>3 - DO DIREITO</w:t>
      </w:r>
    </w:p>
    <w:p w14:paraId="282D203A" w14:textId="77777777" w:rsidR="00B7465A" w:rsidRPr="00B7465A" w:rsidRDefault="00B7465A" w:rsidP="00B7465A">
      <w:pPr>
        <w:spacing w:line="300" w:lineRule="auto"/>
        <w:jc w:val="both"/>
        <w:rPr>
          <w:rFonts w:cs="Calibri"/>
          <w:color w:val="000000" w:themeColor="text1"/>
          <w:lang w:val="pt-BR"/>
        </w:rPr>
      </w:pPr>
    </w:p>
    <w:p w14:paraId="663A1614"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themeColor="text1"/>
          <w:lang w:val="pt-BR"/>
        </w:rPr>
      </w:pPr>
      <w:r>
        <w:rPr>
          <w:rFonts w:cs="Calibri"/>
          <w:b/>
          <w:bCs/>
          <w:color w:val="000000" w:themeColor="text1"/>
          <w:lang w:val="pt-BR"/>
        </w:rPr>
        <w:t>3.1 - DO PLANO DE CARGOS, CARREIRAS E REMUNERAÇÃO – LEI N° 3.469/2009</w:t>
      </w:r>
    </w:p>
    <w:p w14:paraId="5D6DE244" w14:textId="77777777" w:rsidR="00B7465A" w:rsidRPr="00B7465A" w:rsidRDefault="00B7465A" w:rsidP="00B7465A">
      <w:pPr>
        <w:spacing w:line="300" w:lineRule="auto"/>
        <w:ind w:firstLine="1701"/>
        <w:jc w:val="both"/>
        <w:rPr>
          <w:rFonts w:cs="Calibri"/>
          <w:b/>
          <w:bCs/>
          <w:color w:val="000000" w:themeColor="text1"/>
          <w:lang w:val="pt-BR"/>
        </w:rPr>
      </w:pPr>
    </w:p>
    <w:p w14:paraId="5B8E4536"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A Lei Ordinária Estadual nº 3.469/2009, publicada em 24 de dezembro de 2009, instituiu o Plano de Cargos, Carreiras e Remuneração (PCCR) dos Servidores do Quadro de Pessoal Permanente do Sistema Estadual de Saúde do Amazonas. Seu objetivo principal é promover a isonomia, valorização profissional e padronização remuneratória, com justiça e equidade entre os servidores públicos da saúde estadual.</w:t>
      </w:r>
    </w:p>
    <w:p w14:paraId="7C0201C7" w14:textId="77777777" w:rsidR="00B7465A" w:rsidRPr="00B7465A" w:rsidRDefault="00B7465A" w:rsidP="00B7465A">
      <w:pPr>
        <w:spacing w:line="300" w:lineRule="auto"/>
        <w:ind w:firstLine="1701"/>
        <w:jc w:val="both"/>
        <w:rPr>
          <w:rFonts w:cs="Calibri"/>
          <w:color w:val="000000" w:themeColor="text1"/>
          <w:lang w:val="pt-BR"/>
        </w:rPr>
      </w:pPr>
    </w:p>
    <w:p w14:paraId="740B3556"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Conforme o disposto em seu artigo 13, inciso II, alíneas “a” e “b”, e artigos 14 e 15, o enquadramento funcional deveria obedecer ao critério de interstício de 2 (dois) anos para progressão horizontal entre referências dentro da mesma classe, e à promoção vertical apenas para os servidores posicionados na última referência da classe, desde que preenchidos os requisitos objetivos, como o tempo de serviço e qualificação mínima.</w:t>
      </w:r>
    </w:p>
    <w:p w14:paraId="6D0A22CB" w14:textId="77777777" w:rsidR="00B7465A" w:rsidRPr="00B7465A" w:rsidRDefault="00B7465A" w:rsidP="00B7465A">
      <w:pPr>
        <w:spacing w:line="300" w:lineRule="auto"/>
        <w:ind w:firstLine="1418"/>
        <w:jc w:val="both"/>
        <w:rPr>
          <w:rFonts w:cs="Calibri"/>
          <w:color w:val="000000" w:themeColor="text1"/>
          <w:lang w:val="pt-BR"/>
        </w:rPr>
      </w:pPr>
    </w:p>
    <w:p w14:paraId="38E5BE02"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Art. 13. </w:t>
      </w:r>
      <w:r>
        <w:rPr>
          <w:rFonts w:cs="Calibri"/>
          <w:color w:val="000000" w:themeColor="text1"/>
          <w:sz w:val="20"/>
          <w:szCs w:val="20"/>
          <w:lang w:val="pt-BR"/>
        </w:rPr>
        <w:t>O enquadramento de que trata este capítulo obedecerá aos seguintes critérios:</w:t>
      </w:r>
    </w:p>
    <w:p w14:paraId="60B71ABB"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6B896720"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I - </w:t>
      </w:r>
      <w:r>
        <w:rPr>
          <w:rFonts w:cs="Calibri"/>
          <w:color w:val="000000" w:themeColor="text1"/>
          <w:sz w:val="20"/>
          <w:szCs w:val="20"/>
          <w:lang w:val="pt-BR"/>
        </w:rPr>
        <w:t>o cumprimento da qualificação necessária estabelecida no Anexo IV desta Lei;</w:t>
      </w:r>
    </w:p>
    <w:p w14:paraId="114625BF"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4B22D240"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II - </w:t>
      </w:r>
      <w:r>
        <w:rPr>
          <w:rFonts w:cs="Calibri"/>
          <w:color w:val="000000" w:themeColor="text1"/>
          <w:sz w:val="20"/>
          <w:szCs w:val="20"/>
          <w:lang w:val="pt-BR"/>
        </w:rPr>
        <w:t>o tempo de serviço em efetivo exercício na classe atual, para efeito de classificação em cada referência da nova classe, compreendendo:</w:t>
      </w:r>
    </w:p>
    <w:p w14:paraId="11E8AE21"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266CE967"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a) </w:t>
      </w:r>
      <w:r>
        <w:rPr>
          <w:rFonts w:cs="Calibri"/>
          <w:color w:val="000000" w:themeColor="text1"/>
          <w:sz w:val="20"/>
          <w:szCs w:val="20"/>
          <w:lang w:val="pt-BR"/>
        </w:rPr>
        <w:t>até 03 (três) anos na referência inicial;</w:t>
      </w:r>
    </w:p>
    <w:p w14:paraId="3B42DDD9"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0F45A7F9"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b) </w:t>
      </w:r>
      <w:r>
        <w:rPr>
          <w:rFonts w:cs="Calibri"/>
          <w:color w:val="000000" w:themeColor="text1"/>
          <w:sz w:val="20"/>
          <w:szCs w:val="20"/>
          <w:lang w:val="pt-BR"/>
        </w:rPr>
        <w:t>01 (uma) referência a cada 02 (dois) anos de tempo de serviço, alcançada a estabilidade.</w:t>
      </w:r>
    </w:p>
    <w:p w14:paraId="7E49C2A3" w14:textId="77777777" w:rsidR="00B7465A" w:rsidRPr="00B7465A" w:rsidRDefault="00B7465A" w:rsidP="00B7465A">
      <w:pPr>
        <w:spacing w:line="300" w:lineRule="auto"/>
        <w:jc w:val="both"/>
        <w:rPr>
          <w:rFonts w:cs="Calibri"/>
          <w:color w:val="000000" w:themeColor="text1"/>
          <w:lang w:val="pt-BR"/>
        </w:rPr>
      </w:pPr>
    </w:p>
    <w:p w14:paraId="6EBCD67B"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lastRenderedPageBreak/>
        <w:t>No intuito de esclarecer o objeto da ação, colaciona-se abaixo o Anexo II da Lei supramencionada, onde demonstra tabela elucidativa dos vencimentos e gratificações de saúde: (Doc. Anexo).</w:t>
      </w:r>
    </w:p>
    <w:p w14:paraId="5D7D22D8" w14:textId="77777777" w:rsidR="00B7465A" w:rsidRPr="00B7465A" w:rsidRDefault="00B7465A" w:rsidP="00B7465A">
      <w:pPr>
        <w:spacing w:line="300" w:lineRule="auto"/>
        <w:jc w:val="both"/>
        <w:rPr>
          <w:rFonts w:cs="Calibri"/>
          <w:color w:val="000000" w:themeColor="text1"/>
          <w:lang w:val="pt-BR"/>
        </w:rPr>
      </w:pPr>
    </w:p>
    <w:p w14:paraId="24AEA38B" w14:textId="77777777" w:rsidR="00B7465A" w:rsidRPr="00B7465A" w:rsidRDefault="00B7465A" w:rsidP="00B7465A">
      <w:pPr>
        <w:spacing w:line="300" w:lineRule="auto"/>
        <w:jc w:val="center"/>
        <w:rPr>
          <w:rFonts w:cs="Calibri"/>
          <w:color w:val="000000" w:themeColor="text1"/>
          <w:lang w:val="pt-BR"/>
        </w:rPr>
      </w:pPr>
      <w:r>
        <w:rPr>
          <w:rFonts w:cs="Calibri"/>
          <w:noProof/>
          <w:color w:val="000000" w:themeColor="text1"/>
          <w:lang w:val="pt-BR"/>
        </w:rPr>
        <w:drawing>
          <wp:inline distT="0" distB="0" distL="0" distR="0" wp14:anchorId="33E4B110" wp14:editId="67697A5E">
            <wp:extent cx="5010912" cy="3211697"/>
            <wp:effectExtent l="0" t="0" r="0" b="8255"/>
            <wp:docPr id="16689459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3753" cy="3219927"/>
                    </a:xfrm>
                    <a:prstGeom prst="rect">
                      <a:avLst/>
                    </a:prstGeom>
                    <a:noFill/>
                    <a:ln>
                      <a:noFill/>
                    </a:ln>
                  </pic:spPr>
                </pic:pic>
              </a:graphicData>
            </a:graphic>
          </wp:inline>
        </w:drawing>
      </w:r>
    </w:p>
    <w:p w14:paraId="5AC4D4A0" w14:textId="77777777" w:rsidR="00B7465A" w:rsidRPr="00B7465A" w:rsidRDefault="00B7465A" w:rsidP="00B7465A">
      <w:pPr>
        <w:spacing w:line="300" w:lineRule="auto"/>
        <w:ind w:firstLine="1701"/>
        <w:jc w:val="both"/>
        <w:rPr>
          <w:rFonts w:cs="Calibri"/>
          <w:color w:val="000000" w:themeColor="text1"/>
          <w:lang w:val="pt-BR"/>
        </w:rPr>
      </w:pPr>
    </w:p>
    <w:p w14:paraId="4C1DE2C1"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Como se pode observar acima, dentro de cada Grupo Ocupacional existe as chamadas Classes (A, B, C e D ou E, F, G e H) que determinam o vencimento e a gratificação de saúde, sendo certo que conforme o tempo de serviço, há uma progressão para as chamadas Referências (1, 2, 3 e 4).</w:t>
      </w:r>
    </w:p>
    <w:p w14:paraId="3190DDC8" w14:textId="77777777" w:rsidR="00B7465A" w:rsidRPr="00B7465A" w:rsidRDefault="00B7465A" w:rsidP="00B7465A">
      <w:pPr>
        <w:spacing w:line="300" w:lineRule="auto"/>
        <w:ind w:firstLine="1418"/>
        <w:jc w:val="both"/>
        <w:rPr>
          <w:rFonts w:cs="Calibri"/>
          <w:color w:val="000000" w:themeColor="text1"/>
          <w:lang w:val="pt-BR"/>
        </w:rPr>
      </w:pPr>
    </w:p>
    <w:p w14:paraId="1D990911"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Deste modo, o tempo efetivo de serviço é computado para fins de enquadramento na Lei Complementar nº 3.469/2009. Conforme preconizam os §§ 5º e 6º do art. 15, as regras para progressão e promoção são as seguintes:</w:t>
      </w:r>
    </w:p>
    <w:p w14:paraId="12FD88A0" w14:textId="77777777" w:rsidR="00B7465A" w:rsidRPr="00B7465A" w:rsidRDefault="00B7465A" w:rsidP="00B7465A">
      <w:pPr>
        <w:spacing w:line="300" w:lineRule="auto"/>
        <w:ind w:firstLine="1418"/>
        <w:jc w:val="both"/>
        <w:rPr>
          <w:rFonts w:cs="Calibri"/>
          <w:color w:val="000000" w:themeColor="text1"/>
          <w:lang w:val="pt-BR"/>
        </w:rPr>
      </w:pPr>
    </w:p>
    <w:p w14:paraId="236F257D" w14:textId="77777777" w:rsidR="00B7465A" w:rsidRPr="00B7465A" w:rsidRDefault="00B7465A" w:rsidP="00B7465A">
      <w:pPr>
        <w:pStyle w:val="PargrafodaLista"/>
        <w:numPr>
          <w:ilvl w:val="0"/>
          <w:numId w:val="38"/>
        </w:numPr>
        <w:spacing w:after="0" w:line="300" w:lineRule="auto"/>
        <w:ind w:left="0" w:firstLine="1418"/>
        <w:jc w:val="both"/>
        <w:rPr>
          <w:rFonts w:cs="Calibri"/>
          <w:color w:val="000000" w:themeColor="text1"/>
        </w:rPr>
      </w:pPr>
      <w:r>
        <w:rPr>
          <w:rFonts w:cs="Calibri"/>
          <w:b/>
          <w:bCs/>
          <w:color w:val="000000" w:themeColor="text1"/>
        </w:rPr>
        <w:t>PROGRESSÃO HORIZONTAL:</w:t>
      </w:r>
      <w:r>
        <w:rPr>
          <w:rFonts w:cs="Calibri"/>
          <w:color w:val="000000" w:themeColor="text1"/>
        </w:rPr>
        <w:t xml:space="preserve"> Ocorrerá de uma referência para a outra, na mesma classe, obedecendo ao interstício mínimo de 24 (vinte e quatro) meses a partir do enquadramento. A primeira progressão terá um prazo excepcional de 3 (três) anos, para fins de cumprimento do estágio probatório, conforme Art. 13, II, “a”.</w:t>
      </w:r>
    </w:p>
    <w:p w14:paraId="79FDEB32" w14:textId="77777777" w:rsidR="00B7465A" w:rsidRPr="00B7465A" w:rsidRDefault="00B7465A" w:rsidP="00B7465A">
      <w:pPr>
        <w:pStyle w:val="PargrafodaLista"/>
        <w:spacing w:after="0" w:line="300" w:lineRule="auto"/>
        <w:ind w:left="0" w:firstLine="1418"/>
        <w:jc w:val="both"/>
        <w:rPr>
          <w:rFonts w:cs="Calibri"/>
          <w:color w:val="000000" w:themeColor="text1"/>
        </w:rPr>
      </w:pPr>
    </w:p>
    <w:p w14:paraId="1D34E59C" w14:textId="77777777" w:rsidR="00B7465A" w:rsidRPr="00B7465A" w:rsidRDefault="00B7465A" w:rsidP="00B7465A">
      <w:pPr>
        <w:pStyle w:val="PargrafodaLista"/>
        <w:numPr>
          <w:ilvl w:val="0"/>
          <w:numId w:val="38"/>
        </w:numPr>
        <w:spacing w:after="0" w:line="300" w:lineRule="auto"/>
        <w:ind w:left="0" w:firstLine="1418"/>
        <w:jc w:val="both"/>
        <w:rPr>
          <w:rFonts w:cs="Calibri"/>
          <w:color w:val="000000" w:themeColor="text1"/>
        </w:rPr>
      </w:pPr>
      <w:r>
        <w:rPr>
          <w:rFonts w:cs="Calibri"/>
          <w:b/>
          <w:bCs/>
          <w:color w:val="000000" w:themeColor="text1"/>
        </w:rPr>
        <w:t>PROMOÇÃO VERTICAL:</w:t>
      </w:r>
      <w:r>
        <w:rPr>
          <w:rFonts w:cs="Calibri"/>
          <w:color w:val="000000" w:themeColor="text1"/>
        </w:rPr>
        <w:t xml:space="preserve"> Será concedida somente ao servidor que estiver na última referência da classe do cargo que ocupa, para a classe imediatamente superior.</w:t>
      </w:r>
    </w:p>
    <w:p w14:paraId="115962AC" w14:textId="77777777" w:rsidR="00B7465A" w:rsidRPr="00B7465A" w:rsidRDefault="00B7465A" w:rsidP="00B7465A">
      <w:pPr>
        <w:spacing w:line="300" w:lineRule="auto"/>
        <w:ind w:firstLine="1701"/>
        <w:jc w:val="both"/>
        <w:rPr>
          <w:rFonts w:cs="Calibri"/>
          <w:color w:val="000000" w:themeColor="text1"/>
          <w:lang w:val="pt-BR"/>
        </w:rPr>
      </w:pPr>
    </w:p>
    <w:p w14:paraId="2D2B2186"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Art. 15. </w:t>
      </w:r>
      <w:r>
        <w:rPr>
          <w:rFonts w:cs="Calibri"/>
          <w:color w:val="000000" w:themeColor="text1"/>
          <w:sz w:val="20"/>
          <w:szCs w:val="20"/>
          <w:lang w:val="pt-BR"/>
        </w:rPr>
        <w:t>A partir do enquadramento, a evolução funcional dos ocupantes dos cargos constantes do Anexo I desta Lei, dar-se-á sob as formas de Promoção e Progressão horizontal.</w:t>
      </w:r>
    </w:p>
    <w:p w14:paraId="6AB1DEA1" w14:textId="77777777" w:rsidR="00B7465A" w:rsidRPr="00B7465A" w:rsidRDefault="00B7465A" w:rsidP="00B7465A">
      <w:pPr>
        <w:spacing w:line="240" w:lineRule="auto"/>
        <w:ind w:left="2268"/>
        <w:jc w:val="both"/>
        <w:rPr>
          <w:rFonts w:cs="Calibri"/>
          <w:color w:val="000000" w:themeColor="text1"/>
          <w:sz w:val="20"/>
          <w:szCs w:val="20"/>
          <w:lang w:val="pt-BR"/>
        </w:rPr>
      </w:pPr>
    </w:p>
    <w:p w14:paraId="44B6B53B"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w:t>
      </w:r>
    </w:p>
    <w:p w14:paraId="3053841B"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0EFFDA53"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§5.º </w:t>
      </w:r>
      <w:r>
        <w:rPr>
          <w:rFonts w:cs="Calibri"/>
          <w:color w:val="000000" w:themeColor="text1"/>
          <w:sz w:val="20"/>
          <w:szCs w:val="20"/>
          <w:lang w:val="pt-BR"/>
        </w:rPr>
        <w:t>A progressão horizontal ocorrerá de uma referência para a outra, na mesma classe, obedecendo ao interstício mínimo de 24 (vinte e quatro) meses, a partir do enquadramento.</w:t>
      </w:r>
    </w:p>
    <w:p w14:paraId="086765D1"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01B9B73B"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§6.º </w:t>
      </w:r>
      <w:r>
        <w:rPr>
          <w:rFonts w:cs="Calibri"/>
          <w:color w:val="000000" w:themeColor="text1"/>
          <w:sz w:val="20"/>
          <w:szCs w:val="20"/>
          <w:lang w:val="pt-BR"/>
        </w:rPr>
        <w:t>A promoção vertical dar-se-á somente para o servidor que estiver na última referência da classe do cargo que ocupa, para a classe imediatamente superior.</w:t>
      </w:r>
    </w:p>
    <w:p w14:paraId="4CB6FDAB" w14:textId="77777777" w:rsidR="00B7465A" w:rsidRPr="00B7465A" w:rsidRDefault="00B7465A" w:rsidP="00B7465A">
      <w:pPr>
        <w:tabs>
          <w:tab w:val="left" w:pos="1486"/>
        </w:tabs>
        <w:spacing w:line="300" w:lineRule="auto"/>
        <w:jc w:val="both"/>
        <w:rPr>
          <w:rFonts w:cs="Calibri"/>
          <w:color w:val="000000" w:themeColor="text1"/>
          <w:lang w:val="pt-BR"/>
        </w:rPr>
      </w:pPr>
      <w:r>
        <w:rPr>
          <w:rFonts w:cs="Calibri"/>
          <w:color w:val="000000" w:themeColor="text1"/>
          <w:lang w:val="pt-BR"/>
        </w:rPr>
        <w:tab/>
      </w:r>
    </w:p>
    <w:p w14:paraId="232E5B8C" w14:textId="77777777" w:rsidR="00B7465A" w:rsidRPr="00B7465A" w:rsidRDefault="00B7465A" w:rsidP="00B7465A">
      <w:pPr>
        <w:tabs>
          <w:tab w:val="left" w:pos="1486"/>
        </w:tabs>
        <w:spacing w:line="300" w:lineRule="auto"/>
        <w:ind w:firstLine="1276"/>
        <w:jc w:val="both"/>
        <w:rPr>
          <w:rFonts w:cs="Calibri"/>
          <w:color w:val="000000" w:themeColor="text1"/>
          <w:lang w:val="pt-BR"/>
        </w:rPr>
      </w:pPr>
      <w:r>
        <w:rPr>
          <w:rFonts w:cs="Calibri"/>
          <w:color w:val="000000" w:themeColor="text1"/>
          <w:lang w:val="pt-BR"/>
        </w:rPr>
        <w:t>Para melhor elucidar a explicação acima, a Secretaria de Estado de Saúde (SES, antiga SUSAM) desenvolveu uma cartilha a fim de instruir e orientar os servidores. Esta cartilha apresenta tabelas importantes, que seguem abaixo para demonstrar, de forma didática, a progressão horizontal e a promoção vertical. É importante ressaltar que cada progressão e/ou promoção corresponde a um valor superior ao anterior.</w:t>
      </w:r>
    </w:p>
    <w:p w14:paraId="447ACCD8" w14:textId="77777777" w:rsidR="00B7465A" w:rsidRPr="00B7465A" w:rsidRDefault="00B7465A" w:rsidP="00B7465A">
      <w:pPr>
        <w:tabs>
          <w:tab w:val="left" w:pos="1486"/>
        </w:tabs>
        <w:spacing w:line="300" w:lineRule="auto"/>
        <w:jc w:val="both"/>
        <w:rPr>
          <w:rFonts w:cs="Calibri"/>
          <w:color w:val="000000" w:themeColor="text1"/>
          <w:lang w:val="pt-BR"/>
        </w:rPr>
      </w:pPr>
    </w:p>
    <w:p w14:paraId="36116325" w14:textId="77777777" w:rsidR="00B7465A" w:rsidRPr="00B7465A" w:rsidRDefault="00B7465A" w:rsidP="00B7465A">
      <w:pPr>
        <w:spacing w:line="300" w:lineRule="auto"/>
        <w:jc w:val="center"/>
        <w:rPr>
          <w:rFonts w:cs="Calibri"/>
          <w:color w:val="000000" w:themeColor="text1"/>
          <w:lang w:val="pt-BR"/>
        </w:rPr>
      </w:pPr>
      <w:bookmarkStart w:id="7" w:name="_Hlk199415053"/>
      <w:r>
        <w:rPr>
          <w:rFonts w:cs="Calibri"/>
          <w:noProof/>
          <w:color w:val="000000" w:themeColor="text1"/>
          <w:lang w:val="pt-BR"/>
        </w:rPr>
        <w:drawing>
          <wp:inline distT="0" distB="0" distL="0" distR="0" wp14:anchorId="548853E5" wp14:editId="0D0759AD">
            <wp:extent cx="2779014" cy="2171435"/>
            <wp:effectExtent l="0" t="0" r="2540" b="635"/>
            <wp:docPr id="210954458"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4458" name="Imagem 1" descr="Tabela  O conteúdo gerado por IA pode estar incorreto."/>
                    <pic:cNvPicPr/>
                  </pic:nvPicPr>
                  <pic:blipFill>
                    <a:blip r:embed="rId11"/>
                    <a:stretch>
                      <a:fillRect/>
                    </a:stretch>
                  </pic:blipFill>
                  <pic:spPr>
                    <a:xfrm>
                      <a:off x="0" y="0"/>
                      <a:ext cx="2792394" cy="2181890"/>
                    </a:xfrm>
                    <a:prstGeom prst="rect">
                      <a:avLst/>
                    </a:prstGeom>
                  </pic:spPr>
                </pic:pic>
              </a:graphicData>
            </a:graphic>
          </wp:inline>
        </w:drawing>
      </w:r>
    </w:p>
    <w:p w14:paraId="541552C3" w14:textId="77777777" w:rsidR="00B7465A" w:rsidRPr="00B7465A" w:rsidRDefault="00B7465A" w:rsidP="00B7465A">
      <w:pPr>
        <w:spacing w:line="300" w:lineRule="auto"/>
        <w:rPr>
          <w:rFonts w:cs="Calibri"/>
          <w:color w:val="000000" w:themeColor="text1"/>
          <w:lang w:val="pt-BR"/>
        </w:rPr>
      </w:pPr>
    </w:p>
    <w:p w14:paraId="5114F840" w14:textId="77777777" w:rsidR="00B7465A" w:rsidRPr="00B7465A" w:rsidRDefault="00B7465A" w:rsidP="00B7465A">
      <w:pPr>
        <w:spacing w:line="300" w:lineRule="auto"/>
        <w:jc w:val="center"/>
        <w:rPr>
          <w:rFonts w:cs="Calibri"/>
          <w:color w:val="000000" w:themeColor="text1"/>
          <w:lang w:val="pt-BR"/>
        </w:rPr>
      </w:pPr>
      <w:r>
        <w:rPr>
          <w:rFonts w:cs="Calibri"/>
          <w:noProof/>
          <w:color w:val="000000" w:themeColor="text1"/>
          <w:lang w:val="pt-BR"/>
        </w:rPr>
        <w:drawing>
          <wp:inline distT="0" distB="0" distL="0" distR="0" wp14:anchorId="6E080162" wp14:editId="442A0E01">
            <wp:extent cx="3513021" cy="2077516"/>
            <wp:effectExtent l="0" t="0" r="0" b="0"/>
            <wp:docPr id="788671755"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71755" name="Imagem 1" descr="Tabela  O conteúdo gerado por IA pode estar incorreto."/>
                    <pic:cNvPicPr/>
                  </pic:nvPicPr>
                  <pic:blipFill>
                    <a:blip r:embed="rId12"/>
                    <a:stretch>
                      <a:fillRect/>
                    </a:stretch>
                  </pic:blipFill>
                  <pic:spPr>
                    <a:xfrm>
                      <a:off x="0" y="0"/>
                      <a:ext cx="3518628" cy="2080832"/>
                    </a:xfrm>
                    <a:prstGeom prst="rect">
                      <a:avLst/>
                    </a:prstGeom>
                  </pic:spPr>
                </pic:pic>
              </a:graphicData>
            </a:graphic>
          </wp:inline>
        </w:drawing>
      </w:r>
    </w:p>
    <w:bookmarkEnd w:id="7"/>
    <w:p w14:paraId="2C84A14B" w14:textId="77777777" w:rsidR="00B7465A" w:rsidRPr="00B7465A" w:rsidRDefault="00B7465A" w:rsidP="00B7465A">
      <w:pPr>
        <w:spacing w:line="300" w:lineRule="auto"/>
        <w:ind w:firstLine="1701"/>
        <w:jc w:val="both"/>
        <w:rPr>
          <w:rFonts w:cs="Calibri"/>
          <w:color w:val="000000" w:themeColor="text1"/>
          <w:lang w:val="pt-BR"/>
        </w:rPr>
      </w:pPr>
    </w:p>
    <w:p w14:paraId="772C7F41"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Portanto, nota-se que, desde a vigência da Lei Ordinária Estadual nº 3.469/09, os servidores estatutários da saúde têm sofrido com a não implantação das evoluções e enquadramentos funcionais. Isso acarreta prejuízos MENSAIS E SUCESSIVOS em suas remunerações, uma vez que se trata de verba exclusivamente alimentar.</w:t>
      </w:r>
    </w:p>
    <w:p w14:paraId="011AC59F" w14:textId="77777777" w:rsidR="00B7465A" w:rsidRPr="00B7465A" w:rsidRDefault="00B7465A" w:rsidP="00B7465A">
      <w:pPr>
        <w:spacing w:line="300" w:lineRule="auto"/>
        <w:ind w:firstLine="1418"/>
        <w:jc w:val="both"/>
        <w:rPr>
          <w:rFonts w:cs="Calibri"/>
          <w:color w:val="000000" w:themeColor="text1"/>
          <w:lang w:val="pt-BR"/>
        </w:rPr>
      </w:pPr>
    </w:p>
    <w:p w14:paraId="7B1C128A"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lastRenderedPageBreak/>
        <w:t>Vale ressaltar que a Constituição Federal, em seu artigo 169, § 1º, inciso I, disciplina que todo e qualquer reajuste ou vantagem concedidos aos servidores públicos pressupõe um prévio planejamento orçamentário.</w:t>
      </w:r>
    </w:p>
    <w:p w14:paraId="7F0037A9" w14:textId="77777777" w:rsidR="00B7465A" w:rsidRPr="00B7465A" w:rsidRDefault="00B7465A" w:rsidP="00B7465A">
      <w:pPr>
        <w:spacing w:line="300" w:lineRule="auto"/>
        <w:ind w:firstLine="1418"/>
        <w:jc w:val="both"/>
        <w:rPr>
          <w:rFonts w:cs="Calibri"/>
          <w:color w:val="000000" w:themeColor="text1"/>
          <w:lang w:val="pt-BR"/>
        </w:rPr>
      </w:pPr>
    </w:p>
    <w:p w14:paraId="4664399E"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Ora, Excelência, o reajuste devido à parte autora é resultado de uma Lei Ordinária Estadual já devidamente regulamentada. </w:t>
      </w:r>
      <w:r>
        <w:rPr>
          <w:rFonts w:cs="Calibri"/>
          <w:b/>
          <w:bCs/>
          <w:color w:val="000000" w:themeColor="text1"/>
          <w:lang w:val="pt-BR"/>
        </w:rPr>
        <w:t>Assim, qualquer alegação de limite prudencial previsto na Lei de Responsabilidade Fiscal ou de falta de dotação orçamentária não deve prosperar</w:t>
      </w:r>
      <w:r>
        <w:rPr>
          <w:rFonts w:cs="Calibri"/>
          <w:color w:val="000000" w:themeColor="text1"/>
          <w:lang w:val="pt-BR"/>
        </w:rPr>
        <w:t>. Isso porque o Poder Executivo do Amazonas é o responsável exclusivo pela gestão dos gastos públicos e, portanto, não pode suprimir ou negar direitos adquiridos dos servidores públicos.</w:t>
      </w:r>
    </w:p>
    <w:p w14:paraId="0E03398B" w14:textId="77777777" w:rsidR="00B7465A" w:rsidRPr="00B7465A" w:rsidRDefault="00B7465A" w:rsidP="00B7465A">
      <w:pPr>
        <w:spacing w:line="300" w:lineRule="auto"/>
        <w:ind w:firstLine="1418"/>
        <w:jc w:val="both"/>
        <w:rPr>
          <w:rFonts w:cs="Calibri"/>
          <w:color w:val="000000" w:themeColor="text1"/>
          <w:lang w:val="pt-BR"/>
        </w:rPr>
      </w:pPr>
    </w:p>
    <w:p w14:paraId="2CC3467D"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Ante a omissão do ente público, este E. Tribunal de Justiça tem se posicionado tanto em casos de mesmo teor, como em casos análogos, pela concessão da progressão do servidor público, vejamos:</w:t>
      </w:r>
    </w:p>
    <w:p w14:paraId="5A73FDB4" w14:textId="77777777" w:rsidR="00B7465A" w:rsidRPr="00B7465A" w:rsidRDefault="00B7465A" w:rsidP="00B7465A">
      <w:pPr>
        <w:spacing w:line="300" w:lineRule="auto"/>
        <w:ind w:firstLine="1701"/>
        <w:jc w:val="both"/>
        <w:rPr>
          <w:rFonts w:cs="Calibri"/>
          <w:color w:val="000000" w:themeColor="text1"/>
          <w:lang w:val="pt-BR"/>
        </w:rPr>
      </w:pPr>
    </w:p>
    <w:p w14:paraId="2ED8C97E" w14:textId="77777777" w:rsidR="00B7465A" w:rsidRPr="00B7465A" w:rsidRDefault="00B7465A" w:rsidP="00B7465A">
      <w:pPr>
        <w:pStyle w:val="PargrafodaLista"/>
        <w:numPr>
          <w:ilvl w:val="0"/>
          <w:numId w:val="39"/>
        </w:numPr>
        <w:spacing w:after="0" w:line="300" w:lineRule="auto"/>
        <w:ind w:left="2268" w:firstLine="0"/>
        <w:jc w:val="both"/>
        <w:rPr>
          <w:rFonts w:cs="Calibri"/>
          <w:b/>
          <w:bCs/>
          <w:color w:val="000000" w:themeColor="text1"/>
        </w:rPr>
      </w:pPr>
      <w:r>
        <w:rPr>
          <w:rFonts w:cs="Calibri"/>
          <w:b/>
          <w:bCs/>
          <w:color w:val="000000" w:themeColor="text1"/>
        </w:rPr>
        <w:t>CÂMARA CÍVEIS DO E. TRIBUNAL DE JUSTIÇA DO AMAZONAS</w:t>
      </w:r>
    </w:p>
    <w:p w14:paraId="4DB6BE37" w14:textId="77777777" w:rsidR="00B7465A" w:rsidRPr="00B7465A" w:rsidRDefault="00B7465A" w:rsidP="00B7465A">
      <w:pPr>
        <w:spacing w:line="300" w:lineRule="auto"/>
        <w:jc w:val="both"/>
        <w:rPr>
          <w:rFonts w:cs="Calibri"/>
          <w:color w:val="000000" w:themeColor="text1"/>
          <w:lang w:val="pt-BR"/>
        </w:rPr>
      </w:pPr>
    </w:p>
    <w:p w14:paraId="76AC1CD8"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 xml:space="preserve">Ementa: DIREITO ADMINISTRATIVO. APELAÇÃO CÍVEL. </w:t>
      </w:r>
      <w:r>
        <w:rPr>
          <w:rFonts w:cs="Calibri"/>
          <w:b/>
          <w:bCs/>
          <w:color w:val="000000" w:themeColor="text1"/>
          <w:sz w:val="20"/>
          <w:szCs w:val="20"/>
          <w:lang w:val="pt-BR"/>
        </w:rPr>
        <w:t>PROGRESSÃO FUNCIONAL DE SERVIDOR PÚBLICO. REAJUSTES SALARIAIS PREVISTOS EM LEI. INÉRCIA ADMINISTRATIVA. PAGAMENTO DE VALORES RETROATIVOS.</w:t>
      </w:r>
      <w:r>
        <w:rPr>
          <w:rFonts w:cs="Calibri"/>
          <w:color w:val="000000" w:themeColor="text1"/>
          <w:sz w:val="20"/>
          <w:szCs w:val="20"/>
          <w:lang w:val="pt-BR"/>
        </w:rPr>
        <w:t xml:space="preserve"> PARCIAL PROVIMENTO DO RECURSO DO SERVIDOR E DESPROVIMENTO DO RECURSO DO ESTADO. I. CASO EM EXAME 1. Apelações cíveis interpostas contra sentença que determinou o enquadramento funcional de servidor público, mas negou o pedido de pagamento de diferenças remuneratórias relativas a reajustes previstos na Lei Estadual nº 4.852/2019. O servidor pleiteia o pagamento retroativo dos reajustes não implementados e reafirma o direito à progressão funcional. O Estado do Amazonas sustenta a inexistência de direito à progressão ou aos valores retroativos, alegando restrições orçamentárias e vedações da Lei de Responsabilidade Fiscal. II. QUESTÃO EM DISCUSSÃO 2. Há três questões em discussão: (i) definir se a progressão funcional do servidor foi realizada de forma regular e em conformidade com os requisitos legais; (ii) apurar se o direito à progressão funcional constitui ato vinculado da Administração, cuja inércia não pode prejudicar o servidor; (iii) determinar se o servidor faz jus ao pagamento de valores retroativos referentes aos reajustes salariais previstos na Lei Estadual nº 4.852/2019, mesmo diante das restrições orçamentárias alegadas. III. RAZÕES DE DECIDIR </w:t>
      </w:r>
      <w:r>
        <w:rPr>
          <w:rFonts w:cs="Calibri"/>
          <w:b/>
          <w:bCs/>
          <w:color w:val="000000" w:themeColor="text1"/>
          <w:sz w:val="20"/>
          <w:szCs w:val="20"/>
          <w:lang w:val="pt-BR"/>
        </w:rPr>
        <w:t>3. A progressão funcional é direito subjetivo do servidor público, condicionado ao cumprimento de requisitos objetivos e subjetivos previstos em lei. A ausência de avaliação de desempenho pela Administração não impede a progressão, considerando que a inércia administrativa não pode prejudicar o direito do servidor. 4. A progressão funcional não configura promoção "per saltum" quando observados os critérios legais, como interstício mínimo e desempenho funcional.</w:t>
      </w:r>
      <w:r>
        <w:rPr>
          <w:rFonts w:cs="Calibri"/>
          <w:color w:val="000000" w:themeColor="text1"/>
          <w:sz w:val="20"/>
          <w:szCs w:val="20"/>
          <w:lang w:val="pt-BR"/>
        </w:rPr>
        <w:t xml:space="preserve"> 5. Reajustes salariais previstos na Lei Estadual nº 4.852/2019 (6,5% para 2020 e 7,5% para 2021) não foram implementados nas datas estipuladas, gerando direito ao pagamento dos valores retroativos. A distinção entre revisão geral anual (data-base) e reajuste específico não afasta a obrigatoriedade de cumprimento das leis que instituem os percentuais de reajuste. 6. A Lei Complementar nº 198/2019, que condiciona reajustes ao controle dos limites fiscais, apenas posterga o pagamento das diferenças remuneratórias, sem extinguir o direito do servidor. 7. A alegação de violação à Lei de Responsabilidade Fiscal não subsiste, conforme entendimento do STJ (Tema 1075), segundo o qual a progressão funcional, por ser direito subjetivo, não está sujeita às restrições orçamentárias da LRF. IV. DISPOSITIVO E TESE 5. Recurso do </w:t>
        <w:lastRenderedPageBreak/>
        <w:t>servidor parcialmente provido para reconhecer o direito ao pagamento dos valores retroativos referentes aos reajustes salariais de 6,5% e 7,5%, previstos na Lei Estadual nº 4.852/2019, com as devidas correções monetárias. Recurso do Estado desprovido. Dispositivos relevantes citados: Lei Estadual nº 3.469/2009, arts. 13 e 15; Lei Estadual nº 4.852/2019, arts. 1º e 2º; Lei Complementar nº 101/2000, art. 22, parágrafo único, I; Lei Complementar nº 198/2019, art. 2º. Jurisprudência relevante citada: STJ, AgInt no AREsp 1809061/ES, Rel. Min. Marco Aurélio Bellizze, DJe 13/08/2021; STJ, Tema 1075, REsp nº 1.878.849/PR; TJAM, Apelação Cível nº 0773540-20.2021.8.04.0001, Rel. Des. Abraham Peixoto Campos Filho, j. 20/05/2024; TJAM, Apelação Cível nº 0546120-53.2023.8.04.0001, Rel. Des. João de Jesus Abdala Simões, j. 04/11/2024. (Apelação Cível Nº 0620084-16.2022.8.04.0001; Relator (a): Onilza Abreu Gerth; Comarca: Manaus/AM; Órgão julgador: Segunda Câmara Cível; Data do julgamento: 15/05/2025; Data de registro: 15/05/2025) – grifo nosso -</w:t>
      </w:r>
    </w:p>
    <w:p w14:paraId="43DB74A4" w14:textId="77777777" w:rsidR="00B7465A" w:rsidRPr="00B7465A" w:rsidRDefault="00B7465A" w:rsidP="00B7465A">
      <w:pPr>
        <w:spacing w:line="300" w:lineRule="auto"/>
        <w:jc w:val="both"/>
        <w:rPr>
          <w:rFonts w:cs="Calibri"/>
          <w:color w:val="000000" w:themeColor="text1"/>
          <w:lang w:val="pt-BR"/>
        </w:rPr>
      </w:pPr>
    </w:p>
    <w:p w14:paraId="5516A041"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 xml:space="preserve">Ementa: APELAÇÕES CÍVEIS. </w:t>
      </w:r>
      <w:r>
        <w:rPr>
          <w:rFonts w:cs="Calibri"/>
          <w:b/>
          <w:bCs/>
          <w:color w:val="000000" w:themeColor="text1"/>
          <w:sz w:val="20"/>
          <w:szCs w:val="20"/>
          <w:lang w:val="pt-BR"/>
        </w:rPr>
        <w:t>SERVIDOR PÚBLICO ESTADUAL DA SES/AM. PROGRESSÃO FUNCIONAL. OMISSÃO ADMINISTRATIVA.</w:t>
      </w:r>
      <w:r>
        <w:rPr>
          <w:rFonts w:cs="Calibri"/>
          <w:color w:val="000000" w:themeColor="text1"/>
          <w:sz w:val="20"/>
          <w:szCs w:val="20"/>
          <w:lang w:val="pt-BR"/>
        </w:rPr>
        <w:t xml:space="preserve"> DATAS-BASE DE 2020 E 2021. LEI ESTADUAL 4.852/19. DIREITO ADQUIRIDO. DANO MORAL. NÃO CONFIGURADO. SENTENÇA PARCIALMENTE REFORMADA. RECURSOS CONHECIDOS. PRIMEIRA APELAÇÃO PROVIDA. SEGUNDA APELAÇÃO NÃO PROVIDA. I - CASO EM EXAME 1. Recursos de apelação interpostos por Maria Solange Moreira Fontenele Figueira e pelo Estado do Amazonas contra sentença que julgou parcialmente procedente ação de obrigação de fazer. A sentença determinou a progressão funcional da autora para a Classe A, referência 2, com pagamento das verbas retroativas correspondentes, e julgou improcedentes os pedidos de danos morais e reajustes de datas-base. II - QUESTÃO EM DISCUSSÃO 2. Há três questões em discussão: (i) definir se há direito à progressão funcional automática em razão de omissão administrativa; (ii) estabelecer se os reajustes de datas-base devem ser reconhecidos retroativamente; e (iii) determinar se a ausência de progressão funcional configura dano moral indenizável. III – RAZÕES DE DECIDIR </w:t>
      </w:r>
      <w:r>
        <w:rPr>
          <w:rFonts w:cs="Calibri"/>
          <w:b/>
          <w:bCs/>
          <w:color w:val="000000" w:themeColor="text1"/>
          <w:sz w:val="20"/>
          <w:szCs w:val="20"/>
          <w:lang w:val="pt-BR"/>
        </w:rPr>
        <w:t xml:space="preserve">3. A progressão funcional de servidores públicos, quando preenchidos os requisitos legais, constitui direito subjetivo e ato vinculado da Administração Pública, sendo possível o controle judicial para suprir omissão administrativa. </w:t>
      </w:r>
      <w:r>
        <w:rPr>
          <w:rFonts w:cs="Calibri"/>
          <w:color w:val="000000" w:themeColor="text1"/>
          <w:sz w:val="20"/>
          <w:szCs w:val="20"/>
          <w:lang w:val="pt-BR"/>
        </w:rPr>
        <w:t>4. Os reajustes de datas-base de 2020 e 2021, previstos na Lei nº 4.852/19, configuram direito adquirido da autora, cuja implementação retroativa é legítima, acrescida de juros e correção monetária. 5. Não há demonstração de violação à dignidade da pessoa ou aos direitos de personalidade que justifique a condenação em danos morais pela ausência de progressão funcional, conforme entendimento consolidado da jurisprudência. IV – DISPOSITIVO E TESE 6. Recurso da autora parcialmente provido para determinar o pagamento dos reajustes de datas-base de 2020 e 2021, bem como a progressão funcional para a Classe A, referência 3. Recurso do Estado desprovido. TESES DE JULGAMENTO 1. A progressão funcional de servidor público constitui direito subjetivo e ato vinculado, não se sujeitando ao juízo de conveniência e oportunidade da Administração Pública. 2. A omissão administrativa em realizar a avaliação de desempenho do servidor não pode prejudicá-lo, impondo-se o reconhecimento do direito à progressão funcional quando preenchidos os requisitos legais objetivos. (Apelação Cível Nº 0583144-18.2023.8.04.0001; Relator (a): Maria das Graças Pessoa Figueiredo; Comarca: Manaus/AM; Órgão julgador: Primeira Câmara Cível; Data do julgamento: 24/03/2025; Data de registro: 28/04/2025) – grifo nosso -</w:t>
      </w:r>
    </w:p>
    <w:p w14:paraId="600EADEF" w14:textId="77777777" w:rsidR="00B7465A" w:rsidRPr="00B7465A" w:rsidRDefault="00B7465A" w:rsidP="00B7465A">
      <w:pPr>
        <w:spacing w:line="240" w:lineRule="auto"/>
        <w:ind w:left="2268"/>
        <w:jc w:val="both"/>
        <w:rPr>
          <w:rFonts w:cs="Calibri"/>
          <w:color w:val="000000" w:themeColor="text1"/>
          <w:sz w:val="20"/>
          <w:szCs w:val="20"/>
          <w:lang w:val="pt-BR"/>
        </w:rPr>
      </w:pPr>
    </w:p>
    <w:p w14:paraId="2E339F3D" w14:textId="77777777" w:rsidR="00B7465A" w:rsidRPr="00B7465A" w:rsidRDefault="00B7465A" w:rsidP="00B7465A">
      <w:pPr>
        <w:pStyle w:val="PargrafodaLista"/>
        <w:numPr>
          <w:ilvl w:val="0"/>
          <w:numId w:val="39"/>
        </w:numPr>
        <w:spacing w:after="0" w:line="300" w:lineRule="auto"/>
        <w:ind w:left="2268" w:firstLine="0"/>
        <w:jc w:val="both"/>
        <w:rPr>
          <w:rFonts w:cs="Calibri"/>
          <w:b/>
          <w:bCs/>
          <w:color w:val="000000" w:themeColor="text1"/>
        </w:rPr>
      </w:pPr>
      <w:r>
        <w:rPr>
          <w:rFonts w:cs="Calibri"/>
          <w:b/>
          <w:bCs/>
          <w:color w:val="000000" w:themeColor="text1"/>
        </w:rPr>
        <w:t>TURMAS RECURSAIS DO E. TRIBUNAL DE JUSTIÇA DO AMAZONAS</w:t>
      </w:r>
    </w:p>
    <w:p w14:paraId="0D70B2D7" w14:textId="77777777" w:rsidR="00B7465A" w:rsidRPr="00B7465A" w:rsidRDefault="00B7465A" w:rsidP="00B7465A">
      <w:pPr>
        <w:spacing w:line="240" w:lineRule="auto"/>
        <w:ind w:left="2268"/>
        <w:jc w:val="both"/>
        <w:rPr>
          <w:rFonts w:cs="Calibri"/>
          <w:color w:val="000000" w:themeColor="text1"/>
          <w:sz w:val="20"/>
          <w:szCs w:val="20"/>
          <w:lang w:val="pt-BR"/>
        </w:rPr>
      </w:pPr>
    </w:p>
    <w:p w14:paraId="3789A71E"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 xml:space="preserve">Ementa: RECURSO INOMINADO. FAZENDA PÚBLICA. AÇÃO DE OBRIGAÇÃO DE FAZER. </w:t>
      </w:r>
      <w:r>
        <w:rPr>
          <w:rFonts w:cs="Calibri"/>
          <w:b/>
          <w:bCs/>
          <w:color w:val="000000" w:themeColor="text1"/>
          <w:sz w:val="20"/>
          <w:szCs w:val="20"/>
          <w:lang w:val="pt-BR"/>
        </w:rPr>
        <w:t xml:space="preserve">PROGRESSÃO FUNCIONAL. PLANO DE CARGOS, CARREIRAS E SALÁRIOS. INÉRCIA ESTATAL. DIREITO À DIFERENÇA DE VALORES RETROATIVOS À PROMOÇÃO </w:t>
        <w:lastRenderedPageBreak/>
        <w:t>ATRASADA, NO PRAZO QUINQUENAL ANTERIOR AO INGRESSO DA PRESENTE AÇÃO. DIREITO GARANTIDO POR LEI E RECONHECIDO NA JURISPRUDÊNCIA. EFEITOS FINANCEIROS RETROATIVOS. MERA CONSEQUÊNCIA LÓGICO-JURÍDICA DO RECONHECIMENTO DO DIREITO À PROMOÇÃO.</w:t>
      </w:r>
      <w:r>
        <w:rPr>
          <w:rFonts w:cs="Calibri"/>
          <w:color w:val="000000" w:themeColor="text1"/>
          <w:sz w:val="20"/>
          <w:szCs w:val="20"/>
          <w:lang w:val="pt-BR"/>
        </w:rPr>
        <w:t xml:space="preserve"> ALEGADA INCONSTITUCIONALIDADE NO ART. 110, §4º, DA CONSTITUIÇÃO ESTADUAL, AFASTADA. RECURSO PROVIDO. SENTENÇA REFORMADA. </w:t>
      </w:r>
      <w:r>
        <w:rPr>
          <w:rFonts w:cs="Calibri"/>
          <w:b/>
          <w:bCs/>
          <w:color w:val="000000" w:themeColor="text1"/>
          <w:sz w:val="20"/>
          <w:szCs w:val="20"/>
          <w:lang w:val="pt-BR"/>
        </w:rPr>
        <w:t>O direito à promoção funcional é garantido pela Lei, sendo certo que o enquadramento e progressão é direito legítimo dos interessados, quando estiverem preenchidos os requisitos legais, não podendo a Administração simplesmente negar por escolha de mérito (ato discricionário), pois se trata de ato vinculado. Nos termos da Lei Estadual 3.469/2009, tanto a promoção quanto a progressão horizontal exigem, além do interstício mínimo de 24 meses, a realização de avaliação de desempenho do servidor. Nesse sentir, considerando o extenso lapso temporal decorrido sem que a Administração Pública procedesse à realização da avaliação de desempenho da parte autora, é inevitável a conclusão de que incidiu em omissão, não sendo possível aproveitar de sua inércia em proveito próprio de forma a prejudicar o servidor público. Logo devem ser considerados em caráter retroativo, pois o não deferimento gera lesão aos interessados, pois obstaculiza o exercício da promoção e benefícios com o passar do tempo a que teriam direito, sendo claro os efeitos retroativos que se espera nessa medida, devidamente corrigidos, como manda a lei.</w:t>
      </w:r>
      <w:r>
        <w:rPr>
          <w:rFonts w:cs="Calibri"/>
          <w:color w:val="000000" w:themeColor="text1"/>
          <w:sz w:val="20"/>
          <w:szCs w:val="20"/>
          <w:lang w:val="pt-BR"/>
        </w:rPr>
        <w:t xml:space="preserve"> Outrossim, acerca da arguida vedação ao Poder Judiciário para fins de fixação de termo para efeitos financeiros, cumpre citar que a concessão dos valores retroativos referentes à promoção é mera consequência lógico-jurídica do próprio reconhecimento do direito, e não fixação discricionária ou desprovida de qualquer lastro jurídico deste juízo. Ademais, é de se rejeitar a falta de dotação orçamentária, vez que tal inviabilidade de consolidação da promoção por conta de questões financeiras mostra-se ilegal. Nesse sentido, a jurisprudência do STJ: ADMINISTRATIVO E PROCESSUAL CIVIL. AGRAVO INTERNO NO AGRAVO EM RECURSO ESPECIAL. SERVIDOR PÚBLICO ESTADUAL. PROGRESSÃO FUNCIONAL. REQUISITOS LEGAIS PREENCHIDOS. ILEGALIDADE DO ATO DE DESCUMPRIMENTO DE DIREITO SUBJETIVO, POR RESTRIÇÕES ORÇAMENTÁRIAS PREVISTAS NA LEI DE RESPONSABILIDADE FISCAL. MATÉRIA JULGADA SOB O RITO DOS RECURSOS REPETITIVOS. AGRAVO INTERNO IMPROVIDO. [...] Conforme o entendimento da Primeira Seção do STJ, firmado sob o rito dos recursos repetitivos, em hipótese idêntica, "é ilegal o ato de não concessão de progressão funcional de servidor público, quando atendidos todos os requisitos legais, a despeito de superados os limites orçamentários previstos na Lei de Responsabilidade Fiscal, referentes a gastos com pessoal de ente público, tendo em vista que a progressão é direito subjetivo do servidor público, decorrente de determinação legal, estando compreendida na exceção prevista no inciso I do parágrafo único do art. 22 da Lei Complementar 101/2000" (STJ, REsp 1.878.849/TO, Rel. Ministro MANOEL ERHARDT (Desembargador Federal convocado do TRF da 5ª Região), PRIMEIRA SEÇÃO, DJe de 15/03/2022). VI. Agravo interno improvido. (STJ - AgInt no AREsp: 1854997 TO 2021/0071927-1, Data de Julgamento: 09/05/2022, T2 - SEGUNDA TURMA, Data de Publicação: DJe 12/05/2022). Por fim, no que tange à suposta inconstitucionalidade formal do §4º, do art. 110, da Constituição Estadual, denota-se que o disposto no parágrafo citado exerce corretamente sua função complementar limitada, apenas especificando o interstício máximo entre as progressões, uma vez que previamente garantidas aos servidores públicos pela Constituição Federal, inexistindo a previsão de necessidade de vagas para preenchimento, conforme entendimento já sedimentado por este Egrégio Tribunal de Justiça (TJ-AM - APL: 06468894020218040001 Manaus, Relator: João de Jesus Abdala Simões, Data de Julgamento: 23/03/2023, Terceira Câmara Cível, Data de Publicação: 23/03/2023). Destarte, imperiosa a reforma da decisão emanada pelo juízo a quo, com a consequente procedência dos pleitos da exordial no que tange ao enquadramento da parte autora em sua classe por direito e ao pagamento das diferenças remuneratórias dele decorrentes, respeitado o prazo prescricional </w:t>
        <w:lastRenderedPageBreak/>
        <w:t>quinquenal. RECURSO CONHECIDO E PROVIDO. Sentença reformada para determinar que o Estado: a) proceda à correção do enquadramento da parte autora na Classe B, referência 1, nos termos da Lei nº 3.469/09, adequando seu piso salarial e gratificação de saúde referente à progressão; b) proceda ao pagamento das diferenças apuradas sobre as parcelas vencidas desde 18 de julho de 2018, no que pertine às progressões devidas, risco de vida, 13º salário e férias, bem como das vincendas no curso do processo, acrescido de juros e correção monetária aplicáveis à Fazenda Pública. Sem custas e honorários. (Recurso Inominado Cível Nº 0551801-04.2023.8.04.0001; Relator (a): Marcelo Manuel da Costa Vieira; Comarca: Manaus/AM; Órgão julgador: 4ª Turma Recursal; Data do julgamento: 30/08/2024; Data de registro: 02/09/2024) – grifo nosso -</w:t>
      </w:r>
    </w:p>
    <w:p w14:paraId="36DCE88A" w14:textId="77777777" w:rsidR="00B7465A" w:rsidRPr="00B7465A" w:rsidRDefault="00B7465A" w:rsidP="00B7465A">
      <w:pPr>
        <w:spacing w:line="240" w:lineRule="auto"/>
        <w:ind w:left="2268"/>
        <w:jc w:val="both"/>
        <w:rPr>
          <w:rFonts w:cs="Calibri"/>
          <w:color w:val="000000" w:themeColor="text1"/>
          <w:sz w:val="20"/>
          <w:szCs w:val="20"/>
          <w:lang w:val="pt-BR"/>
        </w:rPr>
      </w:pPr>
    </w:p>
    <w:p w14:paraId="53D1CA47"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 xml:space="preserve">Ementa: RECURSO INOMINADO. FAZENDA PÚBLICA. DIREITO ADMINISTRATIVO. </w:t>
      </w:r>
      <w:r>
        <w:rPr>
          <w:rFonts w:cs="Calibri"/>
          <w:b/>
          <w:bCs/>
          <w:color w:val="000000" w:themeColor="text1"/>
          <w:sz w:val="20"/>
          <w:szCs w:val="20"/>
          <w:lang w:val="pt-BR"/>
        </w:rPr>
        <w:t>SERVIDOR PÚBLICO DA SECRETARIA DE ESTADO DE SAÚDE. TÉCNICA DE ENFERMAGEM. AUSÊNCIA DE FICHA FUNCIONAL. ÔNUS DO ESTADO. VENIRE CONTRA FACTUM PROPRIUM. SERVIDORA QUE FAZ JUS A PROGRESSÃO HORIZONTAL RETROATIVA. DIREITO SUBJETIVO À EVOLUÇÃO FUNCIONAL E DIFERENÇAS SALARIAIS.</w:t>
      </w:r>
      <w:r>
        <w:rPr>
          <w:rFonts w:cs="Calibri"/>
          <w:color w:val="000000" w:themeColor="text1"/>
          <w:sz w:val="20"/>
          <w:szCs w:val="20"/>
          <w:lang w:val="pt-BR"/>
        </w:rPr>
        <w:t xml:space="preserve"> PREENCHIMENTO DOS REQUISITOS OBJETIVOS DA LEI ESTADUAL N. 3.469/2009. INÉRCIA DO ESTADO EM REALIZAR AVALIAÇÃO DE DESEMPENHO. ATO VINCULADO. DEVER DA ADMINISTRAÇÃO. PROGRESSÕES SUCESSIVAS NO CURSO DA DEMANDA. INCIDÊNCIA DO ART. 493 CPC. SENTENÇA REFORMADA. RECURSO CONHECIDO E PARCIALMENTE PROVIDO. (Recurso Inominado Cível Nº 0754250-19.2021.8.04.0001; Relator (a): Cláudia Monteiro Pereira Batista; Comarca: Manaus/AM; Órgão julgador: 4ª Turma Recursal; Data do julgamento: 30/08/2024; Data de registro: 30/08/2024) – grifo nosso -</w:t>
      </w:r>
    </w:p>
    <w:p w14:paraId="3249DEF5" w14:textId="77777777" w:rsidR="00B7465A" w:rsidRPr="00B7465A" w:rsidRDefault="00B7465A" w:rsidP="00B7465A">
      <w:pPr>
        <w:spacing w:line="300" w:lineRule="auto"/>
        <w:jc w:val="both"/>
        <w:rPr>
          <w:rFonts w:cs="Calibri"/>
          <w:i/>
          <w:iCs/>
          <w:color w:val="000000" w:themeColor="text1"/>
          <w:lang w:val="pt-BR"/>
        </w:rPr>
      </w:pPr>
    </w:p>
    <w:p w14:paraId="56FB3CB0"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Destaca-se que antes de promulgar qualquer lei orçamentária, existe um processo legislativo que pressupõe a sua edição. Para que isso ocorra são feitos estudos de impactos orçamentários, todos previstos há época do planejamento legislativo – </w:t>
      </w:r>
      <w:r>
        <w:rPr>
          <w:rFonts w:cs="Calibri"/>
          <w:b/>
          <w:bCs/>
          <w:color w:val="000000" w:themeColor="text1"/>
          <w:lang w:val="pt-BR"/>
        </w:rPr>
        <w:t>Todo o custo de operacionalização da máquina pública é previamente estudado, e isso é fato!</w:t>
      </w:r>
    </w:p>
    <w:p w14:paraId="7F54040D" w14:textId="77777777" w:rsidR="00B7465A" w:rsidRPr="00B7465A" w:rsidRDefault="00B7465A" w:rsidP="00B7465A">
      <w:pPr>
        <w:spacing w:line="300" w:lineRule="auto"/>
        <w:ind w:firstLine="1418"/>
        <w:jc w:val="both"/>
        <w:rPr>
          <w:rFonts w:cs="Calibri"/>
          <w:color w:val="000000" w:themeColor="text1"/>
          <w:lang w:val="pt-BR"/>
        </w:rPr>
      </w:pPr>
    </w:p>
    <w:p w14:paraId="552C57F0"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De outra banda, importante mencionar que o direito aqui discutido é exceção na Lei Complementar n° 101/2000 (Lei de Responsabilidade Fiscal), vejamos:</w:t>
      </w:r>
    </w:p>
    <w:p w14:paraId="21367DB6" w14:textId="77777777" w:rsidR="00B7465A" w:rsidRPr="00B7465A" w:rsidRDefault="00B7465A" w:rsidP="00B7465A">
      <w:pPr>
        <w:spacing w:line="300" w:lineRule="auto"/>
        <w:jc w:val="both"/>
        <w:rPr>
          <w:rFonts w:cs="Calibri"/>
          <w:color w:val="000000" w:themeColor="text1"/>
          <w:lang w:val="pt-BR"/>
        </w:rPr>
      </w:pPr>
    </w:p>
    <w:p w14:paraId="42817BB2"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Art. 22. </w:t>
      </w:r>
      <w:r>
        <w:rPr>
          <w:rFonts w:cs="Calibri"/>
          <w:color w:val="000000" w:themeColor="text1"/>
          <w:sz w:val="20"/>
          <w:szCs w:val="20"/>
          <w:lang w:val="pt-BR"/>
        </w:rPr>
        <w:t>(omissis)</w:t>
      </w:r>
    </w:p>
    <w:p w14:paraId="7C732790"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68C1BF96"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Parágrafo único. </w:t>
      </w:r>
      <w:r>
        <w:rPr>
          <w:rFonts w:cs="Calibri"/>
          <w:color w:val="000000" w:themeColor="text1"/>
          <w:sz w:val="20"/>
          <w:szCs w:val="20"/>
          <w:lang w:val="pt-BR"/>
        </w:rPr>
        <w:t>Se a despesa total com pessoal exceder a 95% (noventa e cinco por cento) do limite, são vedados ao Poder ou órgão referido no art. 20 que houver incorrido no excesso:</w:t>
      </w:r>
    </w:p>
    <w:p w14:paraId="6BDFDC7E"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061AC969"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I - </w:t>
      </w:r>
      <w:r>
        <w:rPr>
          <w:rFonts w:cs="Calibri"/>
          <w:color w:val="000000" w:themeColor="text1"/>
          <w:sz w:val="20"/>
          <w:szCs w:val="20"/>
          <w:lang w:val="pt-BR"/>
        </w:rPr>
        <w:t>Concessão de vantagem, aumento, reajuste ou adequação de remuneração a qualquer título, salvo os derivados de sentença judicial ou de determinação legal ou contratual, ressalvada a revisão prevista no inciso X do art. 37 da Constituição;</w:t>
      </w:r>
    </w:p>
    <w:p w14:paraId="4CAD6988" w14:textId="77777777" w:rsidR="00B7465A" w:rsidRPr="00B7465A" w:rsidRDefault="00B7465A" w:rsidP="00B7465A">
      <w:pPr>
        <w:spacing w:line="300" w:lineRule="auto"/>
        <w:ind w:firstLine="1985"/>
        <w:jc w:val="both"/>
        <w:rPr>
          <w:rFonts w:cs="Calibri"/>
          <w:color w:val="000000" w:themeColor="text1"/>
          <w:lang w:val="pt-BR"/>
        </w:rPr>
      </w:pPr>
    </w:p>
    <w:p w14:paraId="33B65C93"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Deste modo, considerando que os custos para elaboração da Lei n° 3.469/2009 foram orçados e alinhados com o plano de gastos do Estado, estamos diante de uma clarividente negligência do Executivo, que ao deixar de aplicar efetivamente a Lei, está afetando consideravelmente a vida dos colaboradores, ainda mais no momento delicado atual.</w:t>
      </w:r>
    </w:p>
    <w:p w14:paraId="760A48E4" w14:textId="77777777" w:rsidR="00B7465A" w:rsidRPr="00B7465A" w:rsidRDefault="00B7465A" w:rsidP="00B7465A">
      <w:pPr>
        <w:spacing w:line="300" w:lineRule="auto"/>
        <w:jc w:val="both"/>
        <w:rPr>
          <w:rFonts w:cs="Calibri"/>
          <w:color w:val="000000" w:themeColor="text1"/>
          <w:lang w:val="pt-BR"/>
        </w:rPr>
      </w:pPr>
    </w:p>
    <w:p w14:paraId="039B5CB3"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themeColor="text1"/>
          <w:lang w:val="pt-BR"/>
        </w:rPr>
      </w:pPr>
      <w:r>
        <w:rPr>
          <w:rFonts w:cs="Calibri"/>
          <w:b/>
          <w:bCs/>
          <w:color w:val="000000" w:themeColor="text1"/>
          <w:lang w:val="pt-BR"/>
        </w:rPr>
        <w:lastRenderedPageBreak/>
        <w:t>3.2 - DA CONCESSÃO DAS PROGRESSÕES FUNCIONAIS DEVIDAS E DO PAGAMENTOS DAS DIFERENÇAS REMUNERATÓRIAS</w:t>
      </w:r>
    </w:p>
    <w:p w14:paraId="7A3FFAE4" w14:textId="77777777" w:rsidR="00B7465A" w:rsidRPr="00B7465A" w:rsidRDefault="00B7465A" w:rsidP="00B7465A">
      <w:pPr>
        <w:spacing w:line="300" w:lineRule="auto"/>
        <w:ind w:firstLine="1985"/>
        <w:jc w:val="both"/>
        <w:rPr>
          <w:rFonts w:cs="Calibri"/>
          <w:b/>
          <w:bCs/>
          <w:color w:val="000000" w:themeColor="text1"/>
          <w:lang w:val="pt-BR"/>
        </w:rPr>
      </w:pPr>
    </w:p>
    <w:p w14:paraId="0389020E" w14:textId="67BB24D2"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Em observância à prescrição quinquenal, as diferenças remuneratórias pleiteadas na presente demanda foram calculadas com base nos </w:t>
      </w:r>
      <w:r>
        <w:rPr>
          <w:rFonts w:cs="Calibri"/>
          <w:b/>
          <w:bCs/>
          <w:color w:val="000000" w:themeColor="text1"/>
          <w:lang w:val="pt-BR"/>
        </w:rPr>
        <w:t>últimos cinco anos</w:t>
      </w:r>
      <w:r>
        <w:rPr>
          <w:rFonts w:cs="Calibri"/>
          <w:color w:val="000000" w:themeColor="text1"/>
          <w:lang w:val="pt-BR"/>
        </w:rPr>
        <w:t xml:space="preserve">, abrangendo o período compreendido entre </w:t>
      </w:r>
      <w:r>
        <w:rPr>
          <w:rFonts w:cs="Calibri"/>
          <w:b/>
          <w:bCs/>
          <w:color w:val="000000" w:themeColor="text1"/>
          <w:lang w:val="pt-BR"/>
        </w:rPr>
        <w:t>janeiro de 2021 a janeiro de 2026</w:t>
      </w:r>
      <w:r>
        <w:rPr>
          <w:rFonts w:cs="Calibri"/>
          <w:color w:val="000000" w:themeColor="text1"/>
          <w:lang w:val="pt-BR"/>
        </w:rPr>
        <w:t>, e considerando todas as progressões horizontais e promoções verticais não implementadas pela Administração Pública dentro desse intervalo.</w:t>
      </w:r>
    </w:p>
    <w:p w14:paraId="3A208510" w14:textId="77777777" w:rsidR="00B7465A" w:rsidRPr="00B7465A" w:rsidRDefault="00B7465A" w:rsidP="00B7465A">
      <w:pPr>
        <w:spacing w:line="300" w:lineRule="auto"/>
        <w:ind w:firstLine="1418"/>
        <w:jc w:val="both"/>
        <w:rPr>
          <w:rFonts w:cs="Calibri"/>
          <w:color w:val="000000" w:themeColor="text1"/>
          <w:lang w:val="pt-BR"/>
        </w:rPr>
      </w:pPr>
    </w:p>
    <w:p w14:paraId="0C9D9693"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A progressão horizontal deverá ter como termo inicial a data de ingresso da parte Autora na </w:t>
      </w:r>
      <w:r>
        <w:rPr>
          <w:rFonts w:cs="Calibri"/>
          <w:b/>
          <w:bCs/>
          <w:color w:val="000000" w:themeColor="text1"/>
          <w:lang w:val="pt-BR"/>
        </w:rPr>
        <w:t>Classe “A”, Referência “1”</w:t>
      </w:r>
      <w:r>
        <w:rPr>
          <w:rFonts w:cs="Calibri"/>
          <w:color w:val="000000" w:themeColor="text1"/>
          <w:lang w:val="pt-BR"/>
        </w:rPr>
        <w:t xml:space="preserve">, ou seja, a sua primeira lotação no quadro funcional. No entanto, para fins de </w:t>
      </w:r>
      <w:r>
        <w:rPr>
          <w:rFonts w:cs="Calibri"/>
          <w:b/>
          <w:bCs/>
          <w:color w:val="000000" w:themeColor="text1"/>
          <w:lang w:val="pt-BR"/>
        </w:rPr>
        <w:t>cobrança das diferenças salariais</w:t>
      </w:r>
      <w:r>
        <w:rPr>
          <w:rFonts w:cs="Calibri"/>
          <w:color w:val="000000" w:themeColor="text1"/>
          <w:lang w:val="pt-BR"/>
        </w:rPr>
        <w:t>, adota-se como marco inicial o período de cinco anos anteriores à propositura da ação, em respeito à regra prescricional prevista no artigo 1º do Decreto nº 20.910/32.</w:t>
      </w:r>
    </w:p>
    <w:p w14:paraId="14A63E20" w14:textId="77777777" w:rsidR="00B7465A" w:rsidRPr="00B7465A" w:rsidRDefault="00B7465A" w:rsidP="00B7465A">
      <w:pPr>
        <w:spacing w:line="300" w:lineRule="auto"/>
        <w:ind w:firstLine="1418"/>
        <w:jc w:val="both"/>
        <w:rPr>
          <w:rFonts w:cs="Calibri"/>
          <w:color w:val="000000" w:themeColor="text1"/>
          <w:lang w:val="pt-BR"/>
        </w:rPr>
      </w:pPr>
    </w:p>
    <w:p w14:paraId="48AA185B" w14:textId="1D4919CF"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Diante da análise da legislação aplicável e do tempo de efetivo exercício da parte Autora, verifica-se que esta </w:t>
      </w:r>
      <w:r>
        <w:rPr>
          <w:rFonts w:cs="Calibri"/>
          <w:b/>
          <w:bCs/>
          <w:color w:val="000000" w:themeColor="text1"/>
          <w:lang w:val="pt-BR"/>
        </w:rPr>
        <w:t>deveria estar atualmente enquadrada na Classe “A”, Referência “4”</w:t>
      </w:r>
      <w:r>
        <w:rPr>
          <w:rFonts w:cs="Calibri"/>
          <w:color w:val="000000" w:themeColor="text1"/>
          <w:lang w:val="pt-BR"/>
        </w:rPr>
        <w:t xml:space="preserve">, em razão das progressões sucessivas legalmente previstas. Em virtude da omissão estatal quanto à implementação dessas progressões, apurou-se, conforme planilha de cálculo em anexo, um valor devido no montante de </w:t>
      </w:r>
      <w:r>
        <w:rPr>
          <w:rFonts w:cs="Calibri"/>
          <w:b/>
          <w:bCs/>
          <w:color w:val="000000" w:themeColor="text1"/>
          <w:lang w:val="pt-BR"/>
        </w:rPr>
        <w:t>R$ 11.960,19 (onze mil, novecentos e sessenta reais e dezenove centavos)</w:t>
      </w:r>
      <w:r>
        <w:rPr>
          <w:rFonts w:cs="Calibri"/>
          <w:color w:val="000000" w:themeColor="text1"/>
          <w:lang w:val="pt-BR"/>
        </w:rPr>
        <w:t>, a título de diferenças remuneratórias, sem prejuízo de atualização monetária e juros legais, nos termos da legislação vigente.</w:t>
      </w:r>
    </w:p>
    <w:p w14:paraId="407546E1" w14:textId="77777777" w:rsidR="00B7465A" w:rsidRPr="00B7465A" w:rsidRDefault="00B7465A" w:rsidP="00B7465A">
      <w:pPr>
        <w:spacing w:line="300" w:lineRule="auto"/>
        <w:ind w:firstLine="1985"/>
        <w:jc w:val="both"/>
        <w:rPr>
          <w:rFonts w:cs="Calibri"/>
          <w:color w:val="000000" w:themeColor="text1"/>
          <w:lang w:val="pt-BR"/>
        </w:rPr>
      </w:pPr>
    </w:p>
    <w:p w14:paraId="6E2D0E30"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themeColor="text1"/>
          <w:lang w:val="pt-BR"/>
        </w:rPr>
      </w:pPr>
      <w:r>
        <w:rPr>
          <w:rFonts w:cs="Calibri"/>
          <w:b/>
          <w:bCs/>
          <w:color w:val="000000" w:themeColor="text1"/>
          <w:lang w:val="pt-BR"/>
        </w:rPr>
        <w:t>3.3 - DA DATA BASE PARA E AS CORREÇÕES E OS AJUSTES SALARIAIS</w:t>
      </w:r>
    </w:p>
    <w:p w14:paraId="51862938" w14:textId="77777777" w:rsidR="00B7465A" w:rsidRPr="00B7465A" w:rsidRDefault="00B7465A" w:rsidP="00B7465A">
      <w:pPr>
        <w:spacing w:line="300" w:lineRule="auto"/>
        <w:jc w:val="both"/>
        <w:rPr>
          <w:rFonts w:cs="Calibri"/>
          <w:b/>
          <w:bCs/>
          <w:color w:val="000000" w:themeColor="text1"/>
          <w:lang w:val="pt-BR"/>
        </w:rPr>
      </w:pPr>
    </w:p>
    <w:p w14:paraId="22E824D5"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Conforme a explanação inicial, a Lei nº 3.469/09, que versa sobre o PCCR, trouxe a regulamentação do vencimento-base dos Servidores do Quadro de Pessoal Permanente do Sistema Estadual de Saúde. Ocorreram diversas modificações sobre ela, visando corrigir a remuneração do servidor, tendo como marco o reajuste previsto no artigo 3º da Lei nº 3.887/13:</w:t>
      </w:r>
    </w:p>
    <w:p w14:paraId="3ED9D0E7" w14:textId="77777777" w:rsidR="00B7465A" w:rsidRPr="00B7465A" w:rsidRDefault="00B7465A" w:rsidP="00B7465A">
      <w:pPr>
        <w:spacing w:line="300" w:lineRule="auto"/>
        <w:ind w:firstLine="1701"/>
        <w:jc w:val="both"/>
        <w:rPr>
          <w:rFonts w:cs="Calibri"/>
          <w:color w:val="000000" w:themeColor="text1"/>
          <w:lang w:val="pt-BR"/>
        </w:rPr>
      </w:pPr>
    </w:p>
    <w:p w14:paraId="452FF95F"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Art. 3 – </w:t>
      </w:r>
      <w:r>
        <w:rPr>
          <w:rFonts w:cs="Calibri"/>
          <w:color w:val="000000" w:themeColor="text1"/>
          <w:sz w:val="20"/>
          <w:szCs w:val="20"/>
          <w:lang w:val="pt-BR"/>
        </w:rPr>
        <w:t>“Ficam reajustados, a contar de 1º de maio de 2013, no percentual correspondente a 6,5887% os valores constantes do Anexo II da Lei nº 3.469, de 24 de dezembro de 2009, relativo à tabela de remuneração dos Servidores do Quadro de Pessoal Permanente do Sistema Estadual de Saúde.”</w:t>
      </w:r>
    </w:p>
    <w:p w14:paraId="5C7E87FA" w14:textId="77777777" w:rsidR="00B7465A" w:rsidRPr="00B7465A" w:rsidRDefault="00B7465A" w:rsidP="00B7465A">
      <w:pPr>
        <w:spacing w:line="300" w:lineRule="auto"/>
        <w:ind w:firstLine="1985"/>
        <w:jc w:val="both"/>
        <w:rPr>
          <w:rFonts w:cs="Calibri"/>
          <w:color w:val="000000" w:themeColor="text1"/>
          <w:lang w:val="pt-BR"/>
        </w:rPr>
      </w:pPr>
    </w:p>
    <w:p w14:paraId="7D33732F"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É importante mencionar que a Lei nº 3.469/09 sofreu diversas alterações ao longo dos anos. Essas modificações visaram realizar correções, reestruturar e organizar o PCCR, que já se encontrava defasado. Entre as leis que promoveram essas mudanças, destacam-se as Leis nº 3.521/2010, nº 3.887/2013, nº 4.048/2014, nº 4.596/2018 e nº 4.852/2019.</w:t>
      </w:r>
    </w:p>
    <w:p w14:paraId="39D6CB75" w14:textId="77777777" w:rsidR="00B7465A" w:rsidRPr="00B7465A" w:rsidRDefault="00B7465A" w:rsidP="00B7465A">
      <w:pPr>
        <w:spacing w:line="300" w:lineRule="auto"/>
        <w:ind w:firstLine="1701"/>
        <w:jc w:val="both"/>
        <w:rPr>
          <w:rFonts w:cs="Calibri"/>
          <w:color w:val="000000" w:themeColor="text1"/>
          <w:lang w:val="pt-BR"/>
        </w:rPr>
      </w:pPr>
    </w:p>
    <w:p w14:paraId="00482B3D"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lastRenderedPageBreak/>
        <w:t>Nesse sentido, em 2019, houve uma nova modificação da Lei do PCCR por meio da supramencionada Lei nº 4.852/19. Esta norma trouxe as definições dos reajustes referentes aos anos de 2019, 2020 e 2021, aplicáveis sobre os vencimentos, gratificação de saúde e demais verbas.</w:t>
      </w:r>
    </w:p>
    <w:p w14:paraId="6BAF6D91" w14:textId="77777777" w:rsidR="00B7465A" w:rsidRPr="00B7465A" w:rsidRDefault="00B7465A" w:rsidP="00B7465A">
      <w:pPr>
        <w:spacing w:line="300" w:lineRule="auto"/>
        <w:ind w:firstLine="1701"/>
        <w:jc w:val="both"/>
        <w:rPr>
          <w:rFonts w:cs="Calibri"/>
          <w:color w:val="000000" w:themeColor="text1"/>
          <w:lang w:val="pt-BR"/>
        </w:rPr>
      </w:pPr>
    </w:p>
    <w:p w14:paraId="440B4C89"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Art.1 </w:t>
      </w:r>
      <w:r>
        <w:rPr>
          <w:rFonts w:cs="Calibri"/>
          <w:color w:val="000000" w:themeColor="text1"/>
          <w:sz w:val="20"/>
          <w:szCs w:val="20"/>
          <w:lang w:val="pt-BR"/>
        </w:rPr>
        <w:t>– “Ficam reajustados, no percentual de 5%, a contar de 1º de maio de 2019, os valores constantes do Anexo II da Lei. 3469, de 24 de dezembro de 2009, e do Anexo II da lei promulgada n. 70, de 14 de julho de 2009, referentes às tabelas de vencimento e gratificação de saúde dos servidores do Sistema Estadual de Saúde e dos servidores médicos, na forma dos Anexos I e II desta Lei.</w:t>
      </w:r>
    </w:p>
    <w:p w14:paraId="00840B8D"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64BBC34A"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Art. 2 </w:t>
      </w:r>
      <w:r>
        <w:rPr>
          <w:rFonts w:cs="Calibri"/>
          <w:color w:val="000000" w:themeColor="text1"/>
          <w:sz w:val="20"/>
          <w:szCs w:val="20"/>
          <w:lang w:val="pt-BR"/>
        </w:rPr>
        <w:t>- Ficam fixados os percentuais de reajuste de 6,5%, a contar de 1.º de maio de 2020, e 7,5%, a contar de 1.º de maio de 2021, que serão acrescidos dos percentuais relativos à revisão geral anual das datas base de 2020 e 2021, respectivamente.</w:t>
      </w:r>
    </w:p>
    <w:p w14:paraId="123FC807" w14:textId="77777777" w:rsidR="00B7465A" w:rsidRPr="00B7465A" w:rsidRDefault="00B7465A" w:rsidP="00B7465A">
      <w:pPr>
        <w:spacing w:line="300" w:lineRule="auto"/>
        <w:jc w:val="both"/>
        <w:rPr>
          <w:rFonts w:cs="Calibri"/>
          <w:color w:val="000000" w:themeColor="text1"/>
          <w:lang w:val="pt-BR"/>
        </w:rPr>
      </w:pPr>
    </w:p>
    <w:p w14:paraId="33E960D4" w14:textId="77777777" w:rsidR="00B7465A" w:rsidRPr="00B7465A" w:rsidRDefault="00B7465A" w:rsidP="00B7465A">
      <w:pPr>
        <w:spacing w:line="300" w:lineRule="auto"/>
        <w:ind w:firstLine="1418"/>
        <w:jc w:val="both"/>
        <w:rPr>
          <w:rFonts w:cs="Calibri"/>
          <w:lang w:val="pt-BR" w:eastAsia="pt-BR"/>
        </w:rPr>
      </w:pPr>
      <w:r>
        <w:rPr>
          <w:rFonts w:cs="Calibri"/>
          <w:color w:val="000000" w:themeColor="text1"/>
          <w:lang w:val="pt-BR"/>
        </w:rPr>
        <w:t>Em que pese o artigo supramencionado conter expressa determinação para reajuste do vencimento, essa alteração nunca foi efetivamente cumprida/implantada.</w:t>
      </w:r>
    </w:p>
    <w:p w14:paraId="1B3465E8" w14:textId="77777777" w:rsidR="00B7465A" w:rsidRPr="00B7465A" w:rsidRDefault="00B7465A" w:rsidP="00B7465A">
      <w:pPr>
        <w:spacing w:line="300" w:lineRule="auto"/>
        <w:ind w:firstLine="1418"/>
        <w:jc w:val="both"/>
        <w:rPr>
          <w:rFonts w:cs="Calibri"/>
          <w:color w:val="000000" w:themeColor="text1"/>
          <w:lang w:val="pt-BR"/>
        </w:rPr>
      </w:pPr>
    </w:p>
    <w:p w14:paraId="4436344C"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Conforme se observa da Lei nº 4.852/2019, os valores referentes às tabelas de vencimento e gratificação de saúde dos servidores da saúde foram reajustados em </w:t>
      </w:r>
      <w:r>
        <w:rPr>
          <w:rFonts w:cs="Calibri"/>
          <w:b/>
          <w:bCs/>
          <w:color w:val="000000" w:themeColor="text1"/>
          <w:lang w:val="pt-BR"/>
        </w:rPr>
        <w:t>5%, a contar de 1º de maio de 2019.</w:t>
      </w:r>
      <w:r>
        <w:rPr>
          <w:rFonts w:cs="Calibri"/>
          <w:color w:val="000000" w:themeColor="text1"/>
          <w:lang w:val="pt-BR"/>
        </w:rPr>
        <w:t xml:space="preserve"> Adicionalmente, o artigo 2º do mesmo diploma legal </w:t>
      </w:r>
      <w:r>
        <w:rPr>
          <w:rFonts w:cs="Calibri"/>
          <w:b/>
          <w:bCs/>
          <w:color w:val="000000" w:themeColor="text1"/>
          <w:lang w:val="pt-BR"/>
        </w:rPr>
        <w:t>fixou reajustes de 6,5% para a data-base de 2020 e 7,5% para a data-base de 2021.</w:t>
      </w:r>
      <w:r>
        <w:rPr>
          <w:rFonts w:cs="Calibri"/>
          <w:color w:val="000000" w:themeColor="text1"/>
          <w:lang w:val="pt-BR"/>
        </w:rPr>
        <w:t xml:space="preserve"> Esses percentuais são acrescidos da revisão geral anual, totalizando, respectivamente, </w:t>
      </w:r>
      <w:r>
        <w:rPr>
          <w:rFonts w:cs="Calibri"/>
          <w:b/>
          <w:bCs/>
          <w:color w:val="000000" w:themeColor="text1"/>
          <w:lang w:val="pt-BR"/>
        </w:rPr>
        <w:t>14,77% e 9,06%, ambos com início em 1º de maio de cada ano.</w:t>
      </w:r>
    </w:p>
    <w:p w14:paraId="6E81183B" w14:textId="77777777" w:rsidR="00B7465A" w:rsidRPr="00B7465A" w:rsidRDefault="00B7465A" w:rsidP="00B7465A">
      <w:pPr>
        <w:spacing w:line="300" w:lineRule="auto"/>
        <w:ind w:firstLine="1418"/>
        <w:jc w:val="both"/>
        <w:rPr>
          <w:rFonts w:cs="Calibri"/>
          <w:color w:val="000000" w:themeColor="text1"/>
          <w:lang w:val="pt-BR"/>
        </w:rPr>
      </w:pPr>
    </w:p>
    <w:p w14:paraId="698B7A5B"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Após 04 (quatro) anos da fixação da </w:t>
      </w:r>
      <w:r>
        <w:rPr>
          <w:rFonts w:cs="Calibri"/>
          <w:b/>
          <w:bCs/>
          <w:color w:val="000000" w:themeColor="text1"/>
          <w:lang w:val="pt-BR"/>
        </w:rPr>
        <w:t>data base de 2020 e 2021, que não foram implantadas nas datas corretas</w:t>
      </w:r>
      <w:r>
        <w:rPr>
          <w:rFonts w:cs="Calibri"/>
          <w:color w:val="000000" w:themeColor="text1"/>
          <w:lang w:val="pt-BR"/>
        </w:rPr>
        <w:t xml:space="preserve">, houve a promulgação da </w:t>
      </w:r>
      <w:r>
        <w:rPr>
          <w:rFonts w:cs="Calibri"/>
          <w:b/>
          <w:bCs/>
          <w:color w:val="000000" w:themeColor="text1"/>
          <w:lang w:val="pt-BR"/>
        </w:rPr>
        <w:t>Lei n.º 5.771/2022, em 10 de janeiro de 2022.</w:t>
      </w:r>
      <w:r>
        <w:rPr>
          <w:rFonts w:cs="Calibri"/>
          <w:color w:val="000000" w:themeColor="text1"/>
          <w:lang w:val="pt-BR"/>
        </w:rPr>
        <w:t xml:space="preserve"> Essa lei </w:t>
      </w:r>
      <w:r>
        <w:rPr>
          <w:rFonts w:cs="Calibri"/>
          <w:b/>
          <w:bCs/>
          <w:color w:val="000000" w:themeColor="text1"/>
          <w:lang w:val="pt-BR"/>
        </w:rPr>
        <w:t>ratificou o percentual indicado na Lei n.º 4.852/2019 e acrescentou 6,76% à data-base de 2021.</w:t>
      </w:r>
    </w:p>
    <w:p w14:paraId="26E1D6B1" w14:textId="77777777" w:rsidR="00B7465A" w:rsidRPr="00B7465A" w:rsidRDefault="00B7465A" w:rsidP="00B7465A">
      <w:pPr>
        <w:spacing w:line="300" w:lineRule="auto"/>
        <w:ind w:firstLine="1418"/>
        <w:jc w:val="both"/>
        <w:rPr>
          <w:rFonts w:cs="Calibri"/>
          <w:color w:val="000000" w:themeColor="text1"/>
          <w:lang w:val="pt-BR"/>
        </w:rPr>
      </w:pPr>
    </w:p>
    <w:p w14:paraId="40F611C7" w14:textId="77777777" w:rsidR="00B7465A" w:rsidRPr="00B7465A" w:rsidRDefault="00B7465A" w:rsidP="00B7465A">
      <w:pPr>
        <w:spacing w:line="300" w:lineRule="auto"/>
        <w:ind w:firstLine="1418"/>
        <w:jc w:val="both"/>
        <w:rPr>
          <w:rFonts w:cs="Calibri"/>
          <w:color w:val="000000" w:themeColor="text1"/>
          <w:lang w:val="pt-BR"/>
        </w:rPr>
      </w:pPr>
      <w:r>
        <w:rPr>
          <w:rFonts w:cs="Calibri"/>
          <w:b/>
          <w:bCs/>
          <w:color w:val="000000" w:themeColor="text1"/>
          <w:lang w:val="pt-BR"/>
        </w:rPr>
        <w:t>Ou seja, após o não cumprimento do prazo estabelecido pela Lei em 2019, houve a ratificação do percentual devido, totalizando 14,77% de reajuste.</w:t>
      </w:r>
      <w:r>
        <w:rPr>
          <w:rFonts w:cs="Calibri"/>
          <w:color w:val="000000" w:themeColor="text1"/>
          <w:lang w:val="pt-BR"/>
        </w:rPr>
        <w:t xml:space="preserve"> Este valor foi implantado em duas fases: a primeira na data da promulgação (11%) e a segunda em 1º de maio de 2022 (3,77%).</w:t>
      </w:r>
    </w:p>
    <w:p w14:paraId="3B14D217" w14:textId="77777777" w:rsidR="00B7465A" w:rsidRPr="00B7465A" w:rsidRDefault="00B7465A" w:rsidP="00B7465A">
      <w:pPr>
        <w:spacing w:line="300" w:lineRule="auto"/>
        <w:ind w:firstLine="1418"/>
        <w:jc w:val="both"/>
        <w:rPr>
          <w:rFonts w:cs="Calibri"/>
          <w:color w:val="000000" w:themeColor="text1"/>
          <w:lang w:val="pt-BR"/>
        </w:rPr>
      </w:pPr>
    </w:p>
    <w:p w14:paraId="28CC8B2F"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Em junho do mesmo ano, foi promulgada a Lei nº 5.928/2022, que </w:t>
      </w:r>
      <w:r>
        <w:rPr>
          <w:rFonts w:cs="Calibri"/>
          <w:b/>
          <w:bCs/>
          <w:color w:val="000000" w:themeColor="text1"/>
          <w:lang w:val="pt-BR"/>
        </w:rPr>
        <w:t>ratificou o percentual de reajuste da data-base de 2020 com um acréscimo de 2,4%.</w:t>
      </w:r>
      <w:r>
        <w:rPr>
          <w:rFonts w:cs="Calibri"/>
          <w:color w:val="000000" w:themeColor="text1"/>
          <w:lang w:val="pt-BR"/>
        </w:rPr>
        <w:t xml:space="preserve"> Isso totaliza </w:t>
      </w:r>
      <w:r>
        <w:rPr>
          <w:rFonts w:cs="Calibri"/>
          <w:b/>
          <w:bCs/>
          <w:color w:val="000000" w:themeColor="text1"/>
          <w:lang w:val="pt-BR"/>
        </w:rPr>
        <w:t>9,06% de reajuste</w:t>
      </w:r>
      <w:r>
        <w:rPr>
          <w:rFonts w:cs="Calibri"/>
          <w:color w:val="000000" w:themeColor="text1"/>
          <w:lang w:val="pt-BR"/>
        </w:rPr>
        <w:t xml:space="preserve"> para a data-base anual de 2020.</w:t>
      </w:r>
    </w:p>
    <w:p w14:paraId="4A0440D9" w14:textId="77777777" w:rsidR="00B7465A" w:rsidRPr="00B7465A" w:rsidRDefault="00B7465A" w:rsidP="00B7465A">
      <w:pPr>
        <w:spacing w:line="300" w:lineRule="auto"/>
        <w:ind w:firstLine="1418"/>
        <w:jc w:val="both"/>
        <w:rPr>
          <w:rFonts w:cs="Calibri"/>
          <w:color w:val="000000" w:themeColor="text1"/>
          <w:lang w:val="pt-BR"/>
        </w:rPr>
      </w:pPr>
    </w:p>
    <w:p w14:paraId="20389635"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Portanto, a Lei nº 4.852/2019 não foi devidamente cumprida, uma vez que os reajustes somente foram realizados em 2022. Isso ocorreu, ainda, com o uso de subterfúgios para se eximir da responsabilidade de arcar com os valores retroativos devidos desde 1º de maio de 2020.</w:t>
      </w:r>
    </w:p>
    <w:p w14:paraId="35E72CC5" w14:textId="77777777" w:rsidR="00B7465A" w:rsidRPr="00B7465A" w:rsidRDefault="00B7465A" w:rsidP="00B7465A">
      <w:pPr>
        <w:spacing w:line="300" w:lineRule="auto"/>
        <w:ind w:firstLine="1418"/>
        <w:jc w:val="both"/>
        <w:rPr>
          <w:rFonts w:cs="Calibri"/>
          <w:color w:val="000000" w:themeColor="text1"/>
          <w:lang w:val="pt-BR"/>
        </w:rPr>
      </w:pPr>
    </w:p>
    <w:p w14:paraId="00AD6048"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Diante disso, os valores reajustados e aplicados em 2022 devem retroagir às datas exatas de reajuste estabelecidas pela Lei nº 4.852/2019, ou seja, 1º de maio de 2020 e 1º de maio de 2021. Torna-se, assim, devido o pagamento dos valores retroativos, independentemente de o servidor </w:t>
        <w:lastRenderedPageBreak/>
        <w:t>pertencer ao quadro suplementar ou permanente, haja vista que tais reajustes foram igualmente aplicados aos servidores do quadro suplementar.</w:t>
      </w:r>
    </w:p>
    <w:p w14:paraId="16534E0D" w14:textId="77777777" w:rsidR="00B7465A" w:rsidRPr="00B7465A" w:rsidRDefault="00B7465A" w:rsidP="00B7465A">
      <w:pPr>
        <w:spacing w:line="300" w:lineRule="auto"/>
        <w:ind w:firstLine="1701"/>
        <w:jc w:val="both"/>
        <w:rPr>
          <w:rFonts w:cs="Calibri"/>
          <w:color w:val="000000" w:themeColor="text1"/>
          <w:lang w:val="pt-BR"/>
        </w:rPr>
      </w:pPr>
    </w:p>
    <w:p w14:paraId="14E5FC6D"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themeColor="text1"/>
          <w:lang w:val="pt-BR"/>
        </w:rPr>
      </w:pPr>
      <w:r>
        <w:rPr>
          <w:rFonts w:cs="Calibri"/>
          <w:b/>
          <w:bCs/>
          <w:color w:val="000000" w:themeColor="text1"/>
          <w:lang w:val="pt-BR"/>
        </w:rPr>
        <w:t>3.4 - DA CORREÇÃO DO VALOR DO RISCO DE VIDA</w:t>
      </w:r>
    </w:p>
    <w:p w14:paraId="5611AD50" w14:textId="77777777" w:rsidR="00B7465A" w:rsidRPr="00B7465A" w:rsidRDefault="00B7465A" w:rsidP="00B7465A">
      <w:pPr>
        <w:spacing w:line="300" w:lineRule="auto"/>
        <w:jc w:val="both"/>
        <w:rPr>
          <w:rFonts w:cs="Calibri"/>
          <w:b/>
          <w:bCs/>
          <w:color w:val="000000" w:themeColor="text1"/>
          <w:lang w:val="pt-BR"/>
        </w:rPr>
      </w:pPr>
    </w:p>
    <w:p w14:paraId="7F32B1BC"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De início, cumpre esclarecer que o Risco de Vida surgiu com o advento da Lei n° 3.469/2009, onde ficou estabelecido que seria devido a percepção do Risco de Vida, na base de 10% (dez por cento) sobre o vencimento básico, vejamos:</w:t>
      </w:r>
    </w:p>
    <w:p w14:paraId="56D96F62" w14:textId="77777777" w:rsidR="00B7465A" w:rsidRPr="00B7465A" w:rsidRDefault="00B7465A" w:rsidP="00B7465A">
      <w:pPr>
        <w:spacing w:line="300" w:lineRule="auto"/>
        <w:jc w:val="both"/>
        <w:rPr>
          <w:rFonts w:cs="Calibri"/>
          <w:color w:val="000000" w:themeColor="text1"/>
          <w:lang w:val="pt-BR"/>
        </w:rPr>
      </w:pPr>
    </w:p>
    <w:p w14:paraId="6E92E6A1"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b/>
          <w:bCs/>
          <w:color w:val="000000" w:themeColor="text1"/>
          <w:sz w:val="20"/>
          <w:szCs w:val="20"/>
          <w:lang w:val="pt-BR"/>
        </w:rPr>
        <w:t xml:space="preserve">Art. 7.º </w:t>
      </w:r>
      <w:r>
        <w:rPr>
          <w:rFonts w:cs="Calibri"/>
          <w:color w:val="000000" w:themeColor="text1"/>
          <w:sz w:val="20"/>
          <w:szCs w:val="20"/>
          <w:lang w:val="pt-BR"/>
        </w:rPr>
        <w:t>Aos profissionais e trabalhadores do Sistema Estadual de Saúde, em efetivo exercício de suas funções, são devidas as seguintes gratificações calculadas sobre o valor do vencimento base do cargo:</w:t>
      </w:r>
    </w:p>
    <w:p w14:paraId="14A69B23"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w:t>
      </w:r>
    </w:p>
    <w:p w14:paraId="569A4FE0" w14:textId="77777777" w:rsidR="00B7465A" w:rsidRPr="00B7465A" w:rsidRDefault="00B7465A" w:rsidP="00B7465A">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 xml:space="preserve">III - Gratificação de Risco de Vida, calculada nos percentuais de 20% (vinte por cento), para os </w:t>
      </w:r>
      <w:r>
        <w:rPr>
          <w:rFonts w:cs="Calibri"/>
          <w:b/>
          <w:bCs/>
          <w:color w:val="000000" w:themeColor="text1"/>
          <w:sz w:val="20"/>
          <w:szCs w:val="20"/>
          <w:lang w:val="pt-BR"/>
        </w:rPr>
        <w:t>profissionais de saúde</w:t>
      </w:r>
      <w:r>
        <w:rPr>
          <w:rFonts w:cs="Calibri"/>
          <w:color w:val="000000" w:themeColor="text1"/>
          <w:sz w:val="20"/>
          <w:szCs w:val="20"/>
          <w:lang w:val="pt-BR"/>
        </w:rPr>
        <w:t xml:space="preserve">, e de 10% (dez por cento) aos trabalhadores de saúde, </w:t>
      </w:r>
      <w:r>
        <w:rPr>
          <w:rFonts w:cs="Calibri"/>
          <w:b/>
          <w:bCs/>
          <w:color w:val="000000" w:themeColor="text1"/>
          <w:sz w:val="20"/>
          <w:szCs w:val="20"/>
          <w:lang w:val="pt-BR"/>
        </w:rPr>
        <w:t>incidentes sobre o vencimento base do cargo</w:t>
      </w:r>
      <w:r>
        <w:rPr>
          <w:rFonts w:cs="Calibri"/>
          <w:color w:val="000000" w:themeColor="text1"/>
          <w:sz w:val="20"/>
          <w:szCs w:val="20"/>
          <w:lang w:val="pt-BR"/>
        </w:rPr>
        <w:t>;</w:t>
      </w:r>
    </w:p>
    <w:p w14:paraId="78F72D1F" w14:textId="77777777" w:rsidR="00B7465A" w:rsidRPr="00B7465A" w:rsidRDefault="00B7465A" w:rsidP="00B7465A">
      <w:pPr>
        <w:spacing w:line="300" w:lineRule="auto"/>
        <w:jc w:val="both"/>
        <w:rPr>
          <w:rFonts w:cs="Calibri"/>
          <w:color w:val="000000" w:themeColor="text1"/>
          <w:lang w:val="pt-BR"/>
        </w:rPr>
      </w:pPr>
    </w:p>
    <w:p w14:paraId="3D8AFBEB"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Por este motivo, deve ser utilizado como base de cálculo, os valores concedidos a título de vencimento básico, aplicando as devidas correções definidas na lei do PCCR, conforme supramencionado.</w:t>
      </w:r>
    </w:p>
    <w:p w14:paraId="17EF3161" w14:textId="77777777" w:rsidR="00B7465A" w:rsidRPr="00B7465A" w:rsidRDefault="00B7465A" w:rsidP="00B7465A">
      <w:pPr>
        <w:spacing w:line="300" w:lineRule="auto"/>
        <w:ind w:firstLine="1418"/>
        <w:jc w:val="both"/>
        <w:rPr>
          <w:rFonts w:cs="Calibri"/>
          <w:color w:val="000000" w:themeColor="text1"/>
          <w:lang w:val="pt-BR"/>
        </w:rPr>
      </w:pPr>
    </w:p>
    <w:p w14:paraId="4E4602E5" w14:textId="013639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Diante disso, considerando o adicional de </w:t>
      </w:r>
      <w:r>
        <w:rPr>
          <w:rFonts w:cs="Calibri"/>
          <w:b/>
          <w:bCs/>
          <w:color w:val="000000" w:themeColor="text1"/>
          <w:lang w:val="pt-BR"/>
        </w:rPr>
        <w:t>risco de vida de 10% (vinte por cento)</w:t>
      </w:r>
      <w:r>
        <w:rPr>
          <w:rFonts w:cs="Calibri"/>
          <w:color w:val="000000" w:themeColor="text1"/>
          <w:lang w:val="pt-BR"/>
        </w:rPr>
        <w:t xml:space="preserve">, a parte requerente postula a condenação do requerido ao pagamento do valor de </w:t>
      </w:r>
      <w:r>
        <w:rPr>
          <w:rFonts w:cs="Calibri"/>
          <w:b/>
          <w:bCs/>
          <w:color w:val="000000" w:themeColor="text1"/>
          <w:lang w:val="pt-BR"/>
        </w:rPr>
        <w:t>R$ 851,96 (oitocentos e cinquenta e um reais e noventa e seis centavos)</w:t>
      </w:r>
      <w:r>
        <w:rPr>
          <w:rFonts w:cs="Calibri"/>
          <w:color w:val="000000" w:themeColor="text1"/>
          <w:lang w:val="pt-BR"/>
        </w:rPr>
        <w:t>. Este montante refere-se à diferença salarial do risco de vida, conforme planilha de cálculo anexa. Deverão incidir correção monetária pelo IPCA-e, a contar do vencimento de cada parcela, e juros de mora a partir da citação, nos termos do art. 1º-F da Lei n.º 9.494/97, em conformidade com o RE n.º 870.947 (Tema 810).</w:t>
      </w:r>
    </w:p>
    <w:p w14:paraId="6EE9EEEB" w14:textId="77777777" w:rsidR="00B7465A" w:rsidRPr="00B7465A" w:rsidRDefault="00B7465A" w:rsidP="00B7465A">
      <w:pPr>
        <w:spacing w:line="300" w:lineRule="auto"/>
        <w:ind w:firstLine="1701"/>
        <w:jc w:val="both"/>
        <w:rPr>
          <w:rFonts w:cs="Calibri"/>
          <w:color w:val="000000" w:themeColor="text1"/>
          <w:lang w:val="pt-BR"/>
        </w:rPr>
      </w:pPr>
    </w:p>
    <w:p w14:paraId="1F7FA482"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themeColor="text1"/>
          <w:lang w:val="pt-BR"/>
        </w:rPr>
      </w:pPr>
      <w:r>
        <w:rPr>
          <w:rFonts w:cs="Calibri"/>
          <w:b/>
          <w:bCs/>
          <w:color w:val="000000" w:themeColor="text1"/>
          <w:lang w:val="pt-BR"/>
        </w:rPr>
        <w:t>3.5 - DOS REFLEXOS DAS FÉRIAS E 13º SALÁRIO</w:t>
      </w:r>
    </w:p>
    <w:p w14:paraId="7ED6E1DE" w14:textId="77777777" w:rsidR="00B7465A" w:rsidRPr="00B7465A" w:rsidRDefault="00B7465A" w:rsidP="00B7465A">
      <w:pPr>
        <w:spacing w:line="300" w:lineRule="auto"/>
        <w:jc w:val="both"/>
        <w:rPr>
          <w:rFonts w:cs="Calibri"/>
          <w:b/>
          <w:bCs/>
          <w:color w:val="000000" w:themeColor="text1"/>
          <w:lang w:val="pt-BR"/>
        </w:rPr>
      </w:pPr>
    </w:p>
    <w:p w14:paraId="14A40F44" w14:textId="5F363E7F"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Assim como a percepção do adicional das progressões e/ou promoções e reajustes referente a </w:t>
      </w:r>
      <w:r>
        <w:rPr>
          <w:rFonts w:cs="Calibri"/>
          <w:b/>
          <w:bCs/>
          <w:color w:val="000000" w:themeColor="text1"/>
          <w:lang w:val="pt-BR"/>
        </w:rPr>
        <w:t xml:space="preserve">DATA BASE </w:t>
      </w:r>
      <w:r>
        <w:rPr>
          <w:rFonts w:cs="Calibri"/>
          <w:color w:val="000000" w:themeColor="text1"/>
          <w:lang w:val="pt-BR"/>
        </w:rPr>
        <w:t xml:space="preserve">dos vencimentos e gratificação de saúde dos servidores da saúde desde junho de 2020, bem como as parcelas vincendas, a parte autora faz </w:t>
      </w:r>
      <w:r>
        <w:rPr>
          <w:rFonts w:cs="Calibri"/>
          <w:i/>
          <w:iCs/>
          <w:color w:val="000000" w:themeColor="text1"/>
          <w:lang w:val="pt-BR"/>
        </w:rPr>
        <w:t xml:space="preserve">jus </w:t>
      </w:r>
      <w:r>
        <w:rPr>
          <w:rFonts w:cs="Calibri"/>
          <w:color w:val="000000" w:themeColor="text1"/>
          <w:lang w:val="pt-BR"/>
        </w:rPr>
        <w:t xml:space="preserve">que o valor das diferenças salariais não pagas (com as devidas correções) seja refletido nas </w:t>
      </w:r>
      <w:r>
        <w:rPr>
          <w:rFonts w:cs="Calibri"/>
          <w:b/>
          <w:bCs/>
          <w:color w:val="000000" w:themeColor="text1"/>
          <w:lang w:val="pt-BR"/>
        </w:rPr>
        <w:t>férias com terço constitucional e 13º salários</w:t>
      </w:r>
      <w:r>
        <w:rPr>
          <w:rFonts w:cs="Calibri"/>
          <w:color w:val="000000" w:themeColor="text1"/>
          <w:lang w:val="pt-BR"/>
        </w:rPr>
        <w:t xml:space="preserve">, o que totaliza a importância de </w:t>
      </w:r>
      <w:r>
        <w:rPr>
          <w:rFonts w:cs="Calibri"/>
          <w:b/>
          <w:bCs/>
          <w:color w:val="000000" w:themeColor="text1"/>
          <w:lang w:val="pt-BR"/>
        </w:rPr>
        <w:t>R$ 168,91 (cento e sessenta e oito reais e noventa e um centavos)</w:t>
      </w:r>
      <w:r>
        <w:rPr>
          <w:rFonts w:cs="Calibri"/>
          <w:color w:val="000000" w:themeColor="text1"/>
          <w:lang w:val="pt-BR"/>
        </w:rPr>
        <w:t xml:space="preserve"> e </w:t>
      </w:r>
      <w:r>
        <w:rPr>
          <w:rFonts w:cs="Calibri"/>
          <w:b/>
          <w:bCs/>
          <w:color w:val="000000" w:themeColor="text1"/>
          <w:lang w:val="pt-BR"/>
        </w:rPr>
        <w:t>R$ 702,98 (setecentos e dois reais e noventa e oito centavos) respectivamente</w:t>
      </w:r>
      <w:r>
        <w:rPr>
          <w:rFonts w:cs="Calibri"/>
          <w:color w:val="000000" w:themeColor="text1"/>
          <w:lang w:val="pt-BR"/>
        </w:rPr>
        <w:t xml:space="preserve">, conforme planilha de cálculo anexa, devendo incidir correção monetária pelo IPCA-e, a contar do vencimento de cada parcela e juros de mora a partir da citação, nos termos do </w:t>
      </w:r>
      <w:r>
        <w:rPr>
          <w:rFonts w:cs="Calibri"/>
          <w:lang w:val="pt-BR"/>
        </w:rPr>
        <w:t>art. 1°-F, da Lei n° 9.494/97 em conformidade com o RE n° 870947 (Tema 810).</w:t>
      </w:r>
      <w:r>
        <w:rPr>
          <w:rFonts w:cs="Calibri"/>
          <w:color w:val="000000" w:themeColor="text1"/>
          <w:lang w:val="pt-BR"/>
        </w:rPr>
        <w:t xml:space="preserve"> </w:t>
      </w:r>
    </w:p>
    <w:p w14:paraId="74EA62DD" w14:textId="77777777" w:rsidR="00B7465A" w:rsidRPr="00B7465A" w:rsidRDefault="00B7465A" w:rsidP="00B7465A">
      <w:pPr>
        <w:spacing w:line="300" w:lineRule="auto"/>
        <w:ind w:firstLine="2835"/>
        <w:jc w:val="both"/>
        <w:rPr>
          <w:rFonts w:cs="Calibri"/>
          <w:color w:val="000000" w:themeColor="text1"/>
          <w:lang w:val="pt-BR"/>
        </w:rPr>
      </w:pPr>
    </w:p>
    <w:p w14:paraId="5EDFBD35"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bCs/>
          <w:lang w:val="pt-BR"/>
        </w:rPr>
      </w:pPr>
      <w:r>
        <w:rPr>
          <w:rFonts w:cs="Calibri"/>
          <w:b/>
          <w:bCs/>
          <w:lang w:val="pt-BR"/>
        </w:rPr>
        <w:lastRenderedPageBreak/>
        <w:t>4 – DA INVERSÃO DO ÔNUS DA PROVA</w:t>
      </w:r>
    </w:p>
    <w:p w14:paraId="486A7D16" w14:textId="77777777" w:rsidR="00B7465A" w:rsidRPr="00B7465A" w:rsidRDefault="00B7465A" w:rsidP="00B7465A">
      <w:pPr>
        <w:spacing w:line="300" w:lineRule="auto"/>
        <w:jc w:val="both"/>
        <w:rPr>
          <w:rFonts w:cs="Calibri"/>
          <w:lang w:val="pt-BR"/>
        </w:rPr>
      </w:pPr>
    </w:p>
    <w:p w14:paraId="384D7EDF"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Pr>
          <w:rFonts w:cs="Calibri"/>
          <w:lang w:val="pt-BR" w:eastAsia="pt-BR"/>
        </w:rPr>
        <w:t>A parte Requerida é detentora de todas as informações relacionadas ao cargo e função da parte autora, possuindo livre acesso a todos os dados relacionados ao tempo de serviço, férias, afastamento entre outras informações do seu cargo, no entanto, mesmo com acesso a algumas informações pelo Portal do Servidor, há ainda algumas omissões ou mesmo não atualização das informações dentro do site, o que dificulta o acesso à informação.</w:t>
      </w:r>
    </w:p>
    <w:p w14:paraId="10090E9A"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4681D867"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Pr>
          <w:rFonts w:cs="Calibri"/>
          <w:lang w:val="pt-BR" w:eastAsia="pt-BR"/>
        </w:rPr>
        <w:t>É de extrema importância salientar que, a parte requerente não obteve sucesso ao tentar realizar o acesso ao seu histórico de pessoal, motivo pelo qual, é medida que se impõe a inversão do ônus da prova.</w:t>
      </w:r>
    </w:p>
    <w:p w14:paraId="7E57B291"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056A6C00"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Pr>
          <w:rFonts w:cs="Calibri"/>
          <w:lang w:val="pt-BR" w:eastAsia="pt-BR"/>
        </w:rPr>
        <w:t>Diante da hipossuficiência técnica da parte Requerente, a inversão do ônus da prova ante as verossímeis alegações apresentadas, juntamente com as provas documentais acostadas aos autos, é medida que se impõe, analogicamente conforme previsto no artigo 6º, VIII, do Código de Defesa do Consumidor:</w:t>
      </w:r>
    </w:p>
    <w:p w14:paraId="5EBDF146"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37DDE9E4" w14:textId="77777777" w:rsidR="00B7465A" w:rsidRPr="00B7465A" w:rsidRDefault="00B7465A" w:rsidP="00B7465A">
      <w:pPr>
        <w:autoSpaceDE w:val="0"/>
        <w:autoSpaceDN w:val="0"/>
        <w:adjustRightInd w:val="0"/>
        <w:spacing w:line="240" w:lineRule="auto"/>
        <w:ind w:left="2268"/>
        <w:jc w:val="both"/>
        <w:rPr>
          <w:rFonts w:cs="Calibri"/>
          <w:sz w:val="20"/>
          <w:szCs w:val="20"/>
          <w:lang w:val="pt-BR" w:eastAsia="pt-BR"/>
        </w:rPr>
      </w:pPr>
      <w:r>
        <w:rPr>
          <w:rFonts w:cs="Calibri"/>
          <w:sz w:val="20"/>
          <w:szCs w:val="20"/>
          <w:lang w:val="pt-BR" w:eastAsia="pt-BR"/>
        </w:rPr>
        <w:t>Art. 6º São direitos básicos do consumidor:</w:t>
      </w:r>
    </w:p>
    <w:p w14:paraId="5762930A" w14:textId="77777777" w:rsidR="00B7465A" w:rsidRPr="00B7465A" w:rsidRDefault="00B7465A" w:rsidP="00B7465A">
      <w:pPr>
        <w:autoSpaceDE w:val="0"/>
        <w:autoSpaceDN w:val="0"/>
        <w:adjustRightInd w:val="0"/>
        <w:spacing w:line="240" w:lineRule="auto"/>
        <w:ind w:left="2268"/>
        <w:jc w:val="both"/>
        <w:rPr>
          <w:rFonts w:cs="Calibri"/>
          <w:sz w:val="20"/>
          <w:szCs w:val="20"/>
          <w:lang w:val="pt-BR" w:eastAsia="pt-BR"/>
        </w:rPr>
      </w:pPr>
      <w:r>
        <w:rPr>
          <w:rFonts w:cs="Calibri"/>
          <w:sz w:val="20"/>
          <w:szCs w:val="20"/>
          <w:lang w:val="pt-BR" w:eastAsia="pt-BR"/>
        </w:rPr>
        <w:t>(...)</w:t>
      </w:r>
    </w:p>
    <w:p w14:paraId="7BAFBDD9" w14:textId="77777777" w:rsidR="00B7465A" w:rsidRPr="00B7465A" w:rsidRDefault="00B7465A" w:rsidP="00B7465A">
      <w:pPr>
        <w:autoSpaceDE w:val="0"/>
        <w:autoSpaceDN w:val="0"/>
        <w:adjustRightInd w:val="0"/>
        <w:spacing w:line="240" w:lineRule="auto"/>
        <w:ind w:left="2268"/>
        <w:jc w:val="both"/>
        <w:rPr>
          <w:rFonts w:cs="Calibri"/>
          <w:sz w:val="20"/>
          <w:szCs w:val="20"/>
          <w:lang w:val="pt-BR" w:eastAsia="pt-BR"/>
        </w:rPr>
      </w:pPr>
      <w:r>
        <w:rPr>
          <w:rFonts w:cs="Calibri"/>
          <w:sz w:val="20"/>
          <w:szCs w:val="20"/>
          <w:lang w:val="pt-BR" w:eastAsia="pt-BR"/>
        </w:rPr>
        <w:t>VIII – a facilitação da defesa de seus direitos, inclusive com a inversão do ônus da prova, a seu favor, no processo civil, quando a critério do juiz, for verossímil a alegação ou quando for ele hipossuficiente, seguindo as regras ordinárias de expectativas.</w:t>
      </w:r>
    </w:p>
    <w:p w14:paraId="20131828" w14:textId="77777777" w:rsidR="00B7465A" w:rsidRPr="00B7465A" w:rsidRDefault="00B7465A" w:rsidP="00B7465A">
      <w:pPr>
        <w:autoSpaceDE w:val="0"/>
        <w:autoSpaceDN w:val="0"/>
        <w:adjustRightInd w:val="0"/>
        <w:spacing w:line="300" w:lineRule="auto"/>
        <w:ind w:firstLine="1701"/>
        <w:jc w:val="both"/>
        <w:rPr>
          <w:rFonts w:cs="Calibri"/>
          <w:lang w:val="pt-BR" w:eastAsia="pt-BR"/>
        </w:rPr>
      </w:pPr>
    </w:p>
    <w:p w14:paraId="179286C8"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Pr>
          <w:rFonts w:cs="Calibri"/>
          <w:lang w:val="pt-BR" w:eastAsia="pt-BR"/>
        </w:rPr>
        <w:t>A legitimidade da inversão encontra-se na viabilização da defesa do direito das partes hipossuficientes em juízo. Sendo assim, é forçoso que, para facilitar a defesa do requerente, seja necessária e extremamente útil, a inversão pleiteada.</w:t>
      </w:r>
    </w:p>
    <w:p w14:paraId="6B496EBC" w14:textId="77777777" w:rsidR="00B7465A" w:rsidRPr="00B7465A" w:rsidRDefault="00B7465A" w:rsidP="00B7465A">
      <w:pPr>
        <w:autoSpaceDE w:val="0"/>
        <w:autoSpaceDN w:val="0"/>
        <w:adjustRightInd w:val="0"/>
        <w:spacing w:line="300" w:lineRule="auto"/>
        <w:ind w:firstLine="1701"/>
        <w:jc w:val="both"/>
        <w:rPr>
          <w:rFonts w:cs="Calibri"/>
          <w:lang w:val="pt-BR" w:eastAsia="pt-BR"/>
        </w:rPr>
      </w:pPr>
    </w:p>
    <w:p w14:paraId="7B2A1875"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Pr>
          <w:rFonts w:cs="Calibri"/>
          <w:lang w:val="pt-BR" w:eastAsia="pt-BR"/>
        </w:rPr>
        <w:t>Sendo assim, mesmo não se tratando a presente demanda de direito do consumidor, torna-se necessária uma ampliação no ponto de vista dos operadores do Direito a respeito dos conflitos sociais emergentes para que a aplicação do instituto da inversão do ônus da prova não se restrinja as demandas que envolvem relações consumeristas.</w:t>
      </w:r>
    </w:p>
    <w:p w14:paraId="18F92B94"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2A0995F9"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Pr>
          <w:rFonts w:cs="Calibri"/>
          <w:lang w:val="pt-BR" w:eastAsia="pt-BR"/>
        </w:rPr>
        <w:t>Não se pode olvidar da dificuldade em se fazer prova do ato negativo das informações não juntadas, tornando-se simples a requerida apresentar o histórico de pessoal da parte autora.</w:t>
      </w:r>
    </w:p>
    <w:p w14:paraId="4CCB36B1"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2AFDF7D9"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Pr>
          <w:rFonts w:cs="Calibri"/>
          <w:lang w:val="pt-BR" w:eastAsia="pt-BR"/>
        </w:rPr>
        <w:t>Ora Excelência, não pode o autor deixar de ter cumprido seu direito por não poder mais acessar a informação necessária a qual detém a requerida. Além de que, como será demonstrado adiante, tal matéria encontra-se pacificada em nossos tribunais e inclusive por este juízo.</w:t>
      </w:r>
    </w:p>
    <w:p w14:paraId="6C1A079C"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3DA2EC53"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Pr>
          <w:rFonts w:cs="Calibri"/>
          <w:lang w:val="pt-BR" w:eastAsia="pt-BR"/>
        </w:rPr>
        <w:t>Posto isto, requer, desde já, a aplicação da inversão do ônus da prova diante da extrema hipossuficiência técnica da parte autora frente a parte Requerida.</w:t>
      </w:r>
    </w:p>
    <w:p w14:paraId="2E510159"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74AD7AF6"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themeColor="text1"/>
          <w:lang w:val="pt-BR"/>
        </w:rPr>
      </w:pPr>
      <w:r>
        <w:rPr>
          <w:rFonts w:cs="Calibri"/>
          <w:b/>
          <w:color w:val="000000" w:themeColor="text1"/>
          <w:lang w:val="pt-BR"/>
        </w:rPr>
        <w:t>5 - DOS PEDIDOS</w:t>
      </w:r>
    </w:p>
    <w:p w14:paraId="3E532215" w14:textId="77777777" w:rsidR="00B7465A" w:rsidRPr="00B7465A" w:rsidRDefault="00B7465A" w:rsidP="00B7465A">
      <w:pPr>
        <w:spacing w:line="300" w:lineRule="auto"/>
        <w:ind w:firstLine="2835"/>
        <w:jc w:val="both"/>
        <w:rPr>
          <w:rFonts w:cs="Calibri"/>
          <w:color w:val="000000" w:themeColor="text1"/>
          <w:lang w:val="pt-BR"/>
        </w:rPr>
      </w:pPr>
    </w:p>
    <w:p w14:paraId="164F5D11"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 xml:space="preserve">Pelo exposto, a parte requerente requer que Vossa Excelência se digne à: </w:t>
      </w:r>
    </w:p>
    <w:p w14:paraId="7DB21C0E" w14:textId="77777777" w:rsidR="00B7465A" w:rsidRPr="00B7465A" w:rsidRDefault="00B7465A" w:rsidP="00B7465A">
      <w:pPr>
        <w:spacing w:line="300" w:lineRule="auto"/>
        <w:ind w:firstLine="1418"/>
        <w:jc w:val="both"/>
        <w:rPr>
          <w:rFonts w:cs="Calibri"/>
          <w:color w:val="000000" w:themeColor="text1"/>
          <w:lang w:val="pt-BR"/>
        </w:rPr>
      </w:pPr>
    </w:p>
    <w:p w14:paraId="34EB3ED8"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Pr>
          <w:rFonts w:cs="Calibri"/>
          <w:color w:val="000000" w:themeColor="text1"/>
        </w:rPr>
        <w:t>Determinar a citação do requerido, no endereço supracitado, na pessoa do seu representante legal, para, querendo, no prazo legal, apresentar contestação, sob pena de sofrer os efeitos da revelia;</w:t>
      </w:r>
    </w:p>
    <w:p w14:paraId="3FD6C4C0" w14:textId="77777777" w:rsidR="00B7465A" w:rsidRPr="00B7465A" w:rsidRDefault="00B7465A" w:rsidP="00B7465A">
      <w:pPr>
        <w:pStyle w:val="PargrafodaLista"/>
        <w:spacing w:after="0" w:line="300" w:lineRule="auto"/>
        <w:ind w:left="0" w:firstLine="1418"/>
        <w:jc w:val="both"/>
        <w:rPr>
          <w:rFonts w:cs="Calibri"/>
          <w:color w:val="000000" w:themeColor="text1"/>
          <w:sz w:val="18"/>
          <w:szCs w:val="18"/>
        </w:rPr>
      </w:pPr>
    </w:p>
    <w:p w14:paraId="2D46E340"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Pr>
          <w:rFonts w:cs="Calibri"/>
          <w:color w:val="000000" w:themeColor="text1"/>
        </w:rPr>
        <w:t>Conceder o benefício da Justiça Gratuita, nos termos do art. 5°, LXXIV da CF/88 c/c art. 98 e seguintes do CPC/15, tendo em vista não possuir condições de arcar com as despesas da causa e manter a si e sua família;</w:t>
      </w:r>
    </w:p>
    <w:p w14:paraId="1388DE80" w14:textId="77777777" w:rsidR="00B7465A" w:rsidRPr="00B7465A" w:rsidRDefault="00B7465A" w:rsidP="00B7465A">
      <w:pPr>
        <w:spacing w:line="300" w:lineRule="auto"/>
        <w:ind w:firstLine="1418"/>
        <w:jc w:val="both"/>
        <w:rPr>
          <w:rFonts w:cs="Calibri"/>
          <w:color w:val="000000" w:themeColor="text1"/>
          <w:lang w:val="pt-BR"/>
        </w:rPr>
      </w:pPr>
    </w:p>
    <w:p w14:paraId="04CC9C96"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Pr>
          <w:rFonts w:cs="Calibri"/>
          <w:color w:val="000000" w:themeColor="text1"/>
        </w:rPr>
        <w:t>Determinar a intimação do Ministério Público Estadual para, em havendo interesse, atuar como fiscal da lei;</w:t>
      </w:r>
    </w:p>
    <w:p w14:paraId="389FCFEE" w14:textId="77777777" w:rsidR="00B7465A" w:rsidRPr="00B7465A" w:rsidRDefault="00B7465A" w:rsidP="00B7465A">
      <w:pPr>
        <w:pStyle w:val="PargrafodaLista"/>
        <w:spacing w:after="0" w:line="300" w:lineRule="auto"/>
        <w:ind w:left="0" w:firstLine="1418"/>
        <w:rPr>
          <w:rFonts w:cs="Calibri"/>
          <w:color w:val="000000" w:themeColor="text1"/>
        </w:rPr>
      </w:pPr>
    </w:p>
    <w:p w14:paraId="65F8A218"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Pr>
          <w:rFonts w:cs="Calibri"/>
          <w:color w:val="000000" w:themeColor="text1"/>
        </w:rPr>
        <w:t>Determinar a dispensa da realização de audiência de conciliação e mediação, nos moldes do art. 334, §4°, inciso I, do CPC;</w:t>
      </w:r>
    </w:p>
    <w:p w14:paraId="0E6F5B3F" w14:textId="77777777" w:rsidR="00B7465A" w:rsidRPr="00B7465A" w:rsidRDefault="00B7465A" w:rsidP="00B7465A">
      <w:pPr>
        <w:spacing w:line="300" w:lineRule="auto"/>
        <w:ind w:firstLine="1418"/>
        <w:jc w:val="both"/>
        <w:rPr>
          <w:rFonts w:cs="Calibri"/>
          <w:color w:val="000000" w:themeColor="text1"/>
          <w:lang w:val="pt-BR"/>
        </w:rPr>
      </w:pPr>
    </w:p>
    <w:p w14:paraId="610C4246" w14:textId="77777777" w:rsidR="00B7465A" w:rsidRPr="00B7465A" w:rsidRDefault="00B7465A" w:rsidP="00B7465A">
      <w:pPr>
        <w:pStyle w:val="PargrafodaLista"/>
        <w:numPr>
          <w:ilvl w:val="0"/>
          <w:numId w:val="37"/>
        </w:numPr>
        <w:spacing w:after="0" w:line="300" w:lineRule="auto"/>
        <w:ind w:left="0" w:firstLine="1418"/>
        <w:jc w:val="both"/>
        <w:rPr>
          <w:rFonts w:cs="Calibri"/>
        </w:rPr>
      </w:pPr>
      <w:r>
        <w:rPr>
          <w:rFonts w:cs="Calibri"/>
          <w:color w:val="000000" w:themeColor="text1"/>
        </w:rPr>
        <w:t>Determinar a inversão do ônus da prova, nos termos do art. 373, §1° do CPC, devendo a empresa requerida apresentar nos autos o histórico de pessoal completo com o termo de posse da parte autora, como também a ficha financeira e a ficha funcional, dado a sua hipossuficiência técnica e os documentos estarem em poder do requerido;</w:t>
      </w:r>
    </w:p>
    <w:p w14:paraId="2E574EB9" w14:textId="77777777" w:rsidR="00B7465A" w:rsidRPr="00B7465A" w:rsidRDefault="00B7465A" w:rsidP="00B7465A">
      <w:pPr>
        <w:pStyle w:val="PargrafodaLista"/>
        <w:spacing w:after="0" w:line="300" w:lineRule="auto"/>
        <w:ind w:left="0" w:firstLine="1418"/>
        <w:rPr>
          <w:rFonts w:cs="Calibri"/>
          <w:color w:val="000000" w:themeColor="text1"/>
        </w:rPr>
      </w:pPr>
    </w:p>
    <w:p w14:paraId="6673DA22"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Pr>
          <w:rFonts w:cs="Calibri"/>
          <w:b/>
          <w:bCs/>
          <w:color w:val="000000" w:themeColor="text1"/>
        </w:rPr>
        <w:t xml:space="preserve">JULGAR TOTALMENTE PROCEDENTE A AÇÃO </w:t>
      </w:r>
      <w:r>
        <w:rPr>
          <w:rFonts w:cs="Calibri"/>
          <w:color w:val="000000" w:themeColor="text1"/>
        </w:rPr>
        <w:t xml:space="preserve">para: </w:t>
      </w:r>
    </w:p>
    <w:p w14:paraId="05843CC5" w14:textId="77777777" w:rsidR="00B7465A" w:rsidRPr="00B7465A" w:rsidRDefault="00B7465A" w:rsidP="00B7465A">
      <w:pPr>
        <w:pStyle w:val="PargrafodaLista"/>
        <w:spacing w:after="0" w:line="300" w:lineRule="auto"/>
        <w:ind w:left="0" w:firstLine="1418"/>
        <w:jc w:val="both"/>
        <w:rPr>
          <w:rFonts w:cs="Calibri"/>
          <w:color w:val="000000" w:themeColor="text1"/>
        </w:rPr>
      </w:pPr>
    </w:p>
    <w:p w14:paraId="3D1C130E" w14:textId="3E72A659" w:rsidR="00B7465A" w:rsidRPr="00B7465A" w:rsidRDefault="00B7465A" w:rsidP="00B7465A">
      <w:pPr>
        <w:pStyle w:val="PargrafodaLista"/>
        <w:spacing w:after="0" w:line="300" w:lineRule="auto"/>
        <w:ind w:left="0" w:firstLine="1418"/>
        <w:jc w:val="both"/>
        <w:rPr>
          <w:rFonts w:cs="Calibri"/>
          <w:color w:val="000000" w:themeColor="text1"/>
        </w:rPr>
      </w:pPr>
      <w:r>
        <w:rPr>
          <w:rFonts w:cs="Calibri"/>
          <w:color w:val="000000" w:themeColor="text1"/>
        </w:rPr>
        <w:t xml:space="preserve">(f.1) Determinar a </w:t>
      </w:r>
      <w:r>
        <w:rPr>
          <w:rFonts w:cs="Calibri"/>
          <w:b/>
          <w:bCs/>
          <w:color w:val="000000" w:themeColor="text1"/>
        </w:rPr>
        <w:t>IMPLANTAÇÃO DO PLANO DE CARGOS, CARREIA E REMUNERAÇÕES</w:t>
      </w:r>
      <w:r>
        <w:rPr>
          <w:rFonts w:cs="Calibri"/>
          <w:color w:val="000000" w:themeColor="text1"/>
        </w:rPr>
        <w:t xml:space="preserve"> </w:t>
      </w:r>
      <w:r>
        <w:rPr>
          <w:rFonts w:cs="Calibri"/>
          <w:b/>
          <w:bCs/>
          <w:color w:val="000000" w:themeColor="text1"/>
        </w:rPr>
        <w:t>da Lei Ordinária n° 3.469/2009</w:t>
      </w:r>
      <w:r>
        <w:rPr>
          <w:rFonts w:cs="Calibri"/>
          <w:color w:val="000000" w:themeColor="text1"/>
        </w:rPr>
        <w:t xml:space="preserve">, </w:t>
      </w:r>
      <w:r>
        <w:rPr>
          <w:rFonts w:cs="Calibri"/>
          <w:b/>
          <w:bCs/>
          <w:color w:val="000000" w:themeColor="text1"/>
        </w:rPr>
        <w:t>enquadrando a parte autora na Classe “A”, Referência “4”, ou outra compatível com o seu tempo de serviço a depender do momento em que se resolva o mérito por decisão deste juízo</w:t>
      </w:r>
      <w:r>
        <w:rPr>
          <w:rFonts w:cs="Calibri"/>
          <w:color w:val="000000" w:themeColor="text1"/>
        </w:rPr>
        <w:t>, e que, em caso de descumprimento de tal decisão, seja-lhe imposta multa diária no valor de R$ 1.000,00 (mil reais) por atraso no cumprimento da decisão, a ser revertida favor da parte autora;</w:t>
      </w:r>
    </w:p>
    <w:p w14:paraId="7913D07B" w14:textId="77777777" w:rsidR="00B7465A" w:rsidRPr="00B7465A" w:rsidRDefault="00B7465A" w:rsidP="00B7465A">
      <w:pPr>
        <w:pStyle w:val="PargrafodaLista"/>
        <w:spacing w:after="0" w:line="300" w:lineRule="auto"/>
        <w:ind w:left="0" w:firstLine="1418"/>
        <w:jc w:val="both"/>
        <w:rPr>
          <w:rFonts w:cs="Calibri"/>
          <w:color w:val="000000" w:themeColor="text1"/>
        </w:rPr>
      </w:pPr>
    </w:p>
    <w:p w14:paraId="0831FB11" w14:textId="59FC73E8" w:rsidR="00B7465A" w:rsidRPr="00B7465A" w:rsidRDefault="00B7465A" w:rsidP="00B7465A">
      <w:pPr>
        <w:pStyle w:val="PargrafodaLista"/>
        <w:spacing w:after="0" w:line="300" w:lineRule="auto"/>
        <w:ind w:left="0" w:firstLine="1418"/>
        <w:jc w:val="both"/>
        <w:rPr>
          <w:rFonts w:cs="Calibri"/>
        </w:rPr>
      </w:pPr>
      <w:r>
        <w:rPr>
          <w:rFonts w:cs="Calibri"/>
          <w:color w:val="000000" w:themeColor="text1"/>
        </w:rPr>
        <w:t xml:space="preserve">(f.2) A condenação do requerido ao pagamento das </w:t>
      </w:r>
      <w:r>
        <w:rPr>
          <w:rFonts w:cs="Calibri"/>
          <w:b/>
          <w:bCs/>
          <w:color w:val="000000" w:themeColor="text1"/>
        </w:rPr>
        <w:t>DIFERENÇAS SALARIAIS</w:t>
      </w:r>
      <w:r>
        <w:rPr>
          <w:rFonts w:cs="Calibri"/>
          <w:color w:val="000000" w:themeColor="text1"/>
        </w:rPr>
        <w:t xml:space="preserve"> do período imprescrito de </w:t>
      </w:r>
      <w:r>
        <w:rPr>
          <w:rFonts w:cs="Calibri"/>
          <w:b/>
          <w:bCs/>
          <w:color w:val="000000" w:themeColor="text1"/>
        </w:rPr>
        <w:t>janeiro de 2021 a janeiro de 2026</w:t>
      </w:r>
      <w:r>
        <w:rPr>
          <w:rFonts w:cs="Calibri"/>
          <w:color w:val="000000" w:themeColor="text1"/>
        </w:rPr>
        <w:t>, referente ao salário, gratificação de saúde, risco de vida, 13° salário dos anos de 2020 a 2025, férias + 1/3 do período de 2020 a 2025 e dos reajustes das datas bases conforme fundamentação, conforme planilha de cálculo anexa</w:t>
      </w:r>
      <w:r>
        <w:rPr>
          <w:rFonts w:cs="Calibri"/>
        </w:rPr>
        <w:t xml:space="preserve"> e memorial abaixo relacionado: </w:t>
      </w:r>
    </w:p>
    <w:p w14:paraId="007982BD" w14:textId="77777777" w:rsidR="00B7465A" w:rsidRPr="00B7465A" w:rsidRDefault="00B7465A" w:rsidP="00B7465A">
      <w:pPr>
        <w:spacing w:line="300" w:lineRule="auto"/>
        <w:jc w:val="both"/>
        <w:rPr>
          <w:rFonts w:cs="Calibri"/>
          <w:lang w:val="pt-BR"/>
        </w:rPr>
      </w:pPr>
      <w:r>
        <w:rPr>
          <w:rFonts w:cs="Calibri"/>
          <w:lang w:val="pt-BR"/>
        </w:rPr>
        <w:tab/>
      </w:r>
    </w:p>
    <w:tbl>
      <w:tblPr>
        <w:tblStyle w:val="TabeladeGrade2-nfase1"/>
        <w:tblW w:w="0" w:type="auto"/>
        <w:tblInd w:w="851" w:type="dxa"/>
        <w:tblLook w:val="04A0" w:firstRow="1" w:lastRow="0" w:firstColumn="1" w:lastColumn="0" w:noHBand="0" w:noVBand="1"/>
      </w:tblPr>
      <w:tblGrid>
        <w:gridCol w:w="3671"/>
        <w:gridCol w:w="3672"/>
      </w:tblGrid>
      <w:tr w:rsidR="00B7465A" w:rsidRPr="00B7465A" w14:paraId="3287DEAB" w14:textId="77777777" w:rsidTr="0084622C">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671" w:type="dxa"/>
          </w:tcPr>
          <w:p w14:paraId="50992BAE" w14:textId="77777777" w:rsidR="00B7465A" w:rsidRPr="00B7465A" w:rsidRDefault="00B7465A" w:rsidP="00B7465A">
            <w:pPr>
              <w:spacing w:line="300" w:lineRule="auto"/>
              <w:jc w:val="both"/>
              <w:rPr>
                <w:rFonts w:cs="Calibri"/>
              </w:rPr>
            </w:pPr>
            <w:r>
              <w:rPr>
                <w:rFonts w:cs="Calibri"/>
              </w:rPr>
              <w:lastRenderedPageBreak/>
              <w:t>Diferenças de Vencimentos:</w:t>
            </w:r>
          </w:p>
        </w:tc>
        <w:tc>
          <w:tcPr>
            <w:tcW w:w="3672" w:type="dxa"/>
          </w:tcPr>
          <w:p w14:paraId="1F2D93B2" w14:textId="4449A35F" w:rsidR="00B7465A" w:rsidRPr="00B7465A" w:rsidRDefault="005B2A18" w:rsidP="00B7465A">
            <w:pPr>
              <w:spacing w:line="300" w:lineRule="auto"/>
              <w:jc w:val="center"/>
              <w:cnfStyle w:val="100000000000" w:firstRow="1" w:lastRow="0" w:firstColumn="0" w:lastColumn="0" w:oddVBand="0" w:evenVBand="0" w:oddHBand="0" w:evenHBand="0" w:firstRowFirstColumn="0" w:firstRowLastColumn="0" w:lastRowFirstColumn="0" w:lastRowLastColumn="0"/>
              <w:rPr>
                <w:rFonts w:cs="Calibri"/>
              </w:rPr>
            </w:pPr>
            <w:r>
              <w:rPr>
                <w:rFonts w:cs="Calibri"/>
              </w:rPr>
              <w:t>R$ 8.519,58</w:t>
            </w:r>
          </w:p>
        </w:tc>
      </w:tr>
      <w:tr w:rsidR="00B7465A" w:rsidRPr="00B7465A" w14:paraId="44AE9EF9" w14:textId="77777777" w:rsidTr="0084622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671" w:type="dxa"/>
          </w:tcPr>
          <w:p w14:paraId="21761925" w14:textId="77777777" w:rsidR="00B7465A" w:rsidRPr="00B7465A" w:rsidRDefault="00B7465A" w:rsidP="00B7465A">
            <w:pPr>
              <w:spacing w:line="300" w:lineRule="auto"/>
              <w:jc w:val="both"/>
              <w:rPr>
                <w:rFonts w:cs="Calibri"/>
                <w:lang w:val="pt-BR"/>
              </w:rPr>
            </w:pPr>
            <w:r>
              <w:rPr>
                <w:rFonts w:cs="Calibri"/>
                <w:lang w:val="pt-BR"/>
              </w:rPr>
              <w:t xml:space="preserve">Diferenças de Gratificação de Saúde: </w:t>
            </w:r>
          </w:p>
        </w:tc>
        <w:tc>
          <w:tcPr>
            <w:tcW w:w="3672" w:type="dxa"/>
          </w:tcPr>
          <w:p w14:paraId="4AAF5DCF" w14:textId="2D0CF107" w:rsidR="00B7465A" w:rsidRPr="00B7465A" w:rsidRDefault="00B7465A" w:rsidP="00B7465A">
            <w:pPr>
              <w:spacing w:line="300" w:lineRule="auto"/>
              <w:jc w:val="center"/>
              <w:cnfStyle w:val="000000100000" w:firstRow="0" w:lastRow="0" w:firstColumn="0" w:lastColumn="0" w:oddVBand="0" w:evenVBand="0" w:oddHBand="1" w:evenHBand="0" w:firstRowFirstColumn="0" w:firstRowLastColumn="0" w:lastRowFirstColumn="0" w:lastRowLastColumn="0"/>
              <w:rPr>
                <w:rFonts w:cs="Calibri"/>
                <w:b/>
                <w:bCs/>
                <w:lang w:val="pt-BR"/>
              </w:rPr>
            </w:pPr>
            <w:r>
              <w:rPr>
                <w:rFonts w:cs="Calibri"/>
                <w:b/>
                <w:bCs/>
                <w:lang w:val="pt-BR"/>
              </w:rPr>
              <w:t>R$ 1.716,77</w:t>
            </w:r>
          </w:p>
        </w:tc>
      </w:tr>
      <w:tr w:rsidR="00B7465A" w:rsidRPr="00B7465A" w14:paraId="0A0A6B44" w14:textId="77777777" w:rsidTr="0084622C">
        <w:trPr>
          <w:trHeight w:val="282"/>
        </w:trPr>
        <w:tc>
          <w:tcPr>
            <w:cnfStyle w:val="001000000000" w:firstRow="0" w:lastRow="0" w:firstColumn="1" w:lastColumn="0" w:oddVBand="0" w:evenVBand="0" w:oddHBand="0" w:evenHBand="0" w:firstRowFirstColumn="0" w:firstRowLastColumn="0" w:lastRowFirstColumn="0" w:lastRowLastColumn="0"/>
            <w:tcW w:w="3671" w:type="dxa"/>
          </w:tcPr>
          <w:p w14:paraId="7A1588F3" w14:textId="77777777" w:rsidR="00B7465A" w:rsidRPr="00B7465A" w:rsidRDefault="00B7465A" w:rsidP="00B7465A">
            <w:pPr>
              <w:spacing w:line="300" w:lineRule="auto"/>
              <w:jc w:val="both"/>
              <w:rPr>
                <w:rFonts w:cs="Calibri"/>
                <w:lang w:val="pt-BR"/>
              </w:rPr>
            </w:pPr>
            <w:r>
              <w:rPr>
                <w:rFonts w:cs="Calibri"/>
                <w:lang w:val="pt-BR"/>
              </w:rPr>
              <w:t>Diferenças de Risco de Vida:</w:t>
            </w:r>
          </w:p>
        </w:tc>
        <w:tc>
          <w:tcPr>
            <w:tcW w:w="3672" w:type="dxa"/>
          </w:tcPr>
          <w:p w14:paraId="2733D1F5" w14:textId="3C787FD3" w:rsidR="00B7465A" w:rsidRPr="00B7465A" w:rsidRDefault="00B7465A" w:rsidP="00B7465A">
            <w:pPr>
              <w:spacing w:line="300" w:lineRule="auto"/>
              <w:jc w:val="center"/>
              <w:cnfStyle w:val="000000000000" w:firstRow="0" w:lastRow="0" w:firstColumn="0" w:lastColumn="0" w:oddVBand="0" w:evenVBand="0" w:oddHBand="0" w:evenHBand="0" w:firstRowFirstColumn="0" w:firstRowLastColumn="0" w:lastRowFirstColumn="0" w:lastRowLastColumn="0"/>
              <w:rPr>
                <w:rFonts w:cs="Calibri"/>
                <w:b/>
                <w:bCs/>
                <w:lang w:val="pt-BR"/>
              </w:rPr>
            </w:pPr>
            <w:r>
              <w:rPr>
                <w:rFonts w:cs="Calibri"/>
                <w:b/>
                <w:bCs/>
                <w:lang w:val="pt-BR"/>
              </w:rPr>
              <w:t>R$ 851,96</w:t>
            </w:r>
          </w:p>
        </w:tc>
      </w:tr>
      <w:tr w:rsidR="00B7465A" w:rsidRPr="00B7465A" w14:paraId="61CCBE88" w14:textId="77777777" w:rsidTr="0084622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671" w:type="dxa"/>
          </w:tcPr>
          <w:p w14:paraId="4CC1B937" w14:textId="77777777" w:rsidR="00B7465A" w:rsidRPr="00B7465A" w:rsidRDefault="00B7465A" w:rsidP="00B7465A">
            <w:pPr>
              <w:spacing w:line="300" w:lineRule="auto"/>
              <w:jc w:val="both"/>
              <w:rPr>
                <w:rFonts w:cs="Calibri"/>
                <w:lang w:val="pt-BR"/>
              </w:rPr>
            </w:pPr>
            <w:r>
              <w:rPr>
                <w:rFonts w:cs="Calibri"/>
                <w:lang w:val="pt-BR"/>
              </w:rPr>
              <w:t>Diferenças de 13° Salários:</w:t>
            </w:r>
          </w:p>
        </w:tc>
        <w:tc>
          <w:tcPr>
            <w:tcW w:w="3672" w:type="dxa"/>
          </w:tcPr>
          <w:p w14:paraId="3EEB3E95" w14:textId="6BA9020E" w:rsidR="00B7465A" w:rsidRPr="00B7465A" w:rsidRDefault="00B7465A" w:rsidP="00B7465A">
            <w:pPr>
              <w:spacing w:line="300" w:lineRule="auto"/>
              <w:jc w:val="center"/>
              <w:cnfStyle w:val="000000100000" w:firstRow="0" w:lastRow="0" w:firstColumn="0" w:lastColumn="0" w:oddVBand="0" w:evenVBand="0" w:oddHBand="1" w:evenHBand="0" w:firstRowFirstColumn="0" w:firstRowLastColumn="0" w:lastRowFirstColumn="0" w:lastRowLastColumn="0"/>
              <w:rPr>
                <w:rFonts w:cs="Calibri"/>
                <w:b/>
                <w:bCs/>
                <w:lang w:val="pt-BR"/>
              </w:rPr>
            </w:pPr>
            <w:r>
              <w:rPr>
                <w:rFonts w:cs="Calibri"/>
                <w:b/>
                <w:bCs/>
                <w:lang w:val="pt-BR"/>
              </w:rPr>
              <w:t>R$ 702,98</w:t>
            </w:r>
          </w:p>
        </w:tc>
      </w:tr>
      <w:tr w:rsidR="00B7465A" w:rsidRPr="00B7465A" w14:paraId="7236AC08" w14:textId="77777777" w:rsidTr="0084622C">
        <w:trPr>
          <w:trHeight w:val="293"/>
        </w:trPr>
        <w:tc>
          <w:tcPr>
            <w:cnfStyle w:val="001000000000" w:firstRow="0" w:lastRow="0" w:firstColumn="1" w:lastColumn="0" w:oddVBand="0" w:evenVBand="0" w:oddHBand="0" w:evenHBand="0" w:firstRowFirstColumn="0" w:firstRowLastColumn="0" w:lastRowFirstColumn="0" w:lastRowLastColumn="0"/>
            <w:tcW w:w="3671" w:type="dxa"/>
          </w:tcPr>
          <w:p w14:paraId="06B65089" w14:textId="77777777" w:rsidR="00B7465A" w:rsidRPr="00B7465A" w:rsidRDefault="00B7465A" w:rsidP="00B7465A">
            <w:pPr>
              <w:spacing w:line="300" w:lineRule="auto"/>
              <w:jc w:val="both"/>
              <w:rPr>
                <w:rFonts w:cs="Calibri"/>
                <w:lang w:val="pt-BR"/>
              </w:rPr>
            </w:pPr>
            <w:r>
              <w:rPr>
                <w:rFonts w:cs="Calibri"/>
                <w:lang w:val="pt-BR"/>
              </w:rPr>
              <w:t>Diferenças de Férias:</w:t>
            </w:r>
          </w:p>
        </w:tc>
        <w:tc>
          <w:tcPr>
            <w:tcW w:w="3672" w:type="dxa"/>
          </w:tcPr>
          <w:p w14:paraId="1B3C452E" w14:textId="20462202" w:rsidR="00B7465A" w:rsidRPr="00B7465A" w:rsidRDefault="00B7465A" w:rsidP="00B7465A">
            <w:pPr>
              <w:spacing w:line="300" w:lineRule="auto"/>
              <w:jc w:val="center"/>
              <w:cnfStyle w:val="000000000000" w:firstRow="0" w:lastRow="0" w:firstColumn="0" w:lastColumn="0" w:oddVBand="0" w:evenVBand="0" w:oddHBand="0" w:evenHBand="0" w:firstRowFirstColumn="0" w:firstRowLastColumn="0" w:lastRowFirstColumn="0" w:lastRowLastColumn="0"/>
              <w:rPr>
                <w:rFonts w:cs="Calibri"/>
                <w:b/>
                <w:bCs/>
                <w:lang w:val="pt-BR"/>
              </w:rPr>
            </w:pPr>
            <w:r>
              <w:rPr>
                <w:rFonts w:cs="Calibri"/>
                <w:b/>
                <w:bCs/>
                <w:lang w:val="pt-BR"/>
              </w:rPr>
              <w:t>R$ 168,91</w:t>
            </w:r>
          </w:p>
        </w:tc>
      </w:tr>
      <w:tr w:rsidR="00B7465A" w:rsidRPr="00B7465A" w14:paraId="754FF13D" w14:textId="77777777" w:rsidTr="0084622C">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671" w:type="dxa"/>
          </w:tcPr>
          <w:p w14:paraId="3672A332" w14:textId="77777777" w:rsidR="00B7465A" w:rsidRPr="00B7465A" w:rsidRDefault="00B7465A" w:rsidP="00B7465A">
            <w:pPr>
              <w:spacing w:line="300" w:lineRule="auto"/>
              <w:jc w:val="right"/>
              <w:rPr>
                <w:rFonts w:cs="Calibri"/>
                <w:lang w:val="pt-BR"/>
              </w:rPr>
            </w:pPr>
            <w:r>
              <w:rPr>
                <w:rFonts w:cs="Calibri"/>
                <w:lang w:val="pt-BR"/>
              </w:rPr>
              <w:t>TOTAL:</w:t>
            </w:r>
          </w:p>
        </w:tc>
        <w:tc>
          <w:tcPr>
            <w:tcW w:w="3672" w:type="dxa"/>
          </w:tcPr>
          <w:p w14:paraId="66EB8B68" w14:textId="3338414B" w:rsidR="00B7465A" w:rsidRPr="00B7465A" w:rsidRDefault="00B7465A" w:rsidP="00B7465A">
            <w:pPr>
              <w:spacing w:line="300" w:lineRule="auto"/>
              <w:jc w:val="center"/>
              <w:cnfStyle w:val="000000100000" w:firstRow="0" w:lastRow="0" w:firstColumn="0" w:lastColumn="0" w:oddVBand="0" w:evenVBand="0" w:oddHBand="1" w:evenHBand="0" w:firstRowFirstColumn="0" w:firstRowLastColumn="0" w:lastRowFirstColumn="0" w:lastRowLastColumn="0"/>
              <w:rPr>
                <w:rFonts w:cs="Calibri"/>
                <w:b/>
                <w:bCs/>
                <w:lang w:val="pt-BR"/>
              </w:rPr>
            </w:pPr>
            <w:r>
              <w:rPr>
                <w:rFonts w:cs="Calibri"/>
                <w:b/>
                <w:bCs/>
                <w:lang w:val="pt-BR"/>
              </w:rPr>
              <w:t>R$ 11.960,19</w:t>
            </w:r>
          </w:p>
        </w:tc>
      </w:tr>
    </w:tbl>
    <w:p w14:paraId="16E6B6E9" w14:textId="77777777" w:rsidR="00B7465A" w:rsidRPr="00B7465A" w:rsidRDefault="00B7465A" w:rsidP="00B7465A">
      <w:pPr>
        <w:pStyle w:val="PargrafodaLista"/>
        <w:spacing w:after="0" w:line="300" w:lineRule="auto"/>
        <w:ind w:left="0" w:firstLine="1701"/>
        <w:jc w:val="both"/>
        <w:rPr>
          <w:rFonts w:cs="Calibri"/>
        </w:rPr>
      </w:pPr>
    </w:p>
    <w:p w14:paraId="2C03C4F7" w14:textId="77777777" w:rsidR="00B7465A" w:rsidRPr="00B7465A" w:rsidRDefault="00B7465A" w:rsidP="00B7465A">
      <w:pPr>
        <w:pStyle w:val="PargrafodaLista"/>
        <w:spacing w:after="0" w:line="300" w:lineRule="auto"/>
        <w:ind w:left="0" w:firstLine="1418"/>
        <w:jc w:val="both"/>
        <w:rPr>
          <w:rFonts w:cs="Calibri"/>
          <w:color w:val="000000" w:themeColor="text1"/>
        </w:rPr>
      </w:pPr>
      <w:r>
        <w:rPr>
          <w:rFonts w:cs="Calibri"/>
          <w:color w:val="000000" w:themeColor="text1"/>
        </w:rPr>
        <w:t>(f.2.1) Em caso de parcelas vencidas no curso da presente demanda, requer desde já que seja incluída na condenação, conforme disciplina o art. 323 do CPC;</w:t>
      </w:r>
    </w:p>
    <w:p w14:paraId="27A7F3AD" w14:textId="77777777" w:rsidR="00B7465A" w:rsidRPr="00B7465A" w:rsidRDefault="00B7465A" w:rsidP="00B7465A">
      <w:pPr>
        <w:pStyle w:val="PargrafodaLista"/>
        <w:spacing w:after="0" w:line="300" w:lineRule="auto"/>
        <w:ind w:firstLine="1418"/>
        <w:rPr>
          <w:rFonts w:cs="Calibri"/>
          <w:color w:val="000000" w:themeColor="text1"/>
        </w:rPr>
      </w:pPr>
    </w:p>
    <w:p w14:paraId="713BF34F"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Pr>
          <w:rFonts w:cs="Calibri"/>
          <w:lang w:val="pt-BR" w:eastAsia="pt-BR"/>
        </w:rPr>
        <w:t>(f.3) Em sendo provido o pedido principal, pugna-se pela condenação do Estado ao pagamento de todos os consectários financeiros decorrentes das diferenças salarias, a ser liquidado na fase de cumprimento de sentença</w:t>
      </w:r>
      <w:r>
        <w:rPr>
          <w:rFonts w:cs="Calibri"/>
          <w:lang w:val="pt-BR"/>
        </w:rPr>
        <w:t>, com incidência de correção monetária pelo IPCA-e, a contar do vencimento mensal de cada parcela, e juros de mora a partir da citação, nos termos do art. 1°-F, da Lei n° 9.494/97 em conformidade com o RE n° 870947 (Tema 810);</w:t>
      </w:r>
    </w:p>
    <w:p w14:paraId="23F21822" w14:textId="77777777" w:rsidR="00B7465A" w:rsidRPr="00B7465A" w:rsidRDefault="00B7465A" w:rsidP="00B7465A">
      <w:pPr>
        <w:pStyle w:val="PargrafodaLista"/>
        <w:spacing w:after="0" w:line="300" w:lineRule="auto"/>
        <w:ind w:left="0" w:firstLine="1418"/>
        <w:jc w:val="both"/>
        <w:rPr>
          <w:rFonts w:cs="Calibri"/>
          <w:color w:val="000000" w:themeColor="text1"/>
        </w:rPr>
      </w:pPr>
    </w:p>
    <w:p w14:paraId="1994A2B3"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Pr>
          <w:rFonts w:cs="Calibri"/>
          <w:color w:val="000000" w:themeColor="text1"/>
        </w:rPr>
        <w:t>Condenar o requerido ao pagamento das custas processuais e honorários sucumbenciais no percentual de 20% (vinte por cento) sobre o valor da condenação devidamente atualizado;</w:t>
      </w:r>
    </w:p>
    <w:p w14:paraId="76327867" w14:textId="77777777" w:rsidR="00B7465A" w:rsidRPr="00B7465A" w:rsidRDefault="00B7465A" w:rsidP="00B7465A">
      <w:pPr>
        <w:pStyle w:val="PargrafodaLista"/>
        <w:spacing w:after="0" w:line="300" w:lineRule="auto"/>
        <w:ind w:left="0" w:firstLine="1418"/>
        <w:rPr>
          <w:rFonts w:cs="Calibri"/>
          <w:color w:val="000000" w:themeColor="text1"/>
        </w:rPr>
      </w:pPr>
    </w:p>
    <w:p w14:paraId="0941FD49"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Pr>
          <w:rFonts w:cs="Calibri"/>
          <w:color w:val="000000" w:themeColor="text1"/>
        </w:rPr>
        <w:t xml:space="preserve">Determinar que todas as publicações pertinentes ao presente feito, dirigidas a parte requerente, sejam realizadas </w:t>
      </w:r>
      <w:r>
        <w:rPr>
          <w:rFonts w:cs="Calibri"/>
          <w:b/>
          <w:bCs/>
          <w:color w:val="000000" w:themeColor="text1"/>
        </w:rPr>
        <w:t>CONJUNTAMENTE</w:t>
      </w:r>
      <w:r>
        <w:rPr>
          <w:rFonts w:cs="Calibri"/>
          <w:color w:val="000000" w:themeColor="text1"/>
        </w:rPr>
        <w:t xml:space="preserve"> em nome de seus patronos</w:t>
      </w:r>
      <w:r>
        <w:rPr>
          <w:rFonts w:cs="Calibri"/>
          <w:b/>
          <w:color w:val="000000" w:themeColor="text1"/>
        </w:rPr>
        <w:t xml:space="preserve"> ANDREY AUGUSTO BENTES RAMOS – OAB/AM 7526 e GUSTAVO DA SILVA GRILLO – OAB/AM 7.883</w:t>
      </w:r>
      <w:r>
        <w:rPr>
          <w:rFonts w:cs="Calibri"/>
          <w:color w:val="000000" w:themeColor="text1"/>
        </w:rPr>
        <w:t>,</w:t>
      </w:r>
      <w:r>
        <w:rPr>
          <w:rFonts w:cs="Calibri"/>
          <w:b/>
          <w:color w:val="000000" w:themeColor="text1"/>
        </w:rPr>
        <w:t xml:space="preserve"> sob pena de nulidade, conforme §5˚, do art. 272 do CPC</w:t>
      </w:r>
      <w:r>
        <w:rPr>
          <w:rFonts w:cs="Calibri"/>
          <w:color w:val="000000" w:themeColor="text1"/>
        </w:rPr>
        <w:t>.</w:t>
      </w:r>
    </w:p>
    <w:p w14:paraId="439E825B" w14:textId="77777777" w:rsidR="00B7465A" w:rsidRPr="00B7465A" w:rsidRDefault="00B7465A" w:rsidP="00B7465A">
      <w:pPr>
        <w:pStyle w:val="PargrafodaLista"/>
        <w:spacing w:after="0" w:line="300" w:lineRule="auto"/>
        <w:ind w:left="0" w:firstLine="1418"/>
        <w:jc w:val="both"/>
        <w:rPr>
          <w:rFonts w:cs="Calibri"/>
          <w:color w:val="000000" w:themeColor="text1"/>
          <w:sz w:val="18"/>
          <w:szCs w:val="18"/>
        </w:rPr>
      </w:pPr>
    </w:p>
    <w:p w14:paraId="32FBB6AD" w14:textId="77777777" w:rsidR="00B7465A" w:rsidRPr="00B7465A" w:rsidRDefault="00B7465A" w:rsidP="00B7465A">
      <w:pPr>
        <w:pStyle w:val="PargrafodaLista"/>
        <w:spacing w:after="0" w:line="300" w:lineRule="auto"/>
        <w:ind w:left="0" w:firstLine="1418"/>
        <w:jc w:val="both"/>
        <w:rPr>
          <w:rFonts w:cs="Calibri"/>
          <w:color w:val="000000" w:themeColor="text1"/>
        </w:rPr>
      </w:pPr>
      <w:r>
        <w:rPr>
          <w:rFonts w:cs="Calibri"/>
          <w:color w:val="000000" w:themeColor="text1"/>
        </w:rPr>
        <w:t>Por oportuno, requer ainda a produção de todas as provas em direito admitidas, em especial o depoimento pessoal do representante legal do requerido, bem como, prova testemunhal, documental, e de todas outras que façam necessárias ao curso da instrução processual.</w:t>
      </w:r>
    </w:p>
    <w:p w14:paraId="7D9BC79C" w14:textId="77777777" w:rsidR="00B7465A" w:rsidRPr="00B7465A" w:rsidRDefault="00B7465A" w:rsidP="00B7465A">
      <w:pPr>
        <w:spacing w:line="300" w:lineRule="auto"/>
        <w:ind w:firstLine="1418"/>
        <w:jc w:val="both"/>
        <w:rPr>
          <w:rFonts w:cs="Calibri"/>
          <w:color w:val="000000" w:themeColor="text1"/>
          <w:sz w:val="18"/>
          <w:szCs w:val="18"/>
          <w:lang w:val="pt-BR"/>
        </w:rPr>
      </w:pPr>
    </w:p>
    <w:p w14:paraId="5C45B7C9" w14:textId="62EB6EDC" w:rsidR="00B7465A" w:rsidRPr="00B7465A" w:rsidRDefault="00B7465A" w:rsidP="00B7465A">
      <w:pPr>
        <w:spacing w:line="300" w:lineRule="auto"/>
        <w:ind w:firstLine="1418"/>
        <w:jc w:val="both"/>
        <w:rPr>
          <w:rFonts w:cs="Calibri"/>
          <w:b/>
          <w:bCs/>
          <w:color w:val="000000" w:themeColor="text1"/>
          <w:lang w:val="pt-BR"/>
        </w:rPr>
      </w:pPr>
      <w:r>
        <w:rPr>
          <w:rFonts w:cs="Calibri"/>
          <w:color w:val="000000" w:themeColor="text1"/>
          <w:lang w:val="pt-BR"/>
        </w:rPr>
        <w:t xml:space="preserve">Dá-se a causa o valor de </w:t>
      </w:r>
      <w:r>
        <w:rPr>
          <w:rFonts w:cs="Calibri"/>
          <w:b/>
          <w:bCs/>
          <w:lang w:val="pt-BR" w:eastAsia="pt-BR"/>
        </w:rPr>
        <w:t>R$ 11.960,19 (onze mil, novecentos e sessenta reais e dezenove centavos).</w:t>
      </w:r>
    </w:p>
    <w:p w14:paraId="79A88DA1" w14:textId="77777777" w:rsidR="00B7465A" w:rsidRPr="00B7465A" w:rsidRDefault="00B7465A" w:rsidP="00B7465A">
      <w:pPr>
        <w:spacing w:line="300" w:lineRule="auto"/>
        <w:ind w:firstLine="1418"/>
        <w:jc w:val="both"/>
        <w:rPr>
          <w:rFonts w:cs="Calibri"/>
          <w:color w:val="000000" w:themeColor="text1"/>
          <w:lang w:val="pt-BR"/>
        </w:rPr>
      </w:pPr>
    </w:p>
    <w:p w14:paraId="524E641B"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Nestes termos,</w:t>
      </w:r>
    </w:p>
    <w:p w14:paraId="24633B26" w14:textId="77777777"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pede deferimento.</w:t>
      </w:r>
    </w:p>
    <w:p w14:paraId="0DE0E465" w14:textId="77777777" w:rsidR="00B7465A" w:rsidRPr="00B7465A" w:rsidRDefault="00B7465A" w:rsidP="00B7465A">
      <w:pPr>
        <w:spacing w:line="300" w:lineRule="auto"/>
        <w:ind w:firstLine="1418"/>
        <w:jc w:val="both"/>
        <w:rPr>
          <w:rFonts w:cs="Calibri"/>
          <w:color w:val="000000" w:themeColor="text1"/>
          <w:lang w:val="pt-BR"/>
        </w:rPr>
      </w:pPr>
    </w:p>
    <w:p w14:paraId="07A6A407" w14:textId="7BE89A8C" w:rsidR="00B7465A" w:rsidRPr="00B7465A" w:rsidRDefault="00B7465A" w:rsidP="00B7465A">
      <w:pPr>
        <w:spacing w:line="300" w:lineRule="auto"/>
        <w:ind w:firstLine="1418"/>
        <w:jc w:val="both"/>
        <w:rPr>
          <w:rFonts w:cs="Calibri"/>
          <w:color w:val="000000" w:themeColor="text1"/>
          <w:lang w:val="pt-BR"/>
        </w:rPr>
      </w:pPr>
      <w:r>
        <w:rPr>
          <w:rFonts w:cs="Calibri"/>
          <w:color w:val="000000" w:themeColor="text1"/>
          <w:lang w:val="pt-BR"/>
        </w:rPr>
        <w:t>Manaus/AM, 10 de janeiro de 2026.</w:t>
      </w:r>
    </w:p>
    <w:bookmarkEnd w:id="0"/>
    <w:p w14:paraId="5DD8FC9A" w14:textId="77777777" w:rsidR="00B7465A" w:rsidRPr="00B7465A" w:rsidRDefault="00B7465A" w:rsidP="00B7465A">
      <w:pPr>
        <w:spacing w:line="300" w:lineRule="auto"/>
        <w:contextualSpacing/>
        <w:jc w:val="center"/>
        <w:rPr>
          <w:rFonts w:cs="Calibri"/>
          <w:b/>
          <w:lang w:val="pt-BR"/>
        </w:rPr>
      </w:pPr>
    </w:p>
    <w:p w14:paraId="685F75D0" w14:textId="77777777" w:rsidR="00B7465A" w:rsidRPr="00B7465A" w:rsidRDefault="00B7465A" w:rsidP="00B7465A">
      <w:pPr>
        <w:spacing w:line="300" w:lineRule="auto"/>
        <w:contextualSpacing/>
        <w:jc w:val="center"/>
        <w:rPr>
          <w:rFonts w:cs="Calibri"/>
          <w:b/>
          <w:lang w:val="pt-BR"/>
        </w:rPr>
      </w:pPr>
      <w:r>
        <w:rPr>
          <w:rFonts w:cs="Calibri"/>
          <w:b/>
          <w:lang w:val="pt-BR"/>
        </w:rPr>
        <w:t>- ASSINADO ELETRONICAMENTE –</w:t>
      </w:r>
    </w:p>
    <w:p w14:paraId="31378C8C" w14:textId="77777777" w:rsidR="00B7465A" w:rsidRPr="00B7465A" w:rsidRDefault="00B7465A" w:rsidP="00B7465A">
      <w:pPr>
        <w:spacing w:line="300" w:lineRule="auto"/>
        <w:contextualSpacing/>
        <w:jc w:val="center"/>
        <w:rPr>
          <w:rFonts w:cs="Calibri"/>
          <w:b/>
          <w:lang w:val="pt-BR"/>
        </w:rPr>
      </w:pPr>
      <w:r>
        <w:rPr>
          <w:rFonts w:cs="Calibri"/>
          <w:b/>
          <w:lang w:val="pt-BR"/>
        </w:rPr>
        <w:t>ANDREY AUGUSTO BENTES RAMOS</w:t>
      </w:r>
    </w:p>
    <w:p w14:paraId="3B17A47C" w14:textId="77777777" w:rsidR="00B7465A" w:rsidRPr="00B7465A" w:rsidRDefault="00B7465A" w:rsidP="00B7465A">
      <w:pPr>
        <w:spacing w:line="300" w:lineRule="auto"/>
        <w:contextualSpacing/>
        <w:jc w:val="center"/>
        <w:rPr>
          <w:rFonts w:cs="Calibri"/>
          <w:b/>
          <w:lang w:val="pt-BR"/>
        </w:rPr>
      </w:pPr>
      <w:r>
        <w:rPr>
          <w:rFonts w:cs="Calibri"/>
          <w:b/>
          <w:lang w:val="pt-BR"/>
        </w:rPr>
        <w:t>OAB/AM 7.526</w:t>
      </w:r>
    </w:p>
    <w:p w14:paraId="150E09C8" w14:textId="77777777" w:rsidR="00B7465A" w:rsidRPr="00B7465A" w:rsidRDefault="00B7465A" w:rsidP="00B7465A">
      <w:pPr>
        <w:spacing w:line="300" w:lineRule="auto"/>
        <w:contextualSpacing/>
        <w:jc w:val="center"/>
        <w:rPr>
          <w:rFonts w:cs="Calibri"/>
          <w:b/>
          <w:lang w:val="pt-BR"/>
        </w:rPr>
      </w:pPr>
    </w:p>
    <w:p w14:paraId="569A043D" w14:textId="77777777" w:rsidR="00B7465A" w:rsidRPr="00B7465A" w:rsidRDefault="00B7465A" w:rsidP="00B7465A">
      <w:pPr>
        <w:spacing w:line="300" w:lineRule="auto"/>
        <w:contextualSpacing/>
        <w:jc w:val="center"/>
        <w:rPr>
          <w:rFonts w:cs="Calibri"/>
          <w:b/>
          <w:lang w:val="pt-BR"/>
        </w:rPr>
      </w:pPr>
    </w:p>
    <w:p w14:paraId="6DA1760B" w14:textId="77777777" w:rsidR="00B7465A" w:rsidRPr="00B7465A" w:rsidRDefault="00B7465A" w:rsidP="00B7465A">
      <w:pPr>
        <w:spacing w:line="300" w:lineRule="auto"/>
        <w:contextualSpacing/>
        <w:jc w:val="center"/>
        <w:rPr>
          <w:rFonts w:cs="Calibri"/>
          <w:b/>
          <w:lang w:val="pt-BR"/>
        </w:rPr>
      </w:pPr>
      <w:r>
        <w:rPr>
          <w:rFonts w:cs="Calibri"/>
          <w:b/>
          <w:lang w:val="pt-BR"/>
        </w:rPr>
        <w:t>GUSTAVO DA SILVA GRILLO</w:t>
      </w:r>
    </w:p>
    <w:p w14:paraId="663A74B0" w14:textId="77777777" w:rsidR="00B7465A" w:rsidRPr="00B7465A" w:rsidRDefault="00B7465A" w:rsidP="00B7465A">
      <w:pPr>
        <w:spacing w:line="300" w:lineRule="auto"/>
        <w:contextualSpacing/>
        <w:jc w:val="center"/>
        <w:rPr>
          <w:rFonts w:cs="Calibri"/>
          <w:b/>
          <w:lang w:val="pt-BR"/>
        </w:rPr>
      </w:pPr>
      <w:r>
        <w:rPr>
          <w:rFonts w:cs="Calibri"/>
          <w:b/>
          <w:lang w:val="pt-BR"/>
        </w:rPr>
        <w:t>OAB/AM 7.883</w:t>
      </w:r>
    </w:p>
    <w:p w14:paraId="6B9B64F8" w14:textId="77777777" w:rsidR="00B7465A" w:rsidRPr="00B7465A" w:rsidRDefault="00B7465A" w:rsidP="00B7465A">
      <w:pPr>
        <w:spacing w:line="300" w:lineRule="auto"/>
        <w:contextualSpacing/>
        <w:jc w:val="center"/>
        <w:rPr>
          <w:rFonts w:cs="Calibri"/>
          <w:b/>
          <w:lang w:val="pt-BR"/>
        </w:rPr>
      </w:pPr>
    </w:p>
    <w:p w14:paraId="437D608D" w14:textId="77777777" w:rsidR="00B7465A" w:rsidRPr="00B7465A" w:rsidRDefault="00B7465A" w:rsidP="00B7465A">
      <w:pPr>
        <w:spacing w:line="300" w:lineRule="auto"/>
        <w:contextualSpacing/>
        <w:jc w:val="center"/>
        <w:rPr>
          <w:rFonts w:cs="Calibri"/>
          <w:b/>
          <w:lang w:val="pt-BR"/>
        </w:rPr>
      </w:pPr>
    </w:p>
    <w:p w14:paraId="3BEDCEC6" w14:textId="77777777" w:rsidR="00B7465A" w:rsidRPr="00B7465A" w:rsidRDefault="00B7465A" w:rsidP="00B7465A">
      <w:pPr>
        <w:spacing w:line="300" w:lineRule="auto"/>
        <w:contextualSpacing/>
        <w:jc w:val="both"/>
        <w:rPr>
          <w:rFonts w:cs="Calibri"/>
          <w:bCs/>
          <w:lang w:val="pt-BR"/>
        </w:rPr>
      </w:pPr>
      <w:r>
        <w:rPr>
          <w:rFonts w:cs="Calibri"/>
          <w:bCs/>
          <w:lang w:val="pt-BR"/>
        </w:rPr>
        <w:t>DOCUMENTOS ANEXO:</w:t>
      </w:r>
    </w:p>
    <w:p w14:paraId="2D225BB2" w14:textId="77777777" w:rsidR="00B7465A" w:rsidRPr="00B7465A" w:rsidRDefault="00B7465A" w:rsidP="00B7465A">
      <w:pPr>
        <w:spacing w:line="300" w:lineRule="auto"/>
        <w:contextualSpacing/>
        <w:jc w:val="both"/>
        <w:rPr>
          <w:rFonts w:cs="Calibri"/>
          <w:bCs/>
          <w:lang w:val="pt-BR"/>
        </w:rPr>
      </w:pPr>
    </w:p>
    <w:p w14:paraId="1A24865F" w14:textId="77777777" w:rsidR="00B7465A" w:rsidRPr="00B7465A" w:rsidRDefault="00B7465A" w:rsidP="00B7465A">
      <w:pPr>
        <w:spacing w:line="300" w:lineRule="auto"/>
        <w:contextualSpacing/>
        <w:jc w:val="both"/>
        <w:rPr>
          <w:rFonts w:cs="Calibri"/>
          <w:bCs/>
          <w:lang w:val="pt-BR"/>
        </w:rPr>
      </w:pPr>
      <w:r>
        <w:rPr>
          <w:rFonts w:cs="Calibri"/>
          <w:bCs/>
          <w:lang w:val="pt-BR"/>
        </w:rPr>
        <w:t>1 – Documentos pessoais da parte autora;</w:t>
      </w:r>
    </w:p>
    <w:p w14:paraId="0643A1AA" w14:textId="77777777" w:rsidR="00B7465A" w:rsidRPr="00B7465A" w:rsidRDefault="00B7465A" w:rsidP="00B7465A">
      <w:pPr>
        <w:spacing w:line="300" w:lineRule="auto"/>
        <w:contextualSpacing/>
        <w:jc w:val="both"/>
        <w:rPr>
          <w:rFonts w:cs="Calibri"/>
          <w:bCs/>
          <w:lang w:val="pt-BR"/>
        </w:rPr>
      </w:pPr>
      <w:r>
        <w:rPr>
          <w:rFonts w:cs="Calibri"/>
          <w:bCs/>
          <w:lang w:val="pt-BR"/>
        </w:rPr>
        <w:t xml:space="preserve">2 – Comprovante de residência; </w:t>
      </w:r>
    </w:p>
    <w:p w14:paraId="6B9D9E3E" w14:textId="77777777" w:rsidR="00B7465A" w:rsidRPr="00B7465A" w:rsidRDefault="00B7465A" w:rsidP="00B7465A">
      <w:pPr>
        <w:spacing w:line="300" w:lineRule="auto"/>
        <w:contextualSpacing/>
        <w:jc w:val="both"/>
        <w:rPr>
          <w:rFonts w:cs="Calibri"/>
          <w:bCs/>
          <w:lang w:val="pt-BR"/>
        </w:rPr>
      </w:pPr>
      <w:r>
        <w:rPr>
          <w:rFonts w:cs="Calibri"/>
          <w:bCs/>
          <w:lang w:val="pt-BR"/>
        </w:rPr>
        <w:t>3 – Instrumento de procuração;</w:t>
      </w:r>
    </w:p>
    <w:p w14:paraId="18CCA62A" w14:textId="77777777" w:rsidR="00B7465A" w:rsidRPr="00B7465A" w:rsidRDefault="00B7465A" w:rsidP="00B7465A">
      <w:pPr>
        <w:spacing w:line="300" w:lineRule="auto"/>
        <w:contextualSpacing/>
        <w:jc w:val="both"/>
        <w:rPr>
          <w:rFonts w:cs="Calibri"/>
          <w:bCs/>
          <w:lang w:val="pt-BR"/>
        </w:rPr>
      </w:pPr>
      <w:r>
        <w:rPr>
          <w:rFonts w:cs="Calibri"/>
          <w:bCs/>
          <w:lang w:val="pt-BR"/>
        </w:rPr>
        <w:t>4 – Declaração de hipossuficiência;</w:t>
      </w:r>
    </w:p>
    <w:p w14:paraId="2D080E12" w14:textId="36718BF0" w:rsidR="00B7465A" w:rsidRPr="00B7465A" w:rsidRDefault="00B7465A" w:rsidP="00B7465A">
      <w:pPr>
        <w:spacing w:line="300" w:lineRule="auto"/>
        <w:contextualSpacing/>
        <w:jc w:val="both"/>
        <w:rPr>
          <w:rFonts w:cs="Calibri"/>
          <w:bCs/>
          <w:lang w:val="pt-BR"/>
        </w:rPr>
      </w:pPr>
      <w:r>
        <w:rPr>
          <w:rFonts w:cs="Calibri"/>
          <w:bCs/>
          <w:lang w:val="pt-BR"/>
        </w:rPr>
        <w:t>5 – Diário Oficial do Estado do Amazonas, datado de 28 de ________, contendo o Decreto de 28 de ________, com a nomeação da parte autora ao cardo de provimento efetivo de Motorista;</w:t>
      </w:r>
    </w:p>
    <w:p w14:paraId="2910A693" w14:textId="5D54AEC2" w:rsidR="00B7465A" w:rsidRPr="00B7465A" w:rsidRDefault="00FB29B6" w:rsidP="00B7465A">
      <w:pPr>
        <w:spacing w:line="300" w:lineRule="auto"/>
        <w:contextualSpacing/>
        <w:jc w:val="both"/>
        <w:rPr>
          <w:rFonts w:cs="Calibri"/>
          <w:bCs/>
          <w:lang w:val="pt-BR"/>
        </w:rPr>
      </w:pPr>
      <w:r>
        <w:rPr>
          <w:rFonts w:cs="Calibri"/>
          <w:bCs/>
          <w:lang w:val="pt-BR"/>
        </w:rPr>
        <w:t>6 – Contracheques do período de janeiro/2021 a dezembro/2025;</w:t>
      </w:r>
    </w:p>
    <w:p w14:paraId="068BD1EA" w14:textId="49B390FB" w:rsidR="00B7465A" w:rsidRPr="00B7465A" w:rsidRDefault="00FB29B6" w:rsidP="00B7465A">
      <w:pPr>
        <w:spacing w:line="300" w:lineRule="auto"/>
        <w:contextualSpacing/>
        <w:jc w:val="both"/>
        <w:rPr>
          <w:rFonts w:cs="Calibri"/>
          <w:bCs/>
          <w:lang w:val="pt-BR"/>
        </w:rPr>
      </w:pPr>
      <w:r>
        <w:rPr>
          <w:rFonts w:cs="Calibri"/>
          <w:bCs/>
          <w:lang w:val="pt-BR"/>
        </w:rPr>
        <w:t>7 - Lei n° 3.469/2009, que versa sobre o Plano de Carreiras, Cargos e Remunerações dos Servidores do Quadro Pessoal Permanente do Sistema Estadual de Saúde - PCCR;</w:t>
      </w:r>
    </w:p>
    <w:p w14:paraId="3D00BAED" w14:textId="578FF76A" w:rsidR="00B7465A" w:rsidRPr="00B7465A" w:rsidRDefault="006C0E79" w:rsidP="00B7465A">
      <w:pPr>
        <w:spacing w:line="300" w:lineRule="auto"/>
        <w:contextualSpacing/>
        <w:jc w:val="both"/>
        <w:rPr>
          <w:rFonts w:cs="Calibri"/>
          <w:bCs/>
          <w:lang w:val="pt-BR"/>
        </w:rPr>
      </w:pPr>
      <w:r>
        <w:rPr>
          <w:rFonts w:cs="Calibri"/>
          <w:bCs/>
          <w:lang w:val="pt-BR"/>
        </w:rPr>
        <w:t>8 – Cartilha fornecida pela Secretaria de Estado de Saúde – SES, referente a explicação à respeito da progressão horizontal e vertical;</w:t>
      </w:r>
    </w:p>
    <w:p w14:paraId="600FE36C" w14:textId="714170EC" w:rsidR="00B7465A" w:rsidRPr="00B7465A" w:rsidRDefault="006C0E79" w:rsidP="00B7465A">
      <w:pPr>
        <w:spacing w:line="300" w:lineRule="auto"/>
        <w:contextualSpacing/>
        <w:jc w:val="both"/>
        <w:rPr>
          <w:rFonts w:cs="Calibri"/>
          <w:bCs/>
          <w:lang w:val="pt-BR"/>
        </w:rPr>
      </w:pPr>
      <w:r>
        <w:rPr>
          <w:rFonts w:cs="Calibri"/>
          <w:bCs/>
          <w:lang w:val="pt-BR"/>
        </w:rPr>
        <w:t>9 – Lei n° 3.521/2010;</w:t>
      </w:r>
    </w:p>
    <w:p w14:paraId="5C949175" w14:textId="75DAFF58" w:rsidR="00B7465A" w:rsidRPr="00B7465A" w:rsidRDefault="00B7465A" w:rsidP="00B7465A">
      <w:pPr>
        <w:spacing w:line="300" w:lineRule="auto"/>
        <w:contextualSpacing/>
        <w:jc w:val="both"/>
        <w:rPr>
          <w:rFonts w:cs="Calibri"/>
          <w:bCs/>
          <w:lang w:val="pt-BR"/>
        </w:rPr>
      </w:pPr>
      <w:r>
        <w:rPr>
          <w:rFonts w:cs="Calibri"/>
          <w:bCs/>
          <w:lang w:val="pt-BR"/>
        </w:rPr>
        <w:t>10 - Lei n° 3.887/2013;</w:t>
      </w:r>
    </w:p>
    <w:p w14:paraId="4A9D0C92" w14:textId="4F0E8F2E" w:rsidR="00B7465A" w:rsidRPr="00B7465A" w:rsidRDefault="00B7465A" w:rsidP="00B7465A">
      <w:pPr>
        <w:spacing w:line="300" w:lineRule="auto"/>
        <w:contextualSpacing/>
        <w:jc w:val="both"/>
        <w:rPr>
          <w:rFonts w:cs="Calibri"/>
          <w:bCs/>
          <w:lang w:val="pt-BR"/>
        </w:rPr>
      </w:pPr>
      <w:r>
        <w:rPr>
          <w:rFonts w:cs="Calibri"/>
          <w:bCs/>
          <w:lang w:val="pt-BR"/>
        </w:rPr>
        <w:t>11 - Lei n° 4.048/2014;</w:t>
      </w:r>
    </w:p>
    <w:p w14:paraId="05F8196E" w14:textId="61D6C7A7" w:rsidR="00B7465A" w:rsidRPr="00B7465A" w:rsidRDefault="00B7465A" w:rsidP="00B7465A">
      <w:pPr>
        <w:spacing w:line="300" w:lineRule="auto"/>
        <w:contextualSpacing/>
        <w:jc w:val="both"/>
        <w:rPr>
          <w:rFonts w:cs="Calibri"/>
          <w:bCs/>
          <w:lang w:val="pt-BR"/>
        </w:rPr>
      </w:pPr>
      <w:r>
        <w:rPr>
          <w:rFonts w:cs="Calibri"/>
          <w:bCs/>
          <w:lang w:val="pt-BR"/>
        </w:rPr>
        <w:t>12 - Lei n° 4.596/2018;</w:t>
      </w:r>
    </w:p>
    <w:p w14:paraId="19F44304" w14:textId="7533CEED" w:rsidR="00B7465A" w:rsidRPr="00B7465A" w:rsidRDefault="00B7465A" w:rsidP="00B7465A">
      <w:pPr>
        <w:spacing w:line="300" w:lineRule="auto"/>
        <w:contextualSpacing/>
        <w:jc w:val="both"/>
        <w:rPr>
          <w:rFonts w:cs="Calibri"/>
          <w:bCs/>
          <w:lang w:val="pt-BR"/>
        </w:rPr>
      </w:pPr>
      <w:r>
        <w:rPr>
          <w:rFonts w:cs="Calibri"/>
          <w:bCs/>
          <w:lang w:val="pt-BR"/>
        </w:rPr>
        <w:t>13 – Lei n° 4.852/2019</w:t>
      </w:r>
    </w:p>
    <w:p w14:paraId="4ABBB0D1" w14:textId="25A5D2A3" w:rsidR="00B7465A" w:rsidRPr="00B7465A" w:rsidRDefault="00B7465A" w:rsidP="00B7465A">
      <w:pPr>
        <w:spacing w:line="300" w:lineRule="auto"/>
        <w:contextualSpacing/>
        <w:jc w:val="both"/>
        <w:rPr>
          <w:rFonts w:cs="Calibri"/>
          <w:bCs/>
          <w:lang w:val="pt-BR"/>
        </w:rPr>
      </w:pPr>
      <w:r>
        <w:rPr>
          <w:rFonts w:cs="Calibri"/>
          <w:bCs/>
          <w:lang w:val="pt-BR"/>
        </w:rPr>
        <w:t>14 - Lei n° 5.771/2022</w:t>
      </w:r>
    </w:p>
    <w:p w14:paraId="1D7B1CE4" w14:textId="2512A94B" w:rsidR="00B7465A" w:rsidRPr="00B7465A" w:rsidRDefault="00B7465A" w:rsidP="00B7465A">
      <w:pPr>
        <w:spacing w:line="300" w:lineRule="auto"/>
        <w:contextualSpacing/>
        <w:jc w:val="both"/>
        <w:rPr>
          <w:rFonts w:cs="Calibri"/>
          <w:bCs/>
          <w:lang w:val="pt-BR"/>
        </w:rPr>
      </w:pPr>
      <w:r>
        <w:rPr>
          <w:rFonts w:cs="Calibri"/>
          <w:bCs/>
          <w:lang w:val="pt-BR"/>
        </w:rPr>
        <w:t>15 - Lei n° 5.928/2022;</w:t>
      </w:r>
    </w:p>
    <w:p w14:paraId="17101DF0" w14:textId="7AA70336" w:rsidR="00B7465A" w:rsidRPr="00B7465A" w:rsidRDefault="00B7465A" w:rsidP="00B7465A">
      <w:pPr>
        <w:spacing w:line="300" w:lineRule="auto"/>
        <w:contextualSpacing/>
        <w:jc w:val="both"/>
        <w:rPr>
          <w:rFonts w:cs="Calibri"/>
          <w:bCs/>
          <w:lang w:val="pt-BR"/>
        </w:rPr>
      </w:pPr>
      <w:r>
        <w:rPr>
          <w:rFonts w:cs="Calibri"/>
          <w:bCs/>
          <w:lang w:val="pt-BR"/>
        </w:rPr>
        <w:t>16 - Lei n° 6.460/2023;</w:t>
      </w:r>
    </w:p>
    <w:p w14:paraId="6059421F" w14:textId="69646DCC" w:rsidR="00B7465A" w:rsidRPr="00B7465A" w:rsidRDefault="00B7465A" w:rsidP="00B7465A">
      <w:pPr>
        <w:spacing w:line="300" w:lineRule="auto"/>
        <w:contextualSpacing/>
        <w:jc w:val="both"/>
        <w:rPr>
          <w:rFonts w:cs="Calibri"/>
          <w:bCs/>
          <w:lang w:val="pt-BR"/>
        </w:rPr>
      </w:pPr>
      <w:r>
        <w:rPr>
          <w:rFonts w:cs="Calibri"/>
          <w:bCs/>
          <w:lang w:val="pt-BR"/>
        </w:rPr>
        <w:t>17 - Lei n° 7.014/2024;</w:t>
      </w:r>
    </w:p>
    <w:p w14:paraId="5B4A9978" w14:textId="25F48FE1" w:rsidR="00B7465A" w:rsidRPr="00B7465A" w:rsidRDefault="00FB29B6" w:rsidP="00B7465A">
      <w:pPr>
        <w:spacing w:line="300" w:lineRule="auto"/>
        <w:contextualSpacing/>
        <w:jc w:val="both"/>
        <w:rPr>
          <w:rFonts w:cs="Calibri"/>
          <w:bCs/>
          <w:lang w:val="pt-BR"/>
        </w:rPr>
      </w:pPr>
      <w:r>
        <w:rPr>
          <w:rFonts w:cs="Calibri"/>
          <w:bCs/>
          <w:lang w:val="pt-BR"/>
        </w:rPr>
        <w:t>18 – Notícia SES;</w:t>
      </w:r>
    </w:p>
    <w:p w14:paraId="57EE743F" w14:textId="216ECED8" w:rsidR="00B7465A" w:rsidRPr="00B7465A" w:rsidRDefault="006C0E79" w:rsidP="00B7465A">
      <w:pPr>
        <w:spacing w:line="300" w:lineRule="auto"/>
        <w:contextualSpacing/>
        <w:jc w:val="both"/>
        <w:rPr>
          <w:rFonts w:cs="Calibri"/>
          <w:bCs/>
          <w:lang w:val="pt-BR"/>
        </w:rPr>
      </w:pPr>
      <w:r>
        <w:rPr>
          <w:rFonts w:cs="Calibri"/>
          <w:bCs/>
          <w:lang w:val="pt-BR"/>
        </w:rPr>
        <w:t>19 – Planilha de cálculo;</w:t>
      </w:r>
    </w:p>
    <w:p w14:paraId="71EE850D" w14:textId="6DE68128" w:rsidR="00B7465A" w:rsidRPr="00B7465A" w:rsidRDefault="00B7465A" w:rsidP="00B7465A">
      <w:pPr>
        <w:spacing w:line="300" w:lineRule="auto"/>
        <w:contextualSpacing/>
        <w:jc w:val="both"/>
        <w:rPr>
          <w:rFonts w:cs="Calibri"/>
          <w:color w:val="000000" w:themeColor="text1"/>
          <w:lang w:val="pt-BR"/>
        </w:rPr>
      </w:pPr>
      <w:r>
        <w:rPr>
          <w:rFonts w:cs="Calibri"/>
          <w:bCs/>
          <w:lang w:val="pt-BR"/>
        </w:rPr>
        <w:t xml:space="preserve">20 – Jurisprudência. </w:t>
      </w:r>
    </w:p>
    <w:p w14:paraId="467E1FC2" w14:textId="77777777" w:rsidR="00422F23" w:rsidRPr="00B7465A" w:rsidRDefault="00422F23" w:rsidP="00B7465A">
      <w:pPr>
        <w:rPr>
          <w:rFonts w:cs="Calibri"/>
        </w:rPr>
      </w:pPr>
    </w:p>
    <w:sectPr w:rsidR="00422F23" w:rsidRPr="00B7465A" w:rsidSect="00505335">
      <w:headerReference w:type="default" r:id="rId13"/>
      <w:footerReference w:type="default" r:id="rId14"/>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4B515" w14:textId="77777777" w:rsidR="004B5C94" w:rsidRDefault="004B5C94" w:rsidP="001736FB">
      <w:pPr>
        <w:spacing w:line="240" w:lineRule="auto"/>
      </w:pPr>
      <w:r>
        <w:separator/>
      </w:r>
    </w:p>
  </w:endnote>
  <w:endnote w:type="continuationSeparator" w:id="0">
    <w:p w14:paraId="5E4BCD94" w14:textId="77777777" w:rsidR="004B5C94" w:rsidRDefault="004B5C94" w:rsidP="001736FB">
      <w:pPr>
        <w:spacing w:line="240" w:lineRule="auto"/>
      </w:pPr>
      <w:r>
        <w:continuationSeparator/>
      </w:r>
    </w:p>
  </w:endnote>
  <w:endnote w:type="continuationNotice" w:id="1">
    <w:p w14:paraId="209E7FA0" w14:textId="77777777" w:rsidR="004B5C94" w:rsidRDefault="004B5C9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493D" w14:textId="77777777" w:rsidR="006C13D5" w:rsidRDefault="006C13D5">
    <w:pPr>
      <w:pStyle w:val="Rodap"/>
    </w:pPr>
  </w:p>
  <w:p w14:paraId="3EB18DF0" w14:textId="77777777" w:rsidR="004415FF" w:rsidRPr="00F8474A" w:rsidRDefault="004415FF" w:rsidP="004415FF">
    <w:pPr>
      <w:spacing w:line="240" w:lineRule="auto"/>
      <w:jc w:val="both"/>
      <w:rPr>
        <w:sz w:val="16"/>
        <w:szCs w:val="16"/>
        <w:lang w:val="pt-BR"/>
      </w:rPr>
    </w:pPr>
    <w:r w:rsidRPr="003F68B0">
      <w:rPr>
        <w:rFonts w:ascii="Segoe UI Emoji" w:hAnsi="Segoe UI Emoji" w:cs="Segoe UI Emoji"/>
        <w:sz w:val="14"/>
        <w:szCs w:val="14"/>
      </w:rPr>
      <w:t>🏛️</w:t>
    </w:r>
    <w:r w:rsidRPr="003F68B0">
      <w:rPr>
        <w:sz w:val="14"/>
        <w:szCs w:val="14"/>
        <w:lang w:val="pt-BR"/>
      </w:rPr>
      <w:t xml:space="preserve"> </w:t>
    </w:r>
    <w:r w:rsidRPr="00F8474A">
      <w:rPr>
        <w:b/>
        <w:bCs/>
        <w:sz w:val="16"/>
        <w:szCs w:val="16"/>
        <w:lang w:val="pt-BR"/>
      </w:rPr>
      <w:t>BENTES RAMOS ADVOCACIA E CONSULTORIA JURÍDICA</w:t>
    </w:r>
  </w:p>
  <w:p w14:paraId="3C9F15CA"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Rua Salvador, 120, Sala 708 – Vieiralves Business Center – Adrianópolis, Manaus/AM – CEP 69057-040</w:t>
    </w:r>
  </w:p>
  <w:p w14:paraId="3E13CBE9"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(92) 3343-6173   |   </w:t>
    </w:r>
    <w:r w:rsidRPr="00F8474A">
      <w:rPr>
        <w:rFonts w:ascii="Segoe UI Emoji" w:hAnsi="Segoe UI Emoji" w:cs="Segoe UI Emoji"/>
        <w:sz w:val="16"/>
        <w:szCs w:val="16"/>
      </w:rPr>
      <w:t>📱</w:t>
    </w:r>
    <w:r w:rsidRPr="00F8474A">
      <w:rPr>
        <w:sz w:val="16"/>
        <w:szCs w:val="16"/>
        <w:lang w:val="pt-BR"/>
      </w:rPr>
      <w:t xml:space="preserve"> (92) 98223-7330 / (92) 99160-4348 / 98588-8190</w:t>
    </w:r>
  </w:p>
  <w:p w14:paraId="18828835" w14:textId="77777777" w:rsidR="004415FF" w:rsidRPr="00F8474A" w:rsidRDefault="004415FF" w:rsidP="004415FF">
    <w:pPr>
      <w:pStyle w:val="Rodap"/>
      <w:jc w:val="both"/>
      <w:rPr>
        <w:sz w:val="16"/>
        <w:szCs w:val="16"/>
        <w:lang w:val="pt-BR"/>
      </w:rPr>
    </w:pPr>
    <w:r w:rsidRPr="00F8474A">
      <w:rPr>
        <w:rFonts w:ascii="Segoe UI Emoji" w:hAnsi="Segoe UI Emoji" w:cs="Segoe UI Emoji"/>
        <w:sz w:val="16"/>
        <w:szCs w:val="16"/>
        <w:lang w:val="pt-BR"/>
      </w:rPr>
      <w:t>✉</w:t>
    </w:r>
    <w:r w:rsidRPr="00F8474A">
      <w:rPr>
        <w:rFonts w:ascii="Segoe UI Emoji" w:hAnsi="Segoe UI Emoji" w:cs="Segoe UI Emoji"/>
        <w:sz w:val="16"/>
        <w:szCs w:val="16"/>
      </w:rPr>
      <w:t>️</w:t>
    </w:r>
    <w:r w:rsidRPr="00F8474A">
      <w:rPr>
        <w:sz w:val="16"/>
        <w:szCs w:val="16"/>
        <w:lang w:val="pt-BR"/>
      </w:rPr>
      <w:t xml:space="preserve"> juridico@bentesramos.adv.br   |   </w:t>
    </w:r>
    <w:r w:rsidRPr="00F8474A">
      <w:rPr>
        <w:rFonts w:ascii="Segoe UI Emoji" w:hAnsi="Segoe UI Emoji" w:cs="Segoe UI Emoji"/>
        <w:sz w:val="16"/>
        <w:szCs w:val="16"/>
      </w:rPr>
      <w:t>🌐</w:t>
    </w:r>
    <w:r w:rsidRPr="00F8474A">
      <w:rPr>
        <w:sz w:val="16"/>
        <w:szCs w:val="16"/>
        <w:lang w:val="pt-BR"/>
      </w:rPr>
      <w:t xml:space="preserve"> www.bentesramos.com.br</w:t>
    </w:r>
    <w:r w:rsidRPr="00F8474A">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1C4C7" w14:textId="77777777" w:rsidR="004B5C94" w:rsidRDefault="004B5C94" w:rsidP="001736FB">
      <w:pPr>
        <w:spacing w:line="240" w:lineRule="auto"/>
      </w:pPr>
      <w:r>
        <w:separator/>
      </w:r>
    </w:p>
  </w:footnote>
  <w:footnote w:type="continuationSeparator" w:id="0">
    <w:p w14:paraId="431863F2" w14:textId="77777777" w:rsidR="004B5C94" w:rsidRDefault="004B5C94" w:rsidP="001736FB">
      <w:pPr>
        <w:spacing w:line="240" w:lineRule="auto"/>
      </w:pPr>
      <w:r>
        <w:continuationSeparator/>
      </w:r>
    </w:p>
  </w:footnote>
  <w:footnote w:type="continuationNotice" w:id="1">
    <w:p w14:paraId="5232E5CB" w14:textId="77777777" w:rsidR="004B5C94" w:rsidRDefault="004B5C9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9BED" w14:textId="0D21749B" w:rsidR="006C13D5" w:rsidRDefault="009C2139" w:rsidP="00505335">
    <w:pPr>
      <w:pStyle w:val="Cabealho"/>
      <w:jc w:val="center"/>
    </w:pPr>
    <w:r w:rsidRPr="00505335">
      <w:rPr>
        <w:noProof/>
        <w:lang w:val="pt-BR"/>
      </w:rPr>
      <w:drawing>
        <wp:inline distT="0" distB="0" distL="0" distR="0" wp14:anchorId="466E69CC" wp14:editId="5E1CACE3">
          <wp:extent cx="1892300" cy="10255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0" cy="1025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19353869"/>
    <w:multiLevelType w:val="hybridMultilevel"/>
    <w:tmpl w:val="A6D272D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0"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1"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4"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5" w15:restartNumberingAfterBreak="0">
    <w:nsid w:val="2DE96E65"/>
    <w:multiLevelType w:val="hybridMultilevel"/>
    <w:tmpl w:val="E864D772"/>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16"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7"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42AC7AAF"/>
    <w:multiLevelType w:val="hybridMultilevel"/>
    <w:tmpl w:val="D338B518"/>
    <w:lvl w:ilvl="0" w:tplc="3B827B4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7915A64"/>
    <w:multiLevelType w:val="multilevel"/>
    <w:tmpl w:val="DF2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5"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6862AE4"/>
    <w:multiLevelType w:val="hybridMultilevel"/>
    <w:tmpl w:val="2D48A90A"/>
    <w:lvl w:ilvl="0" w:tplc="0416000B">
      <w:start w:val="1"/>
      <w:numFmt w:val="bullet"/>
      <w:lvlText w:val=""/>
      <w:lvlJc w:val="left"/>
      <w:pPr>
        <w:ind w:left="2421" w:hanging="360"/>
      </w:pPr>
      <w:rPr>
        <w:rFonts w:ascii="Wingdings" w:hAnsi="Wingdings"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29"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1"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3"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5"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8"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9"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1021715">
    <w:abstractNumId w:val="30"/>
  </w:num>
  <w:num w:numId="2" w16cid:durableId="1345355712">
    <w:abstractNumId w:val="9"/>
  </w:num>
  <w:num w:numId="3" w16cid:durableId="990059663">
    <w:abstractNumId w:val="38"/>
  </w:num>
  <w:num w:numId="4" w16cid:durableId="1440369627">
    <w:abstractNumId w:val="7"/>
  </w:num>
  <w:num w:numId="5" w16cid:durableId="1355955373">
    <w:abstractNumId w:val="26"/>
  </w:num>
  <w:num w:numId="6" w16cid:durableId="2061708566">
    <w:abstractNumId w:val="13"/>
  </w:num>
  <w:num w:numId="7" w16cid:durableId="1652632531">
    <w:abstractNumId w:val="18"/>
  </w:num>
  <w:num w:numId="8" w16cid:durableId="52779223">
    <w:abstractNumId w:val="29"/>
  </w:num>
  <w:num w:numId="9" w16cid:durableId="1867909028">
    <w:abstractNumId w:val="25"/>
  </w:num>
  <w:num w:numId="10" w16cid:durableId="1184974467">
    <w:abstractNumId w:val="23"/>
  </w:num>
  <w:num w:numId="11" w16cid:durableId="1485587996">
    <w:abstractNumId w:val="10"/>
  </w:num>
  <w:num w:numId="12" w16cid:durableId="1596790016">
    <w:abstractNumId w:val="19"/>
  </w:num>
  <w:num w:numId="13" w16cid:durableId="1332682281">
    <w:abstractNumId w:val="32"/>
  </w:num>
  <w:num w:numId="14" w16cid:durableId="903108116">
    <w:abstractNumId w:val="27"/>
  </w:num>
  <w:num w:numId="15" w16cid:durableId="190651247">
    <w:abstractNumId w:val="36"/>
  </w:num>
  <w:num w:numId="16" w16cid:durableId="377708041">
    <w:abstractNumId w:val="12"/>
  </w:num>
  <w:num w:numId="17" w16cid:durableId="1447114052">
    <w:abstractNumId w:val="39"/>
  </w:num>
  <w:num w:numId="18" w16cid:durableId="561410419">
    <w:abstractNumId w:val="14"/>
  </w:num>
  <w:num w:numId="19" w16cid:durableId="298417029">
    <w:abstractNumId w:val="11"/>
  </w:num>
  <w:num w:numId="20" w16cid:durableId="1658803307">
    <w:abstractNumId w:val="2"/>
  </w:num>
  <w:num w:numId="21" w16cid:durableId="1684745394">
    <w:abstractNumId w:val="6"/>
  </w:num>
  <w:num w:numId="22" w16cid:durableId="1376739028">
    <w:abstractNumId w:val="22"/>
  </w:num>
  <w:num w:numId="23" w16cid:durableId="1072699793">
    <w:abstractNumId w:val="5"/>
  </w:num>
  <w:num w:numId="24" w16cid:durableId="2101247850">
    <w:abstractNumId w:val="1"/>
  </w:num>
  <w:num w:numId="25" w16cid:durableId="1236546070">
    <w:abstractNumId w:val="4"/>
  </w:num>
  <w:num w:numId="26" w16cid:durableId="990989466">
    <w:abstractNumId w:val="33"/>
  </w:num>
  <w:num w:numId="27" w16cid:durableId="97800728">
    <w:abstractNumId w:val="35"/>
  </w:num>
  <w:num w:numId="28" w16cid:durableId="790437297">
    <w:abstractNumId w:val="31"/>
  </w:num>
  <w:num w:numId="29" w16cid:durableId="1306083168">
    <w:abstractNumId w:val="34"/>
  </w:num>
  <w:num w:numId="30" w16cid:durableId="2035766620">
    <w:abstractNumId w:val="21"/>
  </w:num>
  <w:num w:numId="31" w16cid:durableId="1861162755">
    <w:abstractNumId w:val="8"/>
  </w:num>
  <w:num w:numId="32" w16cid:durableId="104231559">
    <w:abstractNumId w:val="3"/>
  </w:num>
  <w:num w:numId="33" w16cid:durableId="1688021413">
    <w:abstractNumId w:val="16"/>
  </w:num>
  <w:num w:numId="34" w16cid:durableId="1431896365">
    <w:abstractNumId w:val="17"/>
  </w:num>
  <w:num w:numId="35" w16cid:durableId="1065444939">
    <w:abstractNumId w:val="37"/>
  </w:num>
  <w:num w:numId="36" w16cid:durableId="257912054">
    <w:abstractNumId w:val="24"/>
  </w:num>
  <w:num w:numId="37" w16cid:durableId="456532587">
    <w:abstractNumId w:val="20"/>
  </w:num>
  <w:num w:numId="38" w16cid:durableId="751002464">
    <w:abstractNumId w:val="15"/>
  </w:num>
  <w:num w:numId="39" w16cid:durableId="1047148472">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484E"/>
    <w:rsid w:val="00012809"/>
    <w:rsid w:val="00016B59"/>
    <w:rsid w:val="00021F51"/>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3A92"/>
    <w:rsid w:val="000C045B"/>
    <w:rsid w:val="000C1FB5"/>
    <w:rsid w:val="000C22A4"/>
    <w:rsid w:val="000C3A8C"/>
    <w:rsid w:val="000C671A"/>
    <w:rsid w:val="000C6940"/>
    <w:rsid w:val="000E0571"/>
    <w:rsid w:val="000E1D63"/>
    <w:rsid w:val="000E3612"/>
    <w:rsid w:val="000F084A"/>
    <w:rsid w:val="000F3D5E"/>
    <w:rsid w:val="00104925"/>
    <w:rsid w:val="0010746A"/>
    <w:rsid w:val="00110E0D"/>
    <w:rsid w:val="00111B7B"/>
    <w:rsid w:val="00117CA1"/>
    <w:rsid w:val="0012121B"/>
    <w:rsid w:val="001212B3"/>
    <w:rsid w:val="0012281D"/>
    <w:rsid w:val="0012496B"/>
    <w:rsid w:val="0012535B"/>
    <w:rsid w:val="0012722F"/>
    <w:rsid w:val="0013730A"/>
    <w:rsid w:val="0013756D"/>
    <w:rsid w:val="0014572C"/>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B7485"/>
    <w:rsid w:val="001C09B0"/>
    <w:rsid w:val="001C2AFD"/>
    <w:rsid w:val="001C5A72"/>
    <w:rsid w:val="001C5D8B"/>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06DB"/>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C6DAC"/>
    <w:rsid w:val="002D0405"/>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77D4C"/>
    <w:rsid w:val="0038773C"/>
    <w:rsid w:val="003877EF"/>
    <w:rsid w:val="00390404"/>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0D37"/>
    <w:rsid w:val="00411C5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5B5F"/>
    <w:rsid w:val="004A63DB"/>
    <w:rsid w:val="004B3FDC"/>
    <w:rsid w:val="004B44A2"/>
    <w:rsid w:val="004B5C94"/>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716E7"/>
    <w:rsid w:val="005728FE"/>
    <w:rsid w:val="0057338A"/>
    <w:rsid w:val="00577F09"/>
    <w:rsid w:val="00583BC3"/>
    <w:rsid w:val="00584CD3"/>
    <w:rsid w:val="0059007E"/>
    <w:rsid w:val="00590FED"/>
    <w:rsid w:val="00591867"/>
    <w:rsid w:val="00596605"/>
    <w:rsid w:val="00597BA6"/>
    <w:rsid w:val="005A06D0"/>
    <w:rsid w:val="005A648D"/>
    <w:rsid w:val="005B2A18"/>
    <w:rsid w:val="005B7626"/>
    <w:rsid w:val="005C126B"/>
    <w:rsid w:val="005C1CF9"/>
    <w:rsid w:val="005C2C04"/>
    <w:rsid w:val="005C2F58"/>
    <w:rsid w:val="005C2FE6"/>
    <w:rsid w:val="005C5EC6"/>
    <w:rsid w:val="005C7712"/>
    <w:rsid w:val="005D2C62"/>
    <w:rsid w:val="005D63D4"/>
    <w:rsid w:val="005E676B"/>
    <w:rsid w:val="005E7BD8"/>
    <w:rsid w:val="005F7FF3"/>
    <w:rsid w:val="00603C01"/>
    <w:rsid w:val="00606568"/>
    <w:rsid w:val="00607F4F"/>
    <w:rsid w:val="00614343"/>
    <w:rsid w:val="00616AEF"/>
    <w:rsid w:val="00617959"/>
    <w:rsid w:val="00626808"/>
    <w:rsid w:val="0063463C"/>
    <w:rsid w:val="00637B91"/>
    <w:rsid w:val="0064288D"/>
    <w:rsid w:val="00647C11"/>
    <w:rsid w:val="00653D67"/>
    <w:rsid w:val="0065434C"/>
    <w:rsid w:val="00656AA9"/>
    <w:rsid w:val="00657F83"/>
    <w:rsid w:val="00660353"/>
    <w:rsid w:val="0066190B"/>
    <w:rsid w:val="00662A48"/>
    <w:rsid w:val="00672115"/>
    <w:rsid w:val="00677958"/>
    <w:rsid w:val="00685F9F"/>
    <w:rsid w:val="0069688F"/>
    <w:rsid w:val="006A2334"/>
    <w:rsid w:val="006A7265"/>
    <w:rsid w:val="006B7E6E"/>
    <w:rsid w:val="006C02CE"/>
    <w:rsid w:val="006C0E79"/>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26216"/>
    <w:rsid w:val="0073515A"/>
    <w:rsid w:val="0073741E"/>
    <w:rsid w:val="00737FBC"/>
    <w:rsid w:val="0074284E"/>
    <w:rsid w:val="00745D4B"/>
    <w:rsid w:val="00751C46"/>
    <w:rsid w:val="00752EB5"/>
    <w:rsid w:val="007539ED"/>
    <w:rsid w:val="00755E97"/>
    <w:rsid w:val="00756734"/>
    <w:rsid w:val="00757E3D"/>
    <w:rsid w:val="00760794"/>
    <w:rsid w:val="00760CD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E2DF3"/>
    <w:rsid w:val="007E6294"/>
    <w:rsid w:val="007F6B44"/>
    <w:rsid w:val="00803CF3"/>
    <w:rsid w:val="00804BE9"/>
    <w:rsid w:val="008123E5"/>
    <w:rsid w:val="00813DE2"/>
    <w:rsid w:val="00815359"/>
    <w:rsid w:val="00817F49"/>
    <w:rsid w:val="00820B33"/>
    <w:rsid w:val="0082726C"/>
    <w:rsid w:val="008340DC"/>
    <w:rsid w:val="008402C4"/>
    <w:rsid w:val="00841771"/>
    <w:rsid w:val="00841F54"/>
    <w:rsid w:val="0084273F"/>
    <w:rsid w:val="00847573"/>
    <w:rsid w:val="00847F6E"/>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627"/>
    <w:rsid w:val="008A674F"/>
    <w:rsid w:val="008A6C96"/>
    <w:rsid w:val="008B5F21"/>
    <w:rsid w:val="008B6A6F"/>
    <w:rsid w:val="008B6D80"/>
    <w:rsid w:val="008C0606"/>
    <w:rsid w:val="008C3362"/>
    <w:rsid w:val="008C4E65"/>
    <w:rsid w:val="008D4E24"/>
    <w:rsid w:val="008D4EF6"/>
    <w:rsid w:val="008E0319"/>
    <w:rsid w:val="008E216A"/>
    <w:rsid w:val="008E6474"/>
    <w:rsid w:val="008E67D0"/>
    <w:rsid w:val="008F1F44"/>
    <w:rsid w:val="008F57C7"/>
    <w:rsid w:val="00900902"/>
    <w:rsid w:val="0090156D"/>
    <w:rsid w:val="00901A57"/>
    <w:rsid w:val="009036CF"/>
    <w:rsid w:val="00910A95"/>
    <w:rsid w:val="009113AE"/>
    <w:rsid w:val="00914D8A"/>
    <w:rsid w:val="009151C2"/>
    <w:rsid w:val="009243C7"/>
    <w:rsid w:val="0092475D"/>
    <w:rsid w:val="00926C30"/>
    <w:rsid w:val="009319CD"/>
    <w:rsid w:val="00933AC0"/>
    <w:rsid w:val="009352D0"/>
    <w:rsid w:val="00936479"/>
    <w:rsid w:val="009422BF"/>
    <w:rsid w:val="00942EAB"/>
    <w:rsid w:val="00944DA1"/>
    <w:rsid w:val="00960F7A"/>
    <w:rsid w:val="009616F3"/>
    <w:rsid w:val="009621FA"/>
    <w:rsid w:val="0096481F"/>
    <w:rsid w:val="00965AB6"/>
    <w:rsid w:val="0097044A"/>
    <w:rsid w:val="00974ADB"/>
    <w:rsid w:val="00974CCF"/>
    <w:rsid w:val="00985A9C"/>
    <w:rsid w:val="0099163E"/>
    <w:rsid w:val="00992C6E"/>
    <w:rsid w:val="00994F83"/>
    <w:rsid w:val="009A2F1D"/>
    <w:rsid w:val="009A7D0F"/>
    <w:rsid w:val="009B249F"/>
    <w:rsid w:val="009B4586"/>
    <w:rsid w:val="009B6CB7"/>
    <w:rsid w:val="009C1E82"/>
    <w:rsid w:val="009C2139"/>
    <w:rsid w:val="009C23DB"/>
    <w:rsid w:val="009C5E60"/>
    <w:rsid w:val="009C6BC3"/>
    <w:rsid w:val="009C76F2"/>
    <w:rsid w:val="009C7873"/>
    <w:rsid w:val="009D66B2"/>
    <w:rsid w:val="009D68C5"/>
    <w:rsid w:val="009D7689"/>
    <w:rsid w:val="009E1075"/>
    <w:rsid w:val="009E1425"/>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3C8E"/>
    <w:rsid w:val="00AC4A3E"/>
    <w:rsid w:val="00AC5612"/>
    <w:rsid w:val="00AD3E72"/>
    <w:rsid w:val="00AD649E"/>
    <w:rsid w:val="00AF4630"/>
    <w:rsid w:val="00AF641D"/>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7465A"/>
    <w:rsid w:val="00B76187"/>
    <w:rsid w:val="00B81FFD"/>
    <w:rsid w:val="00B82D19"/>
    <w:rsid w:val="00B8605D"/>
    <w:rsid w:val="00B87184"/>
    <w:rsid w:val="00B92812"/>
    <w:rsid w:val="00B930E1"/>
    <w:rsid w:val="00BA022D"/>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069"/>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517C9"/>
    <w:rsid w:val="00D646AF"/>
    <w:rsid w:val="00D660BA"/>
    <w:rsid w:val="00D671FE"/>
    <w:rsid w:val="00D72C75"/>
    <w:rsid w:val="00D77938"/>
    <w:rsid w:val="00D87154"/>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5357"/>
    <w:rsid w:val="00E55D61"/>
    <w:rsid w:val="00E57DD1"/>
    <w:rsid w:val="00E65561"/>
    <w:rsid w:val="00E658D2"/>
    <w:rsid w:val="00E660A0"/>
    <w:rsid w:val="00E7144A"/>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2931"/>
    <w:rsid w:val="00ED69B6"/>
    <w:rsid w:val="00EE0117"/>
    <w:rsid w:val="00EF1510"/>
    <w:rsid w:val="00EF3271"/>
    <w:rsid w:val="00F0116D"/>
    <w:rsid w:val="00F0770C"/>
    <w:rsid w:val="00F079A4"/>
    <w:rsid w:val="00F17069"/>
    <w:rsid w:val="00F204F5"/>
    <w:rsid w:val="00F27D07"/>
    <w:rsid w:val="00F3059D"/>
    <w:rsid w:val="00F350E4"/>
    <w:rsid w:val="00F3632D"/>
    <w:rsid w:val="00F37B91"/>
    <w:rsid w:val="00F42248"/>
    <w:rsid w:val="00F51D8E"/>
    <w:rsid w:val="00F54BED"/>
    <w:rsid w:val="00F55882"/>
    <w:rsid w:val="00F5703D"/>
    <w:rsid w:val="00F62858"/>
    <w:rsid w:val="00F62D21"/>
    <w:rsid w:val="00F64CC4"/>
    <w:rsid w:val="00F70736"/>
    <w:rsid w:val="00F7403D"/>
    <w:rsid w:val="00F77BEB"/>
    <w:rsid w:val="00F80B10"/>
    <w:rsid w:val="00F8474A"/>
    <w:rsid w:val="00F85FE1"/>
    <w:rsid w:val="00F869DC"/>
    <w:rsid w:val="00F86E29"/>
    <w:rsid w:val="00F8734E"/>
    <w:rsid w:val="00F927F8"/>
    <w:rsid w:val="00F94A4E"/>
    <w:rsid w:val="00F94DB2"/>
    <w:rsid w:val="00F96461"/>
    <w:rsid w:val="00FA592B"/>
    <w:rsid w:val="00FB1FCB"/>
    <w:rsid w:val="00FB29B6"/>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35E9"/>
  <w15:docId w15:val="{C6665EE1-48DA-4E5A-BB54-11D6604C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0B3A9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0B3A92"/>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0B3A9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0B3A92"/>
    <w:rPr>
      <w:rFonts w:eastAsia="Times New Roman"/>
      <w:b/>
      <w:bCs/>
      <w:sz w:val="28"/>
      <w:szCs w:val="28"/>
      <w:lang w:val="en-US" w:eastAsia="en-US"/>
    </w:rPr>
  </w:style>
  <w:style w:type="paragraph" w:customStyle="1" w:styleId="EDMILSON">
    <w:name w:val="EDMILSON"/>
    <w:rsid w:val="000B3A9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0B3A9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0B3A92"/>
    <w:rPr>
      <w:rFonts w:ascii="Tahoma" w:eastAsia="Times New Roman" w:hAnsi="Tahoma"/>
      <w:b/>
      <w:sz w:val="38"/>
      <w:u w:val="single"/>
    </w:rPr>
  </w:style>
  <w:style w:type="paragraph" w:styleId="Subttulo">
    <w:name w:val="Subtitle"/>
    <w:basedOn w:val="Normal"/>
    <w:link w:val="SubttuloChar"/>
    <w:qFormat/>
    <w:rsid w:val="000B3A9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0B3A92"/>
    <w:rPr>
      <w:rFonts w:ascii="Tahoma" w:eastAsia="Times New Roman" w:hAnsi="Tahoma"/>
      <w:b/>
      <w:sz w:val="28"/>
    </w:rPr>
  </w:style>
  <w:style w:type="character" w:customStyle="1" w:styleId="Recuodecorpodetexto2Char1">
    <w:name w:val="Recuo de corpo de texto 2 Char1"/>
    <w:uiPriority w:val="99"/>
    <w:semiHidden/>
    <w:rsid w:val="000B3A9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0B3A92"/>
    <w:rPr>
      <w:sz w:val="20"/>
      <w:szCs w:val="20"/>
    </w:rPr>
  </w:style>
  <w:style w:type="character" w:customStyle="1" w:styleId="TextodenotadefimChar">
    <w:name w:val="Texto de nota de fim Char"/>
    <w:link w:val="Textodenotadefim"/>
    <w:uiPriority w:val="99"/>
    <w:semiHidden/>
    <w:rsid w:val="000B3A92"/>
    <w:rPr>
      <w:lang w:val="en-US" w:eastAsia="en-US"/>
    </w:rPr>
  </w:style>
  <w:style w:type="character" w:styleId="Refdenotadefim">
    <w:name w:val="endnote reference"/>
    <w:uiPriority w:val="99"/>
    <w:semiHidden/>
    <w:unhideWhenUsed/>
    <w:rsid w:val="000B3A92"/>
    <w:rPr>
      <w:vertAlign w:val="superscript"/>
    </w:rPr>
  </w:style>
  <w:style w:type="paragraph" w:styleId="Partesuperior-zdoformulrio">
    <w:name w:val="HTML Top of Form"/>
    <w:basedOn w:val="Normal"/>
    <w:next w:val="Normal"/>
    <w:link w:val="Partesuperior-zdoformulrioChar"/>
    <w:hidden/>
    <w:uiPriority w:val="99"/>
    <w:semiHidden/>
    <w:unhideWhenUsed/>
    <w:rsid w:val="000B3A9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0B3A92"/>
    <w:rPr>
      <w:rFonts w:ascii="Arial" w:eastAsia="Times New Roman" w:hAnsi="Arial"/>
      <w:vanish/>
      <w:sz w:val="16"/>
      <w:szCs w:val="16"/>
      <w:lang w:val="x-none" w:eastAsia="x-none"/>
    </w:rPr>
  </w:style>
  <w:style w:type="character" w:customStyle="1" w:styleId="obs">
    <w:name w:val="obs"/>
    <w:rsid w:val="000B3A92"/>
  </w:style>
  <w:style w:type="paragraph" w:styleId="Parteinferiordoformulrio">
    <w:name w:val="HTML Bottom of Form"/>
    <w:basedOn w:val="Normal"/>
    <w:next w:val="Normal"/>
    <w:link w:val="ParteinferiordoformulrioChar"/>
    <w:hidden/>
    <w:uiPriority w:val="99"/>
    <w:semiHidden/>
    <w:unhideWhenUsed/>
    <w:rsid w:val="000B3A9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0B3A92"/>
    <w:rPr>
      <w:rFonts w:ascii="Arial" w:eastAsia="Times New Roman" w:hAnsi="Arial"/>
      <w:vanish/>
      <w:sz w:val="16"/>
      <w:szCs w:val="16"/>
      <w:lang w:val="x-none" w:eastAsia="x-none"/>
    </w:rPr>
  </w:style>
  <w:style w:type="paragraph" w:customStyle="1" w:styleId="Standard">
    <w:name w:val="Standard"/>
    <w:rsid w:val="000B3A9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0B3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0B3A92"/>
    <w:rPr>
      <w:rFonts w:ascii="Courier New" w:eastAsia="Times New Roman" w:hAnsi="Courier New"/>
      <w:lang w:val="en-US" w:eastAsia="en-US"/>
    </w:rPr>
  </w:style>
  <w:style w:type="character" w:customStyle="1" w:styleId="MenoPendente1">
    <w:name w:val="Menção Pendente1"/>
    <w:uiPriority w:val="99"/>
    <w:semiHidden/>
    <w:unhideWhenUsed/>
    <w:rsid w:val="000B3A92"/>
    <w:rPr>
      <w:color w:val="808080"/>
      <w:shd w:val="clear" w:color="auto" w:fill="E6E6E6"/>
    </w:rPr>
  </w:style>
  <w:style w:type="paragraph" w:customStyle="1" w:styleId="paragrafo0">
    <w:name w:val="paragrafo"/>
    <w:basedOn w:val="Normal"/>
    <w:rsid w:val="000B3A9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0B3A92"/>
    <w:rPr>
      <w:color w:val="954F72"/>
      <w:u w:val="single"/>
    </w:rPr>
  </w:style>
  <w:style w:type="character" w:customStyle="1" w:styleId="TextodecomentrioChar">
    <w:name w:val="Texto de comentário Char"/>
    <w:link w:val="Textodecomentrio"/>
    <w:uiPriority w:val="99"/>
    <w:semiHidden/>
    <w:rsid w:val="000B3A92"/>
    <w:rPr>
      <w:lang w:val="en-US" w:eastAsia="en-US"/>
    </w:rPr>
  </w:style>
  <w:style w:type="paragraph" w:styleId="Textodecomentrio">
    <w:name w:val="annotation text"/>
    <w:basedOn w:val="Normal"/>
    <w:link w:val="TextodecomentrioChar"/>
    <w:uiPriority w:val="99"/>
    <w:semiHidden/>
    <w:unhideWhenUsed/>
    <w:rsid w:val="000B3A92"/>
    <w:pPr>
      <w:spacing w:line="240" w:lineRule="auto"/>
    </w:pPr>
    <w:rPr>
      <w:sz w:val="20"/>
      <w:szCs w:val="20"/>
    </w:rPr>
  </w:style>
  <w:style w:type="character" w:customStyle="1" w:styleId="TextodecomentrioChar1">
    <w:name w:val="Texto de comentário Char1"/>
    <w:uiPriority w:val="99"/>
    <w:semiHidden/>
    <w:rsid w:val="000B3A92"/>
    <w:rPr>
      <w:lang w:val="en-US" w:eastAsia="en-US"/>
    </w:rPr>
  </w:style>
  <w:style w:type="character" w:customStyle="1" w:styleId="AssuntodocomentrioChar">
    <w:name w:val="Assunto do comentário Char"/>
    <w:link w:val="Assuntodocomentrio"/>
    <w:uiPriority w:val="99"/>
    <w:semiHidden/>
    <w:rsid w:val="000B3A9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0B3A92"/>
    <w:rPr>
      <w:b/>
      <w:bCs/>
    </w:rPr>
  </w:style>
  <w:style w:type="character" w:customStyle="1" w:styleId="AssuntodocomentrioChar1">
    <w:name w:val="Assunto do comentário Char1"/>
    <w:uiPriority w:val="99"/>
    <w:semiHidden/>
    <w:rsid w:val="000B3A92"/>
    <w:rPr>
      <w:b/>
      <w:bCs/>
      <w:lang w:val="en-US" w:eastAsia="en-US"/>
    </w:rPr>
  </w:style>
  <w:style w:type="character" w:customStyle="1" w:styleId="hidden-text">
    <w:name w:val="hidden-text"/>
    <w:basedOn w:val="Fontepargpadro"/>
    <w:rsid w:val="000B3A92"/>
  </w:style>
  <w:style w:type="table" w:styleId="SimplesTabela1">
    <w:name w:val="Plain Table 1"/>
    <w:basedOn w:val="Tabelanormal"/>
    <w:uiPriority w:val="41"/>
    <w:rsid w:val="000B3A9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0B3A92"/>
    <w:rPr>
      <w:sz w:val="22"/>
      <w:szCs w:val="22"/>
      <w:lang w:val="en-US" w:eastAsia="en-US"/>
    </w:rPr>
  </w:style>
  <w:style w:type="table" w:styleId="TabeladeGrade5Escura-nfase1">
    <w:name w:val="Grid Table 5 Dark Accent 1"/>
    <w:basedOn w:val="Tabelanormal"/>
    <w:uiPriority w:val="50"/>
    <w:rsid w:val="000B3A9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TabeladeGrade2-nfase1">
    <w:name w:val="Grid Table 2 Accent 1"/>
    <w:basedOn w:val="Tabelanormal"/>
    <w:uiPriority w:val="47"/>
    <w:rsid w:val="00B7465A"/>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6690</Words>
  <Characters>36129</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42734</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3</cp:revision>
  <cp:lastPrinted>2026-01-18T02:26:00Z</cp:lastPrinted>
  <dcterms:created xsi:type="dcterms:W3CDTF">2026-01-18T02:26:00Z</dcterms:created>
  <dcterms:modified xsi:type="dcterms:W3CDTF">2026-01-18T02:33:00Z</dcterms:modified>
</cp:coreProperties>
</file>