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header1.xml.rels" ContentType="application/vnd.openxmlformats-package.relationships+xml"/>
  <Override PartName="/word/_rels/document.xml.rels" ContentType="application/vnd.openxmlformats-package.relationships+xml"/>
  <Override PartName="/word/media/image1.png" ContentType="image/png"/>
  <Override PartName="/word/media/image2.jpeg" ContentType="image/jpe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00"/>
        <w:jc w:val="both"/>
        <w:rPr/>
      </w:pPr>
      <w:r>
        <w:rPr>
          <w:rFonts w:cs="Calibri"/>
          <w:b/>
          <w:lang w:val="pt-BR"/>
        </w:rPr>
        <w:t>EXCELENTÍSSIMO(A) SENHOR(A) DOUTOR(A) JUIZ(A) DE DIREITO DA M.M. ___ VARA CÍVEL E DE ACIDENTES DE TRABALHO DA COMARCA DE MANAUS/AM</w:t>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spacing w:lineRule="auto" w:line="300"/>
        <w:jc w:val="both"/>
        <w:rPr>
          <w:rFonts w:cs="Calibri"/>
          <w:b/>
          <w:lang w:val="pt-BR"/>
        </w:rPr>
      </w:pPr>
      <w:r>
        <w:rPr>
          <w:rFonts w:cs="Calibri"/>
          <w:b/>
          <w:lang w:val="pt-BR"/>
        </w:rPr>
      </w:r>
    </w:p>
    <w:p>
      <w:pPr>
        <w:pStyle w:val="Normal"/>
        <w:tabs>
          <w:tab w:val="clear" w:pos="720"/>
          <w:tab w:val="left" w:pos="2694" w:leader="none"/>
        </w:tabs>
        <w:spacing w:lineRule="auto" w:line="300"/>
        <w:ind w:firstLine="1418" w:end="0"/>
        <w:jc w:val="both"/>
        <w:rPr>
          <w:rFonts w:cs="Calibri"/>
          <w:color w:val="FF0000"/>
          <w:lang w:val="pt-BR"/>
        </w:rPr>
      </w:pPr>
      <w:r>
        <w:rPr>
          <w:rFonts w:cs="Calibri"/>
          <w:b/>
          <w:lang w:val="pt-BR"/>
        </w:rPr>
        <w:t xml:space="preserve">{{NOME_COMPLETO}}, </w:t>
      </w:r>
      <w:r>
        <w:rPr>
          <w:rFonts w:cs="Calibri"/>
          <w:lang w:val="pt-BR"/>
        </w:rPr>
        <w:t xml:space="preserve">{{QUALIFICACAO}}, detentor do Registro Geral n° {{RG}}, residente e domiciliado na {{ENDERECO_CLIENTE}}, por seus advogados que esta subscrevem (procuração em anexo), com escritório profissional a Rua Salvador, n° 120, sala 708, 7° andar – Edifício Vieiralves Business, bairro: Adrianópolis, Manaus/AM, Cep: 69.057-040, e-mail: </w:t>
      </w:r>
      <w:hyperlink r:id="rId2">
        <w:r>
          <w:rPr>
            <w:rStyle w:val="Hyperlink"/>
            <w:rFonts w:cs="Calibri"/>
            <w:b/>
            <w:lang w:val="pt-BR"/>
          </w:rPr>
          <w:t>juridico@bentesramos.adv.br</w:t>
        </w:r>
      </w:hyperlink>
      <w:r>
        <w:rPr>
          <w:rFonts w:cs="Calibri"/>
          <w:lang w:val="pt-BR"/>
        </w:rPr>
        <w:t xml:space="preserve"> e </w:t>
      </w:r>
      <w:r>
        <w:rPr>
          <w:rFonts w:cs="Calibri"/>
          <w:b/>
          <w:bCs/>
          <w:lang w:val="pt-BR"/>
        </w:rPr>
        <w:t>WhatsApp (92) 99160-4348 / 98223-7330</w:t>
      </w:r>
      <w:r>
        <w:rPr>
          <w:rFonts w:cs="Calibri"/>
          <w:lang w:val="pt-BR"/>
        </w:rPr>
        <w:t>, onde recebem intimações e demais atos processuais, vem, respeitosamente, a presença de Vossa Excelência, propor a presente</w:t>
      </w:r>
    </w:p>
    <w:p>
      <w:pPr>
        <w:pStyle w:val="Normal"/>
        <w:spacing w:lineRule="auto" w:line="300"/>
        <w:ind w:firstLine="2977" w:end="0"/>
        <w:jc w:val="both"/>
        <w:rPr>
          <w:rFonts w:cs="Calibri"/>
          <w:color w:val="FF0000"/>
          <w:lang w:val="pt-BR"/>
        </w:rPr>
      </w:pPr>
      <w:r>
        <w:rPr>
          <w:rFonts w:cs="Calibri"/>
          <w:color w:val="FF0000"/>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center"/>
        <w:rPr/>
      </w:pPr>
      <w:r>
        <w:rPr>
          <w:rFonts w:cs="Calibri"/>
          <w:b/>
          <w:lang w:val="pt-BR"/>
        </w:rPr>
        <w:t xml:space="preserve">AÇÃO DE REVISÃO DE CONTRATO DE EMPRÉSTIMO C/C PEDIDO DE NULIDADE DE CLÁSULAS CONTRATUAIS ABUSIVAS C/C REPETIÇÃO DO INDÉBITO C/C INDENIZAÇÃO POR DANOS MORAIS </w:t>
      </w:r>
    </w:p>
    <w:p>
      <w:pPr>
        <w:pStyle w:val="Normal"/>
        <w:spacing w:lineRule="auto" w:line="300"/>
        <w:jc w:val="both"/>
        <w:rPr>
          <w:rFonts w:cs="Calibri"/>
          <w:b/>
          <w:lang w:val="pt-BR"/>
        </w:rPr>
      </w:pPr>
      <w:r>
        <w:rPr>
          <w:rFonts w:cs="Calibri"/>
          <w:b/>
          <w:lang w:val="pt-BR"/>
        </w:rPr>
      </w:r>
    </w:p>
    <w:p>
      <w:pPr>
        <w:pStyle w:val="Normal"/>
        <w:spacing w:lineRule="auto" w:line="300"/>
        <w:jc w:val="both"/>
        <w:rPr/>
      </w:pPr>
      <w:r>
        <w:rPr>
          <w:rFonts w:eastAsia="Times New Roman" w:cs="Calibri"/>
          <w:lang w:val="pt-BR" w:eastAsia="pt-BR"/>
        </w:rPr>
        <w:t xml:space="preserve">em face de </w:t>
      </w:r>
      <w:r>
        <w:rPr>
          <w:rFonts w:cs="Calibri"/>
          <w:b/>
          <w:lang w:val="pt-BR"/>
        </w:rPr>
        <w:t>{{REU_NOME}}</w:t>
      </w:r>
      <w:r>
        <w:rPr>
          <w:rFonts w:cs="Calibri"/>
          <w:lang w:val="pt-BR"/>
        </w:rPr>
        <w:t>, instituição financeira inscrita no CNPJ sob o nº {{REU_CNPJ}}, com sede à {{REU_ENDERECO}}, pelos fatos e fundamentos a seguir expostos:</w:t>
      </w:r>
    </w:p>
    <w:p>
      <w:pPr>
        <w:pStyle w:val="Normal"/>
        <w:spacing w:lineRule="auto" w:line="300"/>
        <w:jc w:val="both"/>
        <w:rPr>
          <w:rFonts w:eastAsia="Times New Roman" w:cs="Calibri"/>
          <w:lang w:val="pt-BR" w:eastAsia="pt-BR"/>
        </w:rPr>
      </w:pPr>
      <w:r>
        <w:rPr>
          <w:rFonts w:eastAsia="Times New Roman" w:cs="Calibri"/>
          <w:lang w:val="pt-BR" w:eastAsia="pt-BR"/>
        </w:rPr>
      </w:r>
    </w:p>
    <w:p>
      <w:pPr>
        <w:pStyle w:val="PargrafodaLista"/>
        <w:numPr>
          <w:ilvl w:val="0"/>
          <w:numId w:val="5"/>
        </w:numPr>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before="0" w:after="0"/>
        <w:ind w:hanging="142" w:start="142" w:end="0"/>
        <w:contextualSpacing/>
        <w:jc w:val="center"/>
        <w:rPr>
          <w:rFonts w:cs="Calibri"/>
          <w:b/>
        </w:rPr>
      </w:pPr>
      <w:r>
        <w:rPr>
          <w:rFonts w:cs="Calibri"/>
          <w:b/>
        </w:rPr>
        <w:t>– DOS REQUERIMENTOS PRÉVIOS</w:t>
      </w:r>
    </w:p>
    <w:p>
      <w:pPr>
        <w:pStyle w:val="Normal"/>
        <w:tabs>
          <w:tab w:val="clear" w:pos="720"/>
          <w:tab w:val="left" w:pos="2694" w:leader="none"/>
        </w:tabs>
        <w:spacing w:lineRule="auto" w:line="300"/>
        <w:jc w:val="both"/>
        <w:rPr>
          <w:rFonts w:cs="Calibri"/>
          <w:b/>
          <w:lang w:val="pt-BR"/>
        </w:rPr>
      </w:pPr>
      <w:r>
        <w:rPr>
          <w:rFonts w:cs="Calibri"/>
          <w:b/>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rPr/>
      </w:pPr>
      <w:r>
        <w:rPr>
          <w:rFonts w:cs="Calibri"/>
          <w:b/>
          <w:lang w:val="pt-BR"/>
        </w:rPr>
        <w:t>1.1 - DA CONCESSÃO DO BENEFÍCIO DA JUSTIÇA GRATUITA</w:t>
      </w:r>
    </w:p>
    <w:p>
      <w:pPr>
        <w:pStyle w:val="Normal"/>
        <w:spacing w:lineRule="auto" w:line="300"/>
        <w:jc w:val="both"/>
        <w:rPr>
          <w:rFonts w:cs="Calibri"/>
          <w:b/>
          <w:lang w:val="pt-BR"/>
        </w:rPr>
      </w:pPr>
      <w:r>
        <w:rPr>
          <w:rFonts w:cs="Calibri"/>
          <w:b/>
          <w:lang w:val="pt-BR"/>
        </w:rPr>
      </w:r>
    </w:p>
    <w:p>
      <w:pPr>
        <w:pStyle w:val="Normal"/>
        <w:spacing w:lineRule="auto" w:line="300"/>
        <w:ind w:firstLine="1418" w:end="0"/>
        <w:jc w:val="both"/>
        <w:rPr/>
      </w:pPr>
      <w:r>
        <w:rPr>
          <w:rFonts w:cs="Calibri"/>
          <w:lang w:val="pt-BR"/>
        </w:rPr>
        <w:t>A parte requerente requer a concessão dos benefícios da gratuidade da justiça, por não possuir condições financeiras de arcar com custas e despesas processuais sem comprometer o próprio sustento e o de sua família, conforme declaração de hipossuficiência em anexo.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O pleito encontra respaldo no art. 5º, inciso LXXIV, da Constituição Federal, segundo o qual </w:t>
      </w:r>
      <w:r>
        <w:rPr>
          <w:rFonts w:cs="Calibri"/>
          <w:i/>
          <w:iCs/>
          <w:lang w:val="pt-BR"/>
        </w:rPr>
        <w:t>“o Estado prestará assistência jurídica integral e gratuita aos que comprovarem insuficiência de recursos”</w:t>
      </w:r>
      <w:r>
        <w:rPr>
          <w:rFonts w:cs="Calibri"/>
          <w:lang w:val="pt-BR"/>
        </w:rPr>
        <w:t>. Além disso, o art. 5º, inciso XXXV, da CF/88 assegura o acesso à justiça como direito fundamental e indispensável ao exercício da cidadania.</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No âmbito estadual, a Constituição do Estado do Amazonas, em seu art. 9º, I, garante ao consumidor o direito à assistência jurídica integral e gratuita, reforçando a tutela ao hipossuficiente em demandas de consumo.</w:t>
      </w:r>
    </w:p>
    <w:p>
      <w:pPr>
        <w:pStyle w:val="Normal"/>
        <w:spacing w:lineRule="auto" w:line="300"/>
        <w:ind w:firstLine="1418" w:end="0"/>
        <w:jc w:val="both"/>
        <w:rPr>
          <w:rFonts w:cs="Calibri"/>
          <w:lang w:val="pt-BR"/>
        </w:rPr>
      </w:pPr>
      <w:r>
        <w:rPr>
          <w:rFonts w:cs="Calibri"/>
          <w:lang w:val="pt-BR"/>
        </w:rPr>
      </w:r>
    </w:p>
    <w:p>
      <w:pPr>
        <w:pStyle w:val="Normal"/>
        <w:spacing w:lineRule="auto" w:line="240"/>
        <w:ind w:start="2268" w:end="0"/>
        <w:jc w:val="both"/>
        <w:rPr>
          <w:rFonts w:cs="Calibri"/>
          <w:b/>
          <w:bCs/>
          <w:sz w:val="20"/>
          <w:szCs w:val="20"/>
          <w:lang w:val="pt-BR"/>
        </w:rPr>
      </w:pPr>
      <w:r>
        <w:rPr>
          <w:rFonts w:cs="Calibri"/>
          <w:b/>
          <w:bCs/>
          <w:sz w:val="20"/>
          <w:szCs w:val="20"/>
          <w:lang w:val="pt-BR"/>
        </w:rPr>
        <w:t>CAPÍTULO III – DA DEFESA DO CONSUMIDOR</w:t>
      </w:r>
    </w:p>
    <w:p>
      <w:pPr>
        <w:pStyle w:val="Normal"/>
        <w:spacing w:lineRule="auto" w:line="240"/>
        <w:ind w:start="2268" w:end="0"/>
        <w:jc w:val="both"/>
        <w:rPr>
          <w:rFonts w:cs="Calibri"/>
          <w:b/>
          <w:bCs/>
          <w:sz w:val="20"/>
          <w:szCs w:val="20"/>
          <w:lang w:val="pt-BR"/>
        </w:rPr>
      </w:pPr>
      <w:r>
        <w:rPr>
          <w:rFonts w:cs="Calibri"/>
          <w:b/>
          <w:bCs/>
          <w:sz w:val="20"/>
          <w:szCs w:val="20"/>
          <w:lang w:val="pt-BR"/>
        </w:rPr>
      </w:r>
    </w:p>
    <w:p>
      <w:pPr>
        <w:pStyle w:val="Normal"/>
        <w:spacing w:lineRule="auto" w:line="240"/>
        <w:ind w:start="2268" w:end="0"/>
        <w:jc w:val="both"/>
        <w:rPr/>
      </w:pPr>
      <w:r>
        <w:rPr>
          <w:rFonts w:cs="Calibri"/>
          <w:sz w:val="20"/>
          <w:szCs w:val="20"/>
          <w:lang w:val="pt-BR"/>
        </w:rPr>
        <w:t xml:space="preserve">Art. 9° O </w:t>
      </w:r>
      <w:r>
        <w:rPr>
          <w:rFonts w:cs="Calibri"/>
          <w:b/>
          <w:bCs/>
          <w:sz w:val="20"/>
          <w:szCs w:val="20"/>
          <w:lang w:val="pt-BR"/>
        </w:rPr>
        <w:t>consumidor</w:t>
      </w:r>
      <w:r>
        <w:rPr>
          <w:rFonts w:cs="Calibri"/>
          <w:sz w:val="20"/>
          <w:szCs w:val="20"/>
          <w:lang w:val="pt-BR"/>
        </w:rPr>
        <w:t xml:space="preserve"> tem direito à proteção do Estado e do Município, assegurada a sua defesa, dentre outras formas estabelecidas em lei, por meio de:</w:t>
      </w:r>
    </w:p>
    <w:p>
      <w:pPr>
        <w:pStyle w:val="Normal"/>
        <w:spacing w:lineRule="auto" w:line="240"/>
        <w:ind w:start="2268" w:end="0"/>
        <w:jc w:val="both"/>
        <w:rPr>
          <w:rFonts w:cs="Calibri"/>
          <w:b/>
          <w:bCs/>
          <w:sz w:val="20"/>
          <w:szCs w:val="20"/>
          <w:lang w:val="pt-BR"/>
        </w:rPr>
      </w:pPr>
      <w:r>
        <w:rPr>
          <w:rFonts w:cs="Calibri"/>
          <w:b/>
          <w:bCs/>
          <w:sz w:val="20"/>
          <w:szCs w:val="20"/>
          <w:lang w:val="pt-BR"/>
        </w:rPr>
      </w:r>
    </w:p>
    <w:p>
      <w:pPr>
        <w:pStyle w:val="Normal"/>
        <w:spacing w:lineRule="auto" w:line="240"/>
        <w:ind w:start="2268" w:end="0"/>
        <w:jc w:val="both"/>
        <w:rPr/>
      </w:pPr>
      <w:r>
        <w:rPr>
          <w:rFonts w:cs="Calibri"/>
          <w:b/>
          <w:bCs/>
          <w:sz w:val="20"/>
          <w:szCs w:val="20"/>
          <w:lang w:val="pt-BR"/>
        </w:rPr>
        <w:t>I – assistência jurídica, integral e gratuita para o consumidor</w:t>
      </w:r>
      <w:r>
        <w:rPr>
          <w:rFonts w:cs="Calibri"/>
          <w:sz w:val="20"/>
          <w:szCs w:val="20"/>
          <w:lang w:val="pt-BR"/>
        </w:rPr>
        <w:t>; (grifo nosso)</w:t>
      </w:r>
    </w:p>
    <w:p>
      <w:pPr>
        <w:pStyle w:val="Normal"/>
        <w:spacing w:lineRule="auto" w:line="300"/>
        <w:ind w:firstLine="1418" w:end="0"/>
        <w:jc w:val="both"/>
        <w:rPr>
          <w:rFonts w:cs="Calibri"/>
          <w:sz w:val="20"/>
          <w:szCs w:val="20"/>
          <w:lang w:val="pt-BR"/>
        </w:rPr>
      </w:pPr>
      <w:r>
        <w:rPr>
          <w:rFonts w:cs="Calibri"/>
          <w:sz w:val="20"/>
          <w:szCs w:val="20"/>
          <w:lang w:val="pt-BR"/>
        </w:rPr>
      </w:r>
    </w:p>
    <w:p>
      <w:pPr>
        <w:pStyle w:val="BlockQuote"/>
        <w:spacing w:lineRule="auto" w:line="300" w:before="0" w:after="0"/>
        <w:ind w:firstLine="1418" w:end="0"/>
        <w:jc w:val="both"/>
        <w:rPr>
          <w:rFonts w:eastAsia="Calibri" w:cs="Calibri"/>
          <w:bCs w:val="false"/>
          <w:sz w:val="22"/>
          <w:szCs w:val="22"/>
          <w:lang w:val="pt-BR"/>
        </w:rPr>
      </w:pPr>
      <w:r>
        <w:rPr>
          <w:rFonts w:eastAsia="Calibri" w:cs="Calibri"/>
          <w:bCs w:val="false"/>
          <w:sz w:val="22"/>
          <w:szCs w:val="22"/>
          <w:lang w:val="pt-BR"/>
        </w:rPr>
        <w:t>A disciplina infraconstitucional da matéria encontra-se nos arts. 98 a 102 do CPC/2015, que asseguram a gratuidade a toda pessoa física ou jurídica que comprove insuficiência de recursos. O próprio art. 99, §3º, do CPC dispõe que a alegação de hipossuficiência econômica apresentada pela parte goza de presunção de veracidade.</w:t>
      </w:r>
    </w:p>
    <w:p>
      <w:pPr>
        <w:pStyle w:val="Normal"/>
        <w:spacing w:lineRule="auto" w:line="300"/>
        <w:rPr>
          <w:rFonts w:eastAsia="Calibri" w:cs="Calibri"/>
          <w:bCs/>
          <w:sz w:val="22"/>
          <w:szCs w:val="22"/>
          <w:lang w:val="pt-BR"/>
        </w:rPr>
      </w:pPr>
      <w:r>
        <w:rPr>
          <w:rFonts w:eastAsia="Calibri" w:cs="Calibri"/>
          <w:bCs/>
          <w:sz w:val="22"/>
          <w:szCs w:val="22"/>
          <w:lang w:val="pt-BR"/>
        </w:rPr>
      </w:r>
    </w:p>
    <w:p>
      <w:pPr>
        <w:pStyle w:val="Normal"/>
        <w:spacing w:lineRule="auto" w:line="300"/>
        <w:ind w:firstLine="1418" w:end="0"/>
        <w:jc w:val="both"/>
        <w:rPr/>
      </w:pPr>
      <w:r>
        <w:rPr>
          <w:rFonts w:cs="Calibri"/>
          <w:lang w:val="pt-BR"/>
        </w:rPr>
        <w:t>Ressalte-se, ainda, que o simples fato de a parte estar representada por advogado particular não afasta o direito à gratuidade (art. 99, §4º, do CPC), entendimento já pacificado na jurisprudência.</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Assim, demonstrada a impossibilidade financeira da requerente e atendidos os requisitos legais, impõe-se o </w:t>
      </w:r>
      <w:r>
        <w:rPr>
          <w:rFonts w:cs="Calibri"/>
          <w:b/>
          <w:bCs/>
          <w:lang w:val="pt-BR"/>
        </w:rPr>
        <w:t>deferimento da gratuidade da justiça</w:t>
      </w:r>
      <w:r>
        <w:rPr>
          <w:rFonts w:cs="Calibri"/>
          <w:lang w:val="pt-BR"/>
        </w:rPr>
        <w:t xml:space="preserve"> em sua integralidade, permitindo-lhe o pleno acesso à tutela jurisdicional, nos termos do art. 5º, LXXIV, da CF/88, do art. 9º, I, da CE/AM e dos arts. 98 e seguintes do CPC/2015.</w:t>
      </w:r>
    </w:p>
    <w:p>
      <w:pPr>
        <w:pStyle w:val="Normal"/>
        <w:spacing w:lineRule="auto" w:line="300"/>
        <w:ind w:firstLine="1985" w:end="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rPr/>
      </w:pPr>
      <w:r>
        <w:rPr>
          <w:rFonts w:cs="Calibri"/>
          <w:b/>
          <w:lang w:val="pt-BR"/>
        </w:rPr>
        <w:t>1.2 - DA DECLARAÇÃO DE AUTENTICIDADE DOS DOCUMENTOS JUNTADOS</w:t>
      </w:r>
    </w:p>
    <w:p>
      <w:pPr>
        <w:pStyle w:val="Normal"/>
        <w:spacing w:lineRule="auto" w:line="300"/>
        <w:jc w:val="both"/>
        <w:rPr>
          <w:rFonts w:cs="Calibri"/>
          <w:b/>
          <w:lang w:val="pt-BR"/>
        </w:rPr>
      </w:pPr>
      <w:r>
        <w:rPr>
          <w:rFonts w:cs="Calibri"/>
          <w:b/>
          <w:lang w:val="pt-BR"/>
        </w:rPr>
      </w:r>
    </w:p>
    <w:p>
      <w:pPr>
        <w:pStyle w:val="Normal"/>
        <w:spacing w:lineRule="auto" w:line="300"/>
        <w:ind w:firstLine="1418" w:end="0"/>
        <w:jc w:val="both"/>
        <w:rPr/>
      </w:pPr>
      <w:r>
        <w:rPr>
          <w:rFonts w:cs="Calibri"/>
          <w:lang w:val="pt-BR"/>
        </w:rPr>
        <w:t>Nos termos do art. 425, inciso IV, do CPC/2015, os patronos da parte requerente declaram a autenticidade de todos os documentos apresentados em cópia simples, assegurando que estes conferem fielmente com os respectivos originais, que permanecem sob sua guarda e responsabilidade, comprometendo-se a apresentá-los em juízo, caso assim seja determinado.</w:t>
      </w:r>
    </w:p>
    <w:p>
      <w:pPr>
        <w:pStyle w:val="Normal"/>
        <w:spacing w:lineRule="auto" w:line="300"/>
        <w:ind w:firstLine="1418" w:end="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pPr>
      <w:r>
        <w:rPr>
          <w:rFonts w:cs="Calibri"/>
          <w:b/>
          <w:lang w:val="pt-BR"/>
        </w:rPr>
        <w:t>1.3 – DA AUDIÊNCIA DE CONCILIAÇÃO E OPÇÃO PELO JUÍZO 100% DIGITAL</w:t>
      </w:r>
    </w:p>
    <w:p>
      <w:pPr>
        <w:pStyle w:val="Normal"/>
        <w:spacing w:lineRule="auto" w:line="300"/>
        <w:ind w:firstLine="2835" w:end="0"/>
        <w:jc w:val="both"/>
        <w:rPr>
          <w:rFonts w:cs="Calibri"/>
          <w:b/>
          <w:lang w:val="pt-BR"/>
        </w:rPr>
      </w:pPr>
      <w:r>
        <w:rPr>
          <w:rFonts w:cs="Calibri"/>
          <w:b/>
          <w:lang w:val="pt-BR"/>
        </w:rPr>
      </w:r>
    </w:p>
    <w:p>
      <w:pPr>
        <w:pStyle w:val="Normal"/>
        <w:spacing w:lineRule="auto" w:line="300"/>
        <w:ind w:firstLine="1418" w:end="0"/>
        <w:jc w:val="both"/>
        <w:rPr>
          <w:rFonts w:cs="Calibri"/>
          <w:lang w:val="pt-BR"/>
        </w:rPr>
      </w:pPr>
      <w:r>
        <w:rPr>
          <w:rFonts w:cs="Calibri"/>
          <w:lang w:val="pt-BR"/>
        </w:rPr>
        <w:t>A parte requerente manifesta interesse na autocomposição e não se opõe à designação de audiência de conciliação, nos termos dos arts. 3º, §§2º e 3º, e 334 do CPC.</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Requer, desde já, que a audiência seja realizada por videoconferência e que o feito tramite no Juízo 100% Digital, com a prática de todos os atos processuais por meio eletrônico, conforme Resolução CNJ nº 345/2020 (art. 3º) e Portaria TJAM nº 2330/2020.</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Para o encaminhamento do link de acesso e comunicações operacionais, indica-se o e-mail: </w:t>
      </w:r>
      <w:hyperlink r:id="rId3">
        <w:r>
          <w:rPr>
            <w:rStyle w:val="Hyperlink"/>
            <w:rFonts w:cs="Calibri"/>
            <w:b/>
            <w:bCs/>
            <w:lang w:val="pt-BR"/>
          </w:rPr>
          <w:t>juridico@bentesramos.adv.br</w:t>
        </w:r>
      </w:hyperlink>
      <w:r>
        <w:rPr>
          <w:rFonts w:cs="Calibri"/>
          <w:lang w:val="pt-BR"/>
        </w:rPr>
        <w:t>.</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Subsidiariamente, caso o juízo entenda inviável a modalidade virtual, requer-se a designação de ato presencial, em pauta compatível com as partes e patronos.</w:t>
      </w:r>
    </w:p>
    <w:p>
      <w:pPr>
        <w:pStyle w:val="Normal"/>
        <w:spacing w:lineRule="auto" w:line="300"/>
        <w:ind w:firstLine="1418" w:end="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center"/>
        <w:rPr>
          <w:rFonts w:cs="Calibri"/>
          <w:b/>
          <w:u w:val="single"/>
          <w:lang w:val="pt-BR"/>
        </w:rPr>
      </w:pPr>
      <w:r>
        <w:rPr>
          <w:rFonts w:cs="Calibri"/>
          <w:b/>
          <w:lang w:val="pt-BR"/>
        </w:rPr>
        <w:t>2 – DOS FATOS</w:t>
      </w:r>
    </w:p>
    <w:p>
      <w:pPr>
        <w:pStyle w:val="Padro"/>
        <w:tabs>
          <w:tab w:val="left" w:pos="0" w:leader="none"/>
          <w:tab w:val="left" w:pos="708" w:leader="none"/>
        </w:tabs>
        <w:spacing w:lineRule="auto" w:line="300" w:before="0" w:after="0"/>
        <w:ind w:firstLine="2835" w:end="0"/>
        <w:jc w:val="both"/>
        <w:rPr>
          <w:rFonts w:ascii="Calibri" w:hAnsi="Calibri" w:eastAsia="Verdana-Bold;Times New Roman" w:cs="Calibri"/>
          <w:b/>
          <w:color w:val="000000"/>
          <w:sz w:val="22"/>
          <w:szCs w:val="22"/>
          <w:u w:val="single"/>
          <w:lang w:val="pt-BR"/>
        </w:rPr>
      </w:pPr>
      <w:r>
        <w:rPr>
          <w:rFonts w:eastAsia="Verdana-Bold;Times New Roman" w:cs="Calibri" w:ascii="Calibri" w:hAnsi="Calibri"/>
          <w:b/>
          <w:color w:val="000000"/>
          <w:sz w:val="22"/>
          <w:szCs w:val="22"/>
          <w:u w:val="single"/>
          <w:lang w:val="pt-BR"/>
        </w:rPr>
      </w:r>
    </w:p>
    <w:p>
      <w:pPr>
        <w:pStyle w:val="Normal"/>
        <w:spacing w:lineRule="auto" w:line="300"/>
        <w:ind w:firstLine="1418" w:end="0"/>
        <w:jc w:val="both"/>
        <w:rPr>
          <w:rFonts w:cs="Calibri"/>
          <w:lang w:val="pt-BR"/>
        </w:rPr>
      </w:pPr>
      <w:r>
        <w:rPr>
          <w:rFonts w:eastAsia="Times New Roman" w:cs="Calibri"/>
          <w:lang w:val="pt-BR"/>
        </w:rPr>
        <w:t xml:space="preserve">A parte requerente, pessoa de parcos recursos e manifesta vulnerabilidade socioeconômica, celebrou com a instituição financeira requerida, em </w:t>
      </w:r>
      <w:r>
        <w:rPr>
          <w:rFonts w:eastAsia="Times New Roman" w:cs="Calibri"/>
          <w:b/>
          <w:bCs/>
          <w:lang w:val="pt-BR"/>
        </w:rPr>
        <w:t>________</w:t>
      </w:r>
      <w:r>
        <w:rPr>
          <w:rFonts w:eastAsia="Times New Roman" w:cs="Calibri"/>
          <w:lang w:val="pt-BR"/>
        </w:rPr>
        <w:t xml:space="preserve">, contrato de empréstimo pessoal no valor de </w:t>
      </w:r>
      <w:r>
        <w:rPr>
          <w:rFonts w:eastAsia="Times New Roman" w:cs="Calibri"/>
          <w:b/>
          <w:bCs/>
          <w:lang w:val="pt-BR"/>
        </w:rPr>
        <w:t>R$ ________ (________)</w:t>
      </w:r>
      <w:r>
        <w:rPr>
          <w:rFonts w:eastAsia="Times New Roman" w:cs="Calibri"/>
          <w:lang w:val="pt-BR"/>
        </w:rPr>
        <w:t>, montante este que já compreendia a totalidade das despesas e encargos vinculados à concessão do crédito.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Nos termos do instrumento contratual, restou pactuado que a quitação do referido empréstimo se daria em </w:t>
      </w:r>
      <w:r>
        <w:rPr>
          <w:rFonts w:eastAsia="Times New Roman" w:cs="Calibri"/>
          <w:b/>
          <w:bCs/>
          <w:lang w:val="pt-BR"/>
        </w:rPr>
        <w:t>18 (dezoito) parcelas mensais e consecutivas</w:t>
      </w:r>
      <w:r>
        <w:rPr>
          <w:rFonts w:eastAsia="Times New Roman" w:cs="Calibri"/>
          <w:lang w:val="pt-BR"/>
        </w:rPr>
        <w:t xml:space="preserve">, cada qual no valor de </w:t>
      </w:r>
      <w:r>
        <w:rPr>
          <w:rFonts w:eastAsia="Times New Roman" w:cs="Calibri"/>
          <w:b/>
          <w:bCs/>
          <w:lang w:val="pt-BR"/>
        </w:rPr>
        <w:t>R$ 172,04 (cento e setenta e dois reais e quatro centavos)</w:t>
      </w:r>
      <w:r>
        <w:rPr>
          <w:rFonts w:eastAsia="Times New Roman" w:cs="Calibri"/>
          <w:lang w:val="pt-BR"/>
        </w:rPr>
        <w:t xml:space="preserve">, com vencimento da primeira parcela em </w:t>
      </w:r>
      <w:r>
        <w:rPr>
          <w:rFonts w:eastAsia="Times New Roman" w:cs="Calibri"/>
          <w:b/>
          <w:bCs/>
          <w:lang w:val="pt-BR"/>
        </w:rPr>
        <w:t>05/01/2026 e da última em 02/06/2027</w:t>
      </w:r>
      <w:r>
        <w:rPr>
          <w:rFonts w:eastAsia="Times New Roman" w:cs="Calibri"/>
          <w:lang w:val="pt-BR"/>
        </w:rPr>
        <w:t xml:space="preserve">, perfazendo um custo efetivo total de </w:t>
      </w:r>
      <w:r>
        <w:rPr>
          <w:rFonts w:eastAsia="Times New Roman" w:cs="Calibri"/>
          <w:b/>
          <w:bCs/>
          <w:lang w:val="pt-BR"/>
        </w:rPr>
        <w:t>R$ 3.096,72 (três mil, noventa e seis reais e setenta e dois centavos)</w:t>
      </w:r>
      <w:r>
        <w:rPr>
          <w:rFonts w:eastAsia="Times New Roman" w:cs="Calibri"/>
          <w:lang w:val="pt-BR"/>
        </w:rPr>
        <w:t>, conforme se extrai do contrato acostado aos autos.</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Ocorre, Excelência, que o cerne da presente demanda reside na constatação de que a instituição financeira requerida, valendo-se de sua posição de supremacia contratual e da condição de hipossuficiência da consumidora, aplicou ao contrato em comento </w:t>
      </w:r>
      <w:r>
        <w:rPr>
          <w:rFonts w:eastAsia="Times New Roman" w:cs="Calibri"/>
          <w:b/>
          <w:bCs/>
          <w:lang w:val="pt-BR"/>
        </w:rPr>
        <w:t>taxa de juros remuneratórios flagrantemente abusiva</w:t>
      </w:r>
      <w:r>
        <w:rPr>
          <w:rFonts w:eastAsia="Times New Roman" w:cs="Calibri"/>
          <w:lang w:val="pt-BR"/>
        </w:rPr>
        <w:t>, dissociada por completo da realidade do mercado financeiro nacional, impondo à parte requerente encargos manifestamente excessivos, desproporcionais e onerosíssimos.</w:t>
      </w:r>
    </w:p>
    <w:p>
      <w:pPr>
        <w:pStyle w:val="Padro"/>
        <w:tabs>
          <w:tab w:val="left" w:pos="0" w:leader="none"/>
          <w:tab w:val="left" w:pos="708" w:leader="none"/>
        </w:tabs>
        <w:spacing w:lineRule="auto" w:line="300" w:before="0" w:after="0"/>
        <w:ind w:firstLine="1418" w:end="0"/>
        <w:jc w:val="both"/>
        <w:rPr>
          <w:rFonts w:ascii="Calibri" w:hAnsi="Calibri" w:eastAsia="Verdana-Bold;Times New Roman" w:cs="Calibri"/>
          <w:color w:val="000000"/>
          <w:sz w:val="22"/>
          <w:szCs w:val="22"/>
          <w:lang w:val="pt-BR"/>
        </w:rPr>
      </w:pPr>
      <w:r>
        <w:rPr>
          <w:rFonts w:eastAsia="Verdana-Bold;Times New Roman" w:cs="Calibri" w:ascii="Calibri" w:hAnsi="Calibri"/>
          <w:color w:val="000000"/>
          <w:sz w:val="22"/>
          <w:szCs w:val="22"/>
          <w:lang w:val="pt-BR"/>
        </w:rPr>
      </w:r>
    </w:p>
    <w:p>
      <w:pPr>
        <w:pStyle w:val="Padro"/>
        <w:tabs>
          <w:tab w:val="left" w:pos="0" w:leader="none"/>
          <w:tab w:val="left" w:pos="708" w:leader="none"/>
        </w:tabs>
        <w:spacing w:lineRule="auto" w:line="300" w:before="0" w:after="0"/>
        <w:ind w:firstLine="1418" w:end="0"/>
        <w:jc w:val="both"/>
        <w:rPr>
          <w:rFonts w:ascii="Calibri" w:hAnsi="Calibri" w:eastAsia="Verdana-Bold;Times New Roman" w:cs="Calibri"/>
          <w:color w:val="000000"/>
          <w:sz w:val="22"/>
          <w:szCs w:val="22"/>
        </w:rPr>
      </w:pPr>
      <w:r>
        <w:rPr>
          <w:rFonts w:eastAsia="Verdana-Bold;Times New Roman" w:cs="Calibri" w:ascii="Calibri" w:hAnsi="Calibri"/>
          <w:bCs/>
          <w:sz w:val="22"/>
          <w:szCs w:val="22"/>
        </w:rPr>
        <w:t xml:space="preserve">Ressalte-se, ainda, que uma simples consulta às tabelas oficiais divulgadas pelo </w:t>
      </w:r>
      <w:r>
        <w:rPr>
          <w:rFonts w:eastAsia="Verdana-Bold;Times New Roman" w:cs="Calibri" w:ascii="Calibri" w:hAnsi="Calibri"/>
          <w:b/>
          <w:bCs/>
          <w:sz w:val="22"/>
          <w:szCs w:val="22"/>
        </w:rPr>
        <w:t>Banco Central do Brasil</w:t>
      </w:r>
      <w:r>
        <w:rPr>
          <w:rFonts w:eastAsia="Verdana-Bold;Times New Roman" w:cs="Calibri" w:ascii="Calibri" w:hAnsi="Calibri"/>
          <w:bCs/>
          <w:sz w:val="22"/>
          <w:szCs w:val="22"/>
        </w:rPr>
        <w:t xml:space="preserve">, referentes à taxa média de juros praticada pelo mercado à época da contratação — </w:t>
      </w:r>
      <w:r>
        <w:rPr>
          <w:rFonts w:eastAsia="Verdana-Bold;Times New Roman" w:cs="Calibri" w:ascii="Calibri" w:hAnsi="Calibri"/>
          <w:b/>
          <w:bCs/>
          <w:sz w:val="22"/>
          <w:szCs w:val="22"/>
        </w:rPr>
        <w:t>novembro de 2025</w:t>
      </w:r>
      <w:r>
        <w:rPr>
          <w:rFonts w:eastAsia="Verdana-Bold;Times New Roman" w:cs="Calibri" w:ascii="Calibri" w:hAnsi="Calibri"/>
          <w:bCs/>
          <w:sz w:val="22"/>
          <w:szCs w:val="22"/>
        </w:rPr>
        <w:t xml:space="preserve"> — evidencia que, para a modalidade </w:t>
      </w:r>
      <w:r>
        <w:rPr>
          <w:rFonts w:eastAsia="Verdana-Bold;Times New Roman" w:cs="Calibri" w:ascii="Calibri" w:hAnsi="Calibri"/>
          <w:sz w:val="22"/>
          <w:szCs w:val="22"/>
        </w:rPr>
        <w:t>crédito pessoal</w:t>
      </w:r>
      <w:r>
        <w:rPr>
          <w:rFonts w:eastAsia="Verdana-Bold;Times New Roman" w:cs="Calibri" w:ascii="Calibri" w:hAnsi="Calibri"/>
          <w:bCs/>
          <w:sz w:val="22"/>
          <w:szCs w:val="22"/>
        </w:rPr>
        <w:t xml:space="preserve"> não consignado a taxa média era de </w:t>
      </w:r>
      <w:r>
        <w:rPr>
          <w:rFonts w:eastAsia="Verdana-Bold;Times New Roman" w:cs="Calibri" w:ascii="Calibri" w:hAnsi="Calibri"/>
          <w:b/>
          <w:bCs/>
          <w:sz w:val="22"/>
          <w:szCs w:val="22"/>
        </w:rPr>
        <w:t>6,44% ao mês</w:t>
      </w:r>
      <w:r>
        <w:rPr>
          <w:rFonts w:eastAsia="Verdana-Bold;Times New Roman" w:cs="Calibri" w:ascii="Calibri" w:hAnsi="Calibri"/>
          <w:bCs/>
          <w:sz w:val="22"/>
          <w:szCs w:val="22"/>
        </w:rPr>
        <w:t xml:space="preserve"> e </w:t>
      </w:r>
      <w:r>
        <w:rPr>
          <w:rFonts w:eastAsia="Verdana-Bold;Times New Roman" w:cs="Calibri" w:ascii="Calibri" w:hAnsi="Calibri"/>
          <w:b/>
          <w:sz w:val="22"/>
          <w:szCs w:val="22"/>
        </w:rPr>
        <w:t>111,49</w:t>
      </w:r>
      <w:r>
        <w:rPr>
          <w:rFonts w:eastAsia="Verdana-Bold;Times New Roman" w:cs="Calibri" w:ascii="Calibri" w:hAnsi="Calibri"/>
          <w:b/>
          <w:bCs/>
          <w:sz w:val="22"/>
          <w:szCs w:val="22"/>
        </w:rPr>
        <w:t>% ao ano</w:t>
      </w:r>
      <w:r>
        <w:rPr>
          <w:rFonts w:eastAsia="Verdana-Bold;Times New Roman" w:cs="Calibri" w:ascii="Calibri" w:hAnsi="Calibri"/>
          <w:bCs/>
          <w:sz w:val="22"/>
          <w:szCs w:val="22"/>
        </w:rPr>
        <w:t>, conforme documentos ora anexos.</w:t>
      </w:r>
    </w:p>
    <w:p>
      <w:pPr>
        <w:pStyle w:val="Padro"/>
        <w:tabs>
          <w:tab w:val="left" w:pos="0" w:leader="none"/>
          <w:tab w:val="left" w:pos="708" w:leader="none"/>
        </w:tabs>
        <w:spacing w:lineRule="auto" w:line="300" w:before="0" w:after="0"/>
        <w:ind w:firstLine="1418" w:end="0"/>
        <w:jc w:val="both"/>
        <w:rPr>
          <w:rFonts w:ascii="Calibri" w:hAnsi="Calibri" w:eastAsia="Verdana-Bold;Times New Roman" w:cs="Calibri"/>
          <w:color w:val="000000"/>
          <w:sz w:val="22"/>
          <w:szCs w:val="22"/>
        </w:rPr>
      </w:pPr>
      <w:r>
        <w:rPr>
          <w:rFonts w:eastAsia="Verdana-Bold;Times New Roman" w:cs="Calibri" w:ascii="Calibri" w:hAnsi="Calibri"/>
          <w:color w:val="000000"/>
          <w:sz w:val="22"/>
          <w:szCs w:val="22"/>
        </w:rPr>
      </w:r>
    </w:p>
    <w:p>
      <w:pPr>
        <w:pStyle w:val="Padro"/>
        <w:tabs>
          <w:tab w:val="left" w:pos="0" w:leader="none"/>
          <w:tab w:val="left" w:pos="708" w:leader="none"/>
        </w:tabs>
        <w:spacing w:lineRule="auto" w:line="300" w:before="0" w:after="0"/>
        <w:ind w:firstLine="1418" w:end="0"/>
        <w:jc w:val="both"/>
        <w:rPr>
          <w:rFonts w:ascii="Calibri" w:hAnsi="Calibri" w:cs="Calibri"/>
          <w:sz w:val="22"/>
          <w:szCs w:val="22"/>
        </w:rPr>
      </w:pPr>
      <w:r>
        <w:rPr>
          <w:rFonts w:cs="Calibri" w:ascii="Calibri" w:hAnsi="Calibri"/>
          <w:sz w:val="22"/>
          <w:szCs w:val="22"/>
        </w:rPr>
        <w:t xml:space="preserve">Para fins de comprovação, destaca-se que a taxa média de juros remuneratórios pode ser facilmente verificada no portal eletrônico do Banco Central do Brasil, mediante consulta aos seguintes códigos estatísticos: </w:t>
      </w:r>
      <w:r>
        <w:rPr>
          <w:rFonts w:cs="Calibri" w:ascii="Calibri" w:hAnsi="Calibri"/>
          <w:b/>
          <w:bCs/>
          <w:sz w:val="22"/>
          <w:szCs w:val="22"/>
        </w:rPr>
        <w:t>25464</w:t>
      </w:r>
      <w:r>
        <w:rPr>
          <w:rFonts w:cs="Calibri" w:ascii="Calibri" w:hAnsi="Calibri"/>
          <w:sz w:val="22"/>
          <w:szCs w:val="22"/>
        </w:rPr>
        <w:t xml:space="preserve">, para a taxa média mensal, e </w:t>
      </w:r>
      <w:r>
        <w:rPr>
          <w:rFonts w:cs="Calibri" w:ascii="Calibri" w:hAnsi="Calibri"/>
          <w:b/>
          <w:bCs/>
          <w:sz w:val="22"/>
          <w:szCs w:val="22"/>
        </w:rPr>
        <w:t>20742</w:t>
      </w:r>
      <w:r>
        <w:rPr>
          <w:rFonts w:cs="Calibri" w:ascii="Calibri" w:hAnsi="Calibri"/>
          <w:sz w:val="22"/>
          <w:szCs w:val="22"/>
        </w:rPr>
        <w:t xml:space="preserve">, para a taxa média anual, o que reforça a transparência e a objetividade das informações ora apresentadas. </w:t>
      </w:r>
    </w:p>
    <w:p>
      <w:pPr>
        <w:pStyle w:val="Padro"/>
        <w:tabs>
          <w:tab w:val="left" w:pos="0" w:leader="none"/>
          <w:tab w:val="left" w:pos="708" w:leader="none"/>
        </w:tabs>
        <w:spacing w:lineRule="auto" w:line="300" w:before="0" w:after="0"/>
        <w:jc w:val="both"/>
        <w:rPr>
          <w:rFonts w:ascii="Calibri" w:hAnsi="Calibri" w:cs="Calibri"/>
          <w:sz w:val="22"/>
          <w:szCs w:val="22"/>
        </w:rPr>
      </w:pPr>
      <w:r>
        <w:rPr>
          <w:rFonts w:cs="Calibri" w:ascii="Calibri" w:hAnsi="Calibri"/>
          <w:sz w:val="22"/>
          <w:szCs w:val="22"/>
        </w:rPr>
      </w:r>
    </w:p>
    <w:p>
      <w:pPr>
        <w:pStyle w:val="Padro"/>
        <w:tabs>
          <w:tab w:val="left" w:pos="0" w:leader="none"/>
          <w:tab w:val="left" w:pos="708" w:leader="none"/>
        </w:tabs>
        <w:spacing w:lineRule="auto" w:line="300" w:before="0" w:after="0"/>
        <w:jc w:val="center"/>
        <w:rPr>
          <w:rFonts w:ascii="Calibri" w:hAnsi="Calibri" w:cs="Calibri"/>
          <w:sz w:val="22"/>
          <w:szCs w:val="22"/>
        </w:rPr>
      </w:pPr>
      <w:r>
        <w:rPr>
          <w:rFonts w:cs="Calibri" w:ascii="Calibri" w:hAnsi="Calibri"/>
          <w:sz w:val="22"/>
          <w:szCs w:val="22"/>
          <w:lang w:val="en-US" w:eastAsia="en-US"/>
        </w:rPr>
        <w:drawing>
          <wp:inline distT="0" distB="0" distL="0" distR="0">
            <wp:extent cx="3861435" cy="2431415"/>
            <wp:effectExtent l="0" t="0" r="0" b="0"/>
            <wp:docPr id="1" name="Imagem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 title=""/>
                    <pic:cNvPicPr>
                      <a:picLocks noChangeAspect="1" noChangeArrowheads="1"/>
                    </pic:cNvPicPr>
                  </pic:nvPicPr>
                  <pic:blipFill>
                    <a:blip r:embed="rId4"/>
                    <a:srcRect l="-5" t="-7" r="-5" b="-7"/>
                    <a:stretch>
                      <a:fillRect/>
                    </a:stretch>
                  </pic:blipFill>
                  <pic:spPr bwMode="auto">
                    <a:xfrm>
                      <a:off x="0" y="0"/>
                      <a:ext cx="3861435" cy="2431415"/>
                    </a:xfrm>
                    <a:prstGeom prst="rect">
                      <a:avLst/>
                    </a:prstGeom>
                  </pic:spPr>
                </pic:pic>
              </a:graphicData>
            </a:graphic>
          </wp:inline>
        </w:drawing>
      </w:r>
    </w:p>
    <w:p>
      <w:pPr>
        <w:pStyle w:val="Padro"/>
        <w:tabs>
          <w:tab w:val="left" w:pos="0" w:leader="none"/>
          <w:tab w:val="left" w:pos="708" w:leader="none"/>
        </w:tabs>
        <w:spacing w:lineRule="auto" w:line="300" w:before="0" w:after="0"/>
        <w:jc w:val="both"/>
        <w:rPr>
          <w:rFonts w:ascii="Calibri" w:hAnsi="Calibri" w:cs="Calibri"/>
          <w:sz w:val="22"/>
          <w:szCs w:val="22"/>
        </w:rPr>
      </w:pPr>
      <w:r>
        <w:rPr>
          <w:rFonts w:cs="Calibri" w:ascii="Calibri" w:hAnsi="Calibri"/>
          <w:sz w:val="22"/>
          <w:szCs w:val="22"/>
        </w:rPr>
      </w:r>
    </w:p>
    <w:p>
      <w:pPr>
        <w:pStyle w:val="Normal"/>
        <w:spacing w:lineRule="auto" w:line="300"/>
        <w:rPr>
          <w:rFonts w:cs="Calibri"/>
          <w:lang w:val="pt-BR"/>
        </w:rPr>
      </w:pPr>
      <w:r>
        <w:rPr>
          <w:rFonts w:eastAsia="Times New Roman" w:cs="Calibri"/>
          <w:b/>
          <w:bCs/>
          <w:lang w:val="pt-BR"/>
        </w:rPr>
        <w:t>2.1 – Da abusividade manifesta da taxa de juros</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Com efeito, a análise pormenorizada do instrumento contratual revela, de forma inconteste, que foi estipulada taxa de juros remuneratórios de </w:t>
      </w:r>
      <w:r>
        <w:rPr>
          <w:rFonts w:eastAsia="Times New Roman" w:cs="Calibri"/>
          <w:b/>
          <w:bCs/>
          <w:lang w:val="pt-BR"/>
        </w:rPr>
        <w:t>19,15% ao mês</w:t>
      </w:r>
      <w:r>
        <w:rPr>
          <w:rFonts w:eastAsia="Times New Roman" w:cs="Calibri"/>
          <w:lang w:val="pt-BR"/>
        </w:rPr>
        <w:t xml:space="preserve"> </w:t>
      </w:r>
      <w:r>
        <w:rPr>
          <w:rFonts w:eastAsia="Times New Roman" w:cs="Calibri"/>
          <w:b/>
          <w:bCs/>
          <w:lang w:val="pt-BR"/>
        </w:rPr>
        <w:t>(dezenove vírgula quinze por cento)</w:t>
      </w:r>
      <w:r>
        <w:rPr>
          <w:rFonts w:eastAsia="Times New Roman" w:cs="Calibri"/>
          <w:lang w:val="pt-BR"/>
        </w:rPr>
        <w:t xml:space="preserve">, o que corresponde à </w:t>
      </w:r>
      <w:r>
        <w:rPr>
          <w:rFonts w:eastAsia="Times New Roman" w:cs="Calibri"/>
          <w:b/>
          <w:bCs/>
          <w:i/>
          <w:iCs/>
          <w:lang w:val="pt-BR"/>
        </w:rPr>
        <w:t>estarrecedora taxa anual de 718,71%</w:t>
      </w:r>
      <w:r>
        <w:rPr>
          <w:rFonts w:eastAsia="Times New Roman" w:cs="Calibri"/>
          <w:lang w:val="pt-BR"/>
        </w:rPr>
        <w:t xml:space="preserve"> </w:t>
      </w:r>
      <w:r>
        <w:rPr>
          <w:rFonts w:eastAsia="Times New Roman" w:cs="Calibri"/>
          <w:b/>
          <w:bCs/>
          <w:lang w:val="pt-BR"/>
        </w:rPr>
        <w:t>(setecentos e dezoito vírgula setenta e um por cento)</w:t>
      </w:r>
      <w:r>
        <w:rPr>
          <w:rFonts w:eastAsia="Times New Roman" w:cs="Calibri"/>
          <w:lang w:val="pt-BR"/>
        </w:rPr>
        <w:t>, conforme expressamente demonstrado no contrato anexado — dado que, por si só, já revela a dimensão da abusividade praticada pela instituição requerida.</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Para que se tenha a exata noção da desproporcionalidade ora denunciada, cumpre registrar que a consulta às tabelas oficiais divulgadas pelo Banco Central do Brasil, referentes à taxa média de juros praticada pelo mercado financeiro no período da contratação — novembro de 2025 —, evidencia que, para a modalidade </w:t>
      </w:r>
      <w:r>
        <w:rPr>
          <w:rFonts w:eastAsia="Times New Roman" w:cs="Calibri"/>
          <w:i/>
          <w:iCs/>
          <w:lang w:val="pt-BR"/>
        </w:rPr>
        <w:t>crédito pessoal não consignado</w:t>
      </w:r>
      <w:r>
        <w:rPr>
          <w:rFonts w:eastAsia="Times New Roman" w:cs="Calibri"/>
          <w:lang w:val="pt-BR"/>
        </w:rPr>
        <w:t xml:space="preserve">, a taxa média praticada era de </w:t>
      </w:r>
      <w:r>
        <w:rPr>
          <w:rFonts w:eastAsia="Times New Roman" w:cs="Calibri"/>
          <w:b/>
          <w:bCs/>
          <w:lang w:val="pt-BR"/>
        </w:rPr>
        <w:t>6,44% ao mês</w:t>
      </w:r>
      <w:r>
        <w:rPr>
          <w:rFonts w:eastAsia="Times New Roman" w:cs="Calibri"/>
          <w:lang w:val="pt-BR"/>
        </w:rPr>
        <w:t xml:space="preserve"> e </w:t>
      </w:r>
      <w:r>
        <w:rPr>
          <w:rFonts w:eastAsia="Times New Roman" w:cs="Calibri"/>
          <w:b/>
          <w:bCs/>
          <w:lang w:val="pt-BR"/>
        </w:rPr>
        <w:t>111,49% ao ano</w:t>
      </w:r>
      <w:r>
        <w:rPr>
          <w:rFonts w:eastAsia="Times New Roman" w:cs="Calibri"/>
          <w:lang w:val="pt-BR"/>
        </w:rPr>
        <w:t>, consoante documentos comprobatórios ora acostados aos autos.</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Para fins de absoluta comprovação e transparência, destaca-se que os referidos dados podem ser facilmente verificados no portal eletrônico do Banco Central do Brasil </w:t>
      </w:r>
      <w:r>
        <w:rPr>
          <w:rFonts w:eastAsia="Times New Roman" w:cs="Calibri"/>
          <w:i/>
          <w:iCs/>
          <w:lang w:val="pt-BR"/>
        </w:rPr>
        <w:t>(www.bcb.gov.br)</w:t>
      </w:r>
      <w:r>
        <w:rPr>
          <w:rFonts w:eastAsia="Times New Roman" w:cs="Calibri"/>
          <w:lang w:val="pt-BR"/>
        </w:rPr>
        <w:t xml:space="preserve">, mediante consulta aos códigos estatísticos </w:t>
      </w:r>
      <w:r>
        <w:rPr>
          <w:rFonts w:eastAsia="Times New Roman" w:cs="Calibri"/>
          <w:b/>
          <w:bCs/>
          <w:lang w:val="pt-BR"/>
        </w:rPr>
        <w:t>25464</w:t>
      </w:r>
      <w:r>
        <w:rPr>
          <w:rFonts w:eastAsia="Times New Roman" w:cs="Calibri"/>
          <w:lang w:val="pt-BR"/>
        </w:rPr>
        <w:t xml:space="preserve"> (taxa média mensal) e </w:t>
      </w:r>
      <w:r>
        <w:rPr>
          <w:rFonts w:eastAsia="Times New Roman" w:cs="Calibri"/>
          <w:b/>
          <w:bCs/>
          <w:lang w:val="pt-BR"/>
        </w:rPr>
        <w:t>20742</w:t>
      </w:r>
      <w:r>
        <w:rPr>
          <w:rFonts w:eastAsia="Times New Roman" w:cs="Calibri"/>
          <w:lang w:val="pt-BR"/>
        </w:rPr>
        <w:t xml:space="preserve"> (taxa média anual), tratando-se de dados públicos, oficiais e de acesso irrestrito, o que confere plena idoneidade e objetividade às informações ora apresentadas.</w:t>
      </w:r>
    </w:p>
    <w:p>
      <w:pPr>
        <w:pStyle w:val="Padro"/>
        <w:tabs>
          <w:tab w:val="left" w:pos="0" w:leader="none"/>
          <w:tab w:val="left" w:pos="708" w:leader="none"/>
        </w:tabs>
        <w:spacing w:lineRule="auto" w:line="300" w:before="0" w:after="0"/>
        <w:jc w:val="both"/>
        <w:rPr>
          <w:rFonts w:ascii="Calibri" w:hAnsi="Calibri" w:cs="Calibri"/>
          <w:sz w:val="22"/>
          <w:szCs w:val="22"/>
          <w:lang w:val="pt-BR"/>
        </w:rPr>
      </w:pPr>
      <w:r>
        <w:rPr>
          <w:rFonts w:cs="Calibri" w:ascii="Calibri" w:hAnsi="Calibri"/>
          <w:sz w:val="22"/>
          <w:szCs w:val="22"/>
          <w:lang w:val="pt-BR"/>
        </w:rPr>
      </w:r>
    </w:p>
    <w:p>
      <w:pPr>
        <w:pStyle w:val="Normal"/>
        <w:spacing w:lineRule="auto" w:line="300"/>
        <w:rPr>
          <w:rFonts w:cs="Calibri"/>
          <w:lang w:val="pt-BR"/>
        </w:rPr>
      </w:pPr>
      <w:r>
        <w:rPr>
          <w:rFonts w:eastAsia="Times New Roman" w:cs="Calibri"/>
          <w:b/>
          <w:bCs/>
          <w:lang w:val="pt-BR"/>
        </w:rPr>
        <w:t>2.2 – Do impacto concreto da abusividade no contrato</w:t>
      </w:r>
    </w:p>
    <w:p>
      <w:pPr>
        <w:pStyle w:val="Normal"/>
        <w:spacing w:lineRule="auto" w:line="300"/>
        <w:ind w:firstLine="720" w:end="0"/>
        <w:jc w:val="both"/>
        <w:rPr>
          <w:rFonts w:eastAsia="Times New Roman" w:cs="Calibri"/>
          <w:lang w:val="pt-BR"/>
        </w:rPr>
      </w:pPr>
      <w:r>
        <w:rPr>
          <w:rFonts w:eastAsia="Times New Roman" w:cs="Calibri"/>
          <w:lang w:val="pt-BR"/>
        </w:rPr>
      </w:r>
    </w:p>
    <w:p>
      <w:pPr>
        <w:pStyle w:val="Normal"/>
        <w:spacing w:lineRule="auto" w:line="300"/>
        <w:ind w:firstLine="1418" w:end="0"/>
        <w:jc w:val="both"/>
        <w:rPr>
          <w:rFonts w:cs="Calibri"/>
          <w:lang w:val="pt-BR"/>
        </w:rPr>
      </w:pPr>
      <w:r>
        <w:rPr>
          <w:rFonts w:eastAsia="Times New Roman" w:cs="Calibri"/>
          <w:lang w:val="pt-BR"/>
        </w:rPr>
        <w:t>A magnitude da abusividade praticada pela requerida se revela de forma inequívoca quando se procede à comparação entre os valores efetivamente cobrados e aqueles que resultariam da aplicação da taxa média de mercado.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Com efeito, caso fosse aplicada ao contrato em questão a taxa média de </w:t>
      </w:r>
      <w:r>
        <w:rPr>
          <w:rFonts w:eastAsia="Times New Roman" w:cs="Calibri"/>
          <w:b/>
          <w:bCs/>
          <w:lang w:val="pt-BR"/>
        </w:rPr>
        <w:t>6,44% ao mês</w:t>
      </w:r>
      <w:r>
        <w:rPr>
          <w:rFonts w:eastAsia="Times New Roman" w:cs="Calibri"/>
          <w:lang w:val="pt-BR"/>
        </w:rPr>
        <w:t xml:space="preserve">, conforme parâmetro oficial do Banco Central do Brasil, o valor correto de cada parcela mensal corresponderia a </w:t>
      </w:r>
      <w:r>
        <w:rPr>
          <w:rFonts w:eastAsia="Times New Roman" w:cs="Calibri"/>
          <w:b/>
          <w:bCs/>
          <w:lang w:val="pt-BR"/>
        </w:rPr>
        <w:t>R$ 92,97 (noventa e dois reais e noventa e sete centavos)</w:t>
      </w:r>
      <w:r>
        <w:rPr>
          <w:rFonts w:eastAsia="Times New Roman" w:cs="Calibri"/>
          <w:lang w:val="pt-BR"/>
        </w:rPr>
        <w:t xml:space="preserve">, e o montante total a ser pago ao final do financiamento seria de </w:t>
      </w:r>
      <w:r>
        <w:rPr>
          <w:rFonts w:eastAsia="Times New Roman" w:cs="Calibri"/>
          <w:b/>
          <w:bCs/>
          <w:lang w:val="pt-BR"/>
        </w:rPr>
        <w:t>R$ 1.673,46</w:t>
      </w:r>
      <w:r>
        <w:rPr>
          <w:rFonts w:eastAsia="Times New Roman" w:cs="Calibri"/>
          <w:lang w:val="pt-BR"/>
        </w:rPr>
        <w:t xml:space="preserve"> </w:t>
      </w:r>
      <w:r>
        <w:rPr>
          <w:rFonts w:eastAsia="Times New Roman" w:cs="Calibri"/>
          <w:b/>
          <w:bCs/>
          <w:lang w:val="pt-BR"/>
        </w:rPr>
        <w:t>(um mil, seiscentos e setenta e três reais e quarenta e seis centavos)</w:t>
      </w:r>
      <w:r>
        <w:rPr>
          <w:rFonts w:eastAsia="Times New Roman" w:cs="Calibri"/>
          <w:lang w:val="pt-BR"/>
        </w:rPr>
        <w:t>, conforme demonstrado no parecer técnico e nos cálculos detalhados que instruem a presente.</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Todavia, em razão da taxa de juros abusiva imposta pela requerida, a parte autora está sendo compelida a desembolsar o valor total de </w:t>
      </w:r>
      <w:r>
        <w:rPr>
          <w:rFonts w:eastAsia="Times New Roman" w:cs="Calibri"/>
          <w:b/>
          <w:bCs/>
          <w:lang w:val="pt-BR"/>
        </w:rPr>
        <w:t>R$ 3.096,72</w:t>
      </w:r>
      <w:r>
        <w:rPr>
          <w:rFonts w:eastAsia="Times New Roman" w:cs="Calibri"/>
          <w:lang w:val="pt-BR"/>
        </w:rPr>
        <w:t xml:space="preserve">, importando em uma diferença de </w:t>
      </w:r>
      <w:r>
        <w:rPr>
          <w:rFonts w:eastAsia="Times New Roman" w:cs="Calibri"/>
          <w:b/>
          <w:bCs/>
          <w:lang w:val="pt-BR"/>
        </w:rPr>
        <w:t xml:space="preserve">R$ 1.423,26 (um mil, quatrocentos e vinte e três reais e vinte e seis centavos) </w:t>
      </w:r>
      <w:r>
        <w:rPr>
          <w:rFonts w:eastAsia="Times New Roman" w:cs="Calibri"/>
          <w:lang w:val="pt-BR"/>
        </w:rPr>
        <w:t xml:space="preserve">em desfavor da consumidora — quantia esta que representa </w:t>
      </w:r>
      <w:r>
        <w:rPr>
          <w:rFonts w:eastAsia="Times New Roman" w:cs="Calibri"/>
          <w:b/>
          <w:bCs/>
          <w:lang w:val="pt-BR"/>
        </w:rPr>
        <w:t>quase o dobro do valor efetivamente contratado</w:t>
      </w:r>
      <w:r>
        <w:rPr>
          <w:rFonts w:eastAsia="Times New Roman" w:cs="Calibri"/>
          <w:lang w:val="pt-BR"/>
        </w:rPr>
        <w:t xml:space="preserve"> e que se constitui em verdadeiro enriquecimento ilícito da instituição financeira.</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Merece especial relevo o fato de que a taxa de juros aplicada pelo requerido </w:t>
      </w:r>
      <w:r>
        <w:rPr>
          <w:rFonts w:eastAsia="Times New Roman" w:cs="Calibri"/>
          <w:b/>
          <w:bCs/>
          <w:lang w:val="pt-BR"/>
        </w:rPr>
        <w:t>(19,15% a.m.)</w:t>
      </w:r>
      <w:r>
        <w:rPr>
          <w:rFonts w:eastAsia="Times New Roman" w:cs="Calibri"/>
          <w:lang w:val="pt-BR"/>
        </w:rPr>
        <w:t xml:space="preserve"> é aproximadamente </w:t>
      </w:r>
      <w:r>
        <w:rPr>
          <w:rFonts w:eastAsia="Times New Roman" w:cs="Calibri"/>
          <w:b/>
          <w:bCs/>
          <w:lang w:val="pt-BR"/>
        </w:rPr>
        <w:t>2,97 (dois virgula noventa e sete) vezes superior</w:t>
      </w:r>
      <w:r>
        <w:rPr>
          <w:rFonts w:eastAsia="Times New Roman" w:cs="Calibri"/>
          <w:lang w:val="pt-BR"/>
        </w:rPr>
        <w:t xml:space="preserve"> </w:t>
      </w:r>
      <w:r>
        <w:rPr>
          <w:rFonts w:eastAsia="Times New Roman" w:cs="Calibri"/>
          <w:b/>
          <w:bCs/>
          <w:lang w:val="pt-BR"/>
        </w:rPr>
        <w:t>à taxa média de mercado (6,44% a.m.)</w:t>
      </w:r>
      <w:r>
        <w:rPr>
          <w:rFonts w:eastAsia="Times New Roman" w:cs="Calibri"/>
          <w:lang w:val="pt-BR"/>
        </w:rPr>
        <w:t xml:space="preserve">, </w:t>
      </w:r>
      <w:r>
        <w:rPr>
          <w:rFonts w:eastAsia="Times New Roman" w:cs="Calibri"/>
          <w:b/>
          <w:bCs/>
          <w:lang w:val="pt-BR"/>
        </w:rPr>
        <w:t>representando uma diferença de 12,71 pontos percentuais</w:t>
      </w:r>
      <w:r>
        <w:rPr>
          <w:rFonts w:eastAsia="Times New Roman" w:cs="Calibri"/>
          <w:lang w:val="pt-BR"/>
        </w:rPr>
        <w:t>. Não se trata, portanto, de mera oscilação ou flutuação natural do mercado, mas de imposição unilateral de encargos que ultrapassam, em muito, qualquer parâmetro de razoabilidade, configurando abusividade que salta aos olhos e dispensa maiores esforços interpretativos.</w:t>
      </w:r>
    </w:p>
    <w:p>
      <w:pPr>
        <w:pStyle w:val="Normal"/>
        <w:spacing w:lineRule="auto" w:line="300"/>
        <w:rPr>
          <w:rFonts w:cs="Calibri"/>
          <w:lang w:val="pt-BR"/>
        </w:rPr>
      </w:pPr>
      <w:r>
        <w:rPr>
          <w:rFonts w:cs="Calibri"/>
          <w:lang w:val="pt-BR"/>
        </w:rPr>
      </w:r>
    </w:p>
    <w:p>
      <w:pPr>
        <w:pStyle w:val="Normal"/>
        <w:spacing w:lineRule="auto" w:line="300"/>
        <w:jc w:val="both"/>
        <w:rPr>
          <w:rFonts w:cs="Calibri"/>
          <w:lang w:val="pt-BR"/>
        </w:rPr>
      </w:pPr>
      <w:r>
        <w:rPr>
          <w:rFonts w:eastAsia="Times New Roman" w:cs="Calibri"/>
          <w:b/>
          <w:bCs/>
          <w:lang w:val="pt-BR"/>
        </w:rPr>
        <w:t>2.3 – Da violação aos princípios fundamentais do ordenamento jurídico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A conduta da instituição financeira requerida configura </w:t>
      </w:r>
      <w:r>
        <w:rPr>
          <w:rFonts w:eastAsia="Times New Roman" w:cs="Calibri"/>
          <w:b/>
          <w:bCs/>
          <w:lang w:val="pt-BR"/>
        </w:rPr>
        <w:t>flagrante violação ao princípio da boa-fé objetiva</w:t>
      </w:r>
      <w:r>
        <w:rPr>
          <w:rFonts w:eastAsia="Times New Roman" w:cs="Calibri"/>
          <w:lang w:val="pt-BR"/>
        </w:rPr>
        <w:t>, consagrado no art. 422 do Código Civil e elevado a princípio basilar das relações de consumo pelo art. 4º, inciso III, do Código de Defesa do Consumidor. A boa-fé objetiva impõe às partes contratantes deveres anexos de lealdade, transparência, informação e cooperação, que devem ser observados em todas as fases do negócio jurídico — desde as tratativas pré-contratuais até a execução e eventual extinção do contrato.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Ademais, a imposição de encargos manifestamente excessivos e desproporcionais desde a fase pré-contratual macula a própria essência do negócio jurídico, comprometendo sua </w:t>
      </w:r>
      <w:r>
        <w:rPr>
          <w:rFonts w:eastAsia="Times New Roman" w:cs="Calibri"/>
          <w:b/>
          <w:bCs/>
          <w:lang w:val="pt-BR"/>
        </w:rPr>
        <w:t>função social</w:t>
      </w:r>
      <w:r>
        <w:rPr>
          <w:rFonts w:eastAsia="Times New Roman" w:cs="Calibri"/>
          <w:lang w:val="pt-BR"/>
        </w:rPr>
        <w:t xml:space="preserve"> (art. 421 do Código Civil) e colocando a consumidora em situação de </w:t>
      </w:r>
      <w:r>
        <w:rPr>
          <w:rFonts w:eastAsia="Times New Roman" w:cs="Calibri"/>
          <w:b/>
          <w:bCs/>
          <w:lang w:val="pt-BR"/>
        </w:rPr>
        <w:t>manifesta desvantagem excessiva</w:t>
      </w:r>
      <w:r>
        <w:rPr>
          <w:rFonts w:eastAsia="Times New Roman" w:cs="Calibri"/>
          <w:lang w:val="pt-BR"/>
        </w:rPr>
        <w:t xml:space="preserve">, circunstância expressamente vedada pelo art. 51, inciso IV, do Código de Defesa do Consumidor, que comina de </w:t>
      </w:r>
      <w:r>
        <w:rPr>
          <w:rFonts w:eastAsia="Times New Roman" w:cs="Calibri"/>
          <w:b/>
          <w:bCs/>
          <w:lang w:val="pt-BR"/>
        </w:rPr>
        <w:t>nulidade de pleno direito</w:t>
      </w:r>
      <w:r>
        <w:rPr>
          <w:rFonts w:eastAsia="Times New Roman" w:cs="Calibri"/>
          <w:lang w:val="pt-BR"/>
        </w:rPr>
        <w:t xml:space="preserve"> as cláusulas contratuais que estabeleçam obrigações iníquas ou abusivas ao consumidor.</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Igualmente, resta configurada a </w:t>
      </w:r>
      <w:r>
        <w:rPr>
          <w:rFonts w:eastAsia="Times New Roman" w:cs="Calibri"/>
          <w:b/>
          <w:bCs/>
          <w:lang w:val="pt-BR"/>
        </w:rPr>
        <w:t>vedação ao enriquecimento sem causa</w:t>
      </w:r>
      <w:r>
        <w:rPr>
          <w:rFonts w:eastAsia="Times New Roman" w:cs="Calibri"/>
          <w:lang w:val="pt-BR"/>
        </w:rPr>
        <w:t xml:space="preserve"> (art. 884 do Código Civil), na medida em que a instituição financeira, ao cobrar juros quase cinco vezes superiores à média de mercado, aufere vantagem patrimonial indevida e desproporcional à custa do empobrecimento da parte autora, sem qualquer justificativa econômica ou contratual legítima que ampare tão gravosa oneração.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Cumpre rememorar, outrossim, que o Colendo Superior Tribunal de Justiça, no julgamento dos Recursos Especiais nº 1.061.530/RS e 1.112.879/PR, sob a sistemática dos recursos repetitivos, firmou o entendimento de que, </w:t>
      </w:r>
      <w:r>
        <w:rPr>
          <w:rFonts w:eastAsia="Times New Roman" w:cs="Calibri"/>
          <w:i/>
          <w:iCs/>
          <w:lang w:val="pt-BR"/>
        </w:rPr>
        <w:t>embora as instituições financeiras não estejam sujeitas a limitação fixa de juros, a cobrança que se revele manifestamente abusiva, em patamar substancialmente superior à taxa média de mercado divulgada pelo Banco Central, pode e deve ser revisada pelo Poder Judiciário</w:t>
      </w:r>
      <w:r>
        <w:rPr>
          <w:rFonts w:eastAsia="Times New Roman" w:cs="Calibri"/>
          <w:lang w:val="pt-BR"/>
        </w:rPr>
        <w:t>, em atenção aos princípios da equidade, da proporcionalidade e da proteção ao consumidor.</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No mesmo sentido, o entendimento consolidado na Súmula 382 do STJ, que preceitua que </w:t>
      </w:r>
      <w:r>
        <w:rPr>
          <w:rFonts w:eastAsia="Times New Roman" w:cs="Calibri"/>
          <w:i/>
          <w:iCs/>
          <w:lang w:val="pt-BR"/>
        </w:rPr>
        <w:t>“a estipulação de juros remuneratórios superiores a 12% ao ano, por si só, não indica abusividade”</w:t>
      </w:r>
      <w:r>
        <w:rPr>
          <w:rFonts w:eastAsia="Times New Roman" w:cs="Calibri"/>
          <w:lang w:val="pt-BR"/>
        </w:rPr>
        <w:t>, revela, por interpretação a contrário sensu, que a abusividade se configura quando os juros contratados se distanciam de forma substancial e injustificada da taxa média de mercado — exatamente o que se verifica na hipótese vertente, em que a taxa imposta supera a média em quase cinco vezes.</w:t>
      </w:r>
    </w:p>
    <w:p>
      <w:pPr>
        <w:pStyle w:val="Normal"/>
        <w:spacing w:lineRule="auto" w:line="300"/>
        <w:rPr>
          <w:rFonts w:cs="Calibri"/>
          <w:lang w:val="pt-BR"/>
        </w:rPr>
      </w:pPr>
      <w:r>
        <w:rPr>
          <w:rFonts w:cs="Calibri"/>
          <w:lang w:val="pt-BR"/>
        </w:rPr>
      </w:r>
    </w:p>
    <w:p>
      <w:pPr>
        <w:pStyle w:val="Normal"/>
        <w:spacing w:lineRule="auto" w:line="300"/>
        <w:rPr>
          <w:rFonts w:cs="Calibri"/>
          <w:lang w:val="pt-BR"/>
        </w:rPr>
      </w:pPr>
      <w:r>
        <w:rPr>
          <w:rFonts w:eastAsia="Times New Roman" w:cs="Calibri"/>
          <w:b/>
          <w:bCs/>
          <w:lang w:val="pt-BR"/>
        </w:rPr>
        <w:t>2.4 – Dos requerimentos decorrentes dos fatos narrados</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Diante de todo o exposto, e considerando a robustez dos elementos probatórios que instruem a presente, requer a parte autora que Vossa Excelência determine a </w:t>
      </w:r>
      <w:r>
        <w:rPr>
          <w:rFonts w:eastAsia="Times New Roman" w:cs="Calibri"/>
          <w:b/>
          <w:bCs/>
          <w:lang w:val="pt-BR"/>
        </w:rPr>
        <w:t>imediata revisão da taxa de juros remuneratórios</w:t>
      </w:r>
      <w:r>
        <w:rPr>
          <w:rFonts w:eastAsia="Times New Roman" w:cs="Calibri"/>
          <w:lang w:val="pt-BR"/>
        </w:rPr>
        <w:t xml:space="preserve"> aplicada ao contrato de empréstimo pessoal objeto da presente demanda, </w:t>
      </w:r>
      <w:r>
        <w:rPr>
          <w:rFonts w:eastAsia="Times New Roman" w:cs="Calibri"/>
          <w:b/>
          <w:bCs/>
          <w:lang w:val="pt-BR"/>
        </w:rPr>
        <w:t>reduzindo-a ao patamar da taxa média de mercado</w:t>
      </w:r>
      <w:r>
        <w:rPr>
          <w:rFonts w:eastAsia="Times New Roman" w:cs="Calibri"/>
          <w:lang w:val="pt-BR"/>
        </w:rPr>
        <w:t xml:space="preserve"> </w:t>
      </w:r>
      <w:r>
        <w:rPr>
          <w:rFonts w:eastAsia="Times New Roman" w:cs="Calibri"/>
          <w:b/>
          <w:bCs/>
          <w:lang w:val="pt-BR"/>
        </w:rPr>
        <w:t>vigente à época da contratação</w:t>
      </w:r>
      <w:r>
        <w:rPr>
          <w:rFonts w:eastAsia="Times New Roman" w:cs="Calibri"/>
          <w:lang w:val="pt-BR"/>
        </w:rPr>
        <w:t xml:space="preserve">, qual seja, </w:t>
      </w:r>
      <w:r>
        <w:rPr>
          <w:rFonts w:eastAsia="Times New Roman" w:cs="Calibri"/>
          <w:b/>
          <w:bCs/>
          <w:lang w:val="pt-BR"/>
        </w:rPr>
        <w:t>6,44% ao mês e 111,49% ao ano</w:t>
      </w:r>
      <w:r>
        <w:rPr>
          <w:rFonts w:eastAsia="Times New Roman" w:cs="Calibri"/>
          <w:lang w:val="pt-BR"/>
        </w:rPr>
        <w:t xml:space="preserve">, valores incontroversos porquanto amparados em dados oficiais do Banco Central do Brasil, com </w:t>
      </w:r>
      <w:r>
        <w:rPr>
          <w:rFonts w:cs="Calibri"/>
          <w:lang w:val="pt-BR"/>
        </w:rPr>
        <w:t>o</w:t>
      </w:r>
      <w:r>
        <w:rPr>
          <w:rFonts w:eastAsia="Times New Roman" w:cs="Calibri"/>
          <w:lang w:val="pt-BR"/>
        </w:rPr>
        <w:t xml:space="preserve"> consequente recalculo de todas as parcelas vincendas e a devida adequação do custo efetivo total do contrato.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Requer, ainda, que tal providência tenha por finalidade precípua </w:t>
      </w:r>
      <w:r>
        <w:rPr>
          <w:rFonts w:eastAsia="Times New Roman" w:cs="Calibri"/>
          <w:b/>
          <w:bCs/>
          <w:lang w:val="pt-BR"/>
        </w:rPr>
        <w:t>s</w:t>
      </w:r>
      <w:r>
        <w:rPr>
          <w:rFonts w:eastAsia="Times New Roman" w:cs="Calibri"/>
          <w:lang w:val="pt-BR"/>
        </w:rPr>
        <w:t>anar o flagrante desequilíbrio contratual ocasionado por conduta exclusiva da instituição financeira requerida, adequando o contrato aos parâmetros legais e aos princípios constitucionais e infraconstitucionais que regem as relações de consumo, notadamente a boa-fé objetiva, a função social do contrato, a equidade e a vedação ao enriquecimento sem causa.</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Por fim, cumpre informar que a parte requerente, em demonstração inequívoca de sua </w:t>
      </w:r>
      <w:r>
        <w:rPr>
          <w:rFonts w:eastAsia="Times New Roman" w:cs="Calibri"/>
          <w:b/>
          <w:bCs/>
          <w:lang w:val="pt-BR"/>
        </w:rPr>
        <w:t>boa-fé e lealdade processual</w:t>
      </w:r>
      <w:r>
        <w:rPr>
          <w:rFonts w:eastAsia="Times New Roman" w:cs="Calibri"/>
          <w:lang w:val="pt-BR"/>
        </w:rPr>
        <w:t xml:space="preserve">, continuará efetuando os pagamentos nos moldes atualmente exigidos pela instituição requerida, pugnando, contudo, ao final da presente demanda, pela </w:t>
      </w:r>
      <w:r>
        <w:rPr>
          <w:rFonts w:eastAsia="Times New Roman" w:cs="Calibri"/>
          <w:b/>
          <w:bCs/>
          <w:lang w:val="pt-BR"/>
        </w:rPr>
        <w:t>devolução simples dos valores pagos a maior</w:t>
      </w:r>
      <w:r>
        <w:rPr>
          <w:rFonts w:eastAsia="Times New Roman" w:cs="Calibri"/>
          <w:lang w:val="pt-BR"/>
        </w:rPr>
        <w:t>, devidamente corrigidos monetariamente pelo índice oficial aplicável e acrescidos de juros de mora desde cada desembolso indevido, após a devida apuração em fase de liquidação de sentença, nos termos do art. 509 e seguintes do Código de Processo Civil.</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Ante o quadro fático-jurídico acima delineado, não restam dúvidas de que a </w:t>
      </w:r>
      <w:r>
        <w:rPr>
          <w:rFonts w:cs="Calibri"/>
          <w:lang w:val="pt-BR"/>
        </w:rPr>
        <w:t>pretensão</w:t>
      </w:r>
      <w:r>
        <w:rPr>
          <w:rFonts w:eastAsia="Times New Roman" w:cs="Calibri"/>
          <w:lang w:val="pt-BR"/>
        </w:rPr>
        <w:t xml:space="preserve"> revisional ora deduzida encontra amparo no ordenamento jurídico pátrio, na jurisprudência dominante dos Tribunais Superiores e nos dados oficiais do Banco Central do Brasil, razão pela qual a procedência dos pedidos é medida que se impõe como imperativo de justiça.</w:t>
      </w:r>
    </w:p>
    <w:p>
      <w:pPr>
        <w:pStyle w:val="Padro"/>
        <w:tabs>
          <w:tab w:val="left" w:pos="0" w:leader="none"/>
          <w:tab w:val="left" w:pos="708" w:leader="none"/>
        </w:tabs>
        <w:spacing w:lineRule="auto" w:line="300" w:before="0" w:after="0"/>
        <w:ind w:firstLine="1418" w:end="0"/>
        <w:jc w:val="both"/>
        <w:rPr>
          <w:rFonts w:ascii="Calibri" w:hAnsi="Calibri" w:eastAsia="Verdana-Bold;Times New Roman" w:cs="Calibri"/>
          <w:color w:val="000000"/>
          <w:sz w:val="22"/>
          <w:szCs w:val="22"/>
          <w:lang w:val="pt-BR"/>
        </w:rPr>
      </w:pPr>
      <w:r>
        <w:rPr>
          <w:rFonts w:eastAsia="Verdana-Bold;Times New Roman" w:cs="Calibri" w:ascii="Calibri" w:hAnsi="Calibri"/>
          <w:color w:val="000000"/>
          <w:sz w:val="22"/>
          <w:szCs w:val="22"/>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center"/>
        <w:rPr>
          <w:rFonts w:cs="Calibri"/>
          <w:b/>
          <w:lang w:val="pt-BR"/>
        </w:rPr>
      </w:pPr>
      <w:r>
        <w:rPr>
          <w:rFonts w:cs="Calibri"/>
          <w:b/>
          <w:lang w:val="pt-BR"/>
        </w:rPr>
        <w:t>3 – DO DIREITO</w:t>
      </w:r>
    </w:p>
    <w:p>
      <w:pPr>
        <w:pStyle w:val="Normal"/>
        <w:spacing w:lineRule="auto" w:line="300"/>
        <w:ind w:firstLine="2268" w:start="-567" w:end="0"/>
        <w:jc w:val="both"/>
        <w:rPr>
          <w:rFonts w:cs="Calibri"/>
          <w:b/>
          <w:lang w:val="pt-BR"/>
        </w:rPr>
      </w:pPr>
      <w:r>
        <w:rPr>
          <w:rFonts w:cs="Calibri"/>
          <w:b/>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pPr>
      <w:r>
        <w:rPr>
          <w:rFonts w:cs="Calibri"/>
          <w:b/>
          <w:lang w:val="pt-BR"/>
        </w:rPr>
        <w:t>3.1 – DA RELAÇÃO DE CONSUMO E DA INCIDÊNCIA COGENTE DO CÓDIGO DE DEFESA DO CONSUMIDOR</w:t>
      </w:r>
    </w:p>
    <w:p>
      <w:pPr>
        <w:pStyle w:val="Normal"/>
        <w:spacing w:lineRule="auto" w:line="300"/>
        <w:jc w:val="both"/>
        <w:rPr>
          <w:rFonts w:cs="Calibri"/>
          <w:b/>
          <w:lang w:val="pt-BR"/>
        </w:rPr>
      </w:pPr>
      <w:r>
        <w:rPr>
          <w:rFonts w:cs="Calibri"/>
          <w:b/>
          <w:lang w:val="pt-BR"/>
        </w:rPr>
      </w:r>
    </w:p>
    <w:p>
      <w:pPr>
        <w:pStyle w:val="Normal"/>
        <w:spacing w:lineRule="auto" w:line="300"/>
        <w:ind w:firstLine="1418" w:end="0"/>
        <w:jc w:val="both"/>
        <w:rPr>
          <w:rFonts w:cs="Calibri"/>
          <w:lang w:val="pt-BR"/>
        </w:rPr>
      </w:pPr>
      <w:r>
        <w:rPr>
          <w:rFonts w:eastAsia="Times New Roman" w:cs="Calibri"/>
          <w:lang w:val="pt-BR"/>
        </w:rPr>
        <w:t xml:space="preserve">A presente demanda se insere, de forma inequívoca, no âmbito de uma </w:t>
      </w:r>
      <w:r>
        <w:rPr>
          <w:rFonts w:eastAsia="Times New Roman" w:cs="Calibri"/>
          <w:b/>
          <w:bCs/>
          <w:lang w:val="pt-BR"/>
        </w:rPr>
        <w:t>típica relação jurídica de consumo</w:t>
      </w:r>
      <w:r>
        <w:rPr>
          <w:rFonts w:eastAsia="Times New Roman" w:cs="Calibri"/>
          <w:lang w:val="pt-BR"/>
        </w:rPr>
        <w:t xml:space="preserve">, razão pela qual a incidência do Código de Defesa do Consumidor (Lei nº 8.078/90) não constitui mera faculdade interpretativa, mas </w:t>
      </w:r>
      <w:r>
        <w:rPr>
          <w:rFonts w:eastAsia="Times New Roman" w:cs="Calibri"/>
          <w:b/>
          <w:bCs/>
          <w:lang w:val="pt-BR"/>
        </w:rPr>
        <w:t>imperativo normativo de ordem pública e interesse social</w:t>
      </w:r>
      <w:r>
        <w:rPr>
          <w:rFonts w:eastAsia="Times New Roman" w:cs="Calibri"/>
          <w:lang w:val="pt-BR"/>
        </w:rPr>
        <w:t>, nos exatos termos do art. 1º do referido diploma legal, que dispõe expressamente sobre a natureza cogente de suas normas, cuja aplicação independe da vontade das partes contratantes.</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Com efeito, a controvérsia sub judice tem origem em operação de crédito celebrada entre pessoa física, na condição de destinatária final do serviço, e instituição financeira que atua profissionalmente no mercado de intermediação de crédito, enquadrando-se, portanto, no conceito de </w:t>
      </w:r>
      <w:r>
        <w:rPr>
          <w:rFonts w:eastAsia="Times New Roman" w:cs="Calibri"/>
          <w:b/>
          <w:bCs/>
          <w:lang w:val="pt-BR"/>
        </w:rPr>
        <w:t>prestação de serviço de natureza bancária, financeira e de crédito</w:t>
      </w:r>
      <w:r>
        <w:rPr>
          <w:rFonts w:eastAsia="Times New Roman" w:cs="Calibri"/>
          <w:lang w:val="pt-BR"/>
        </w:rPr>
        <w:t>, expressamente previsto no art. 3º, §2º, do Código de Defesa do Consumidor — circunstância que atrai, de forma automática e inafastável, a incidência integral do microssistema consumerista.</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A matéria, aliás, sequer comporta discussão, porquanto definitivamente pacificada pelo Colendo </w:t>
      </w:r>
      <w:r>
        <w:rPr>
          <w:rFonts w:eastAsia="Times New Roman" w:cs="Calibri"/>
          <w:b/>
          <w:bCs/>
          <w:lang w:val="pt-BR"/>
        </w:rPr>
        <w:t>Superior Tribunal de Justiça</w:t>
      </w:r>
      <w:r>
        <w:rPr>
          <w:rFonts w:eastAsia="Times New Roman" w:cs="Calibri"/>
          <w:lang w:val="pt-BR"/>
        </w:rPr>
        <w:t xml:space="preserve">, que, após reiterados pronunciamentos, consolidou o entendimento por meio da </w:t>
      </w:r>
      <w:r>
        <w:rPr>
          <w:rFonts w:eastAsia="Times New Roman" w:cs="Calibri"/>
          <w:b/>
          <w:bCs/>
          <w:lang w:val="pt-BR"/>
        </w:rPr>
        <w:t>Súmula nº 297</w:t>
      </w:r>
      <w:r>
        <w:rPr>
          <w:rFonts w:eastAsia="Times New Roman" w:cs="Calibri"/>
          <w:lang w:val="pt-BR"/>
        </w:rPr>
        <w:t>:</w:t>
      </w:r>
    </w:p>
    <w:p>
      <w:pPr>
        <w:pStyle w:val="Normal"/>
        <w:spacing w:lineRule="auto" w:line="300"/>
        <w:jc w:val="both"/>
        <w:rPr>
          <w:rFonts w:cs="Calibri"/>
          <w:bCs/>
          <w:lang w:val="pt-BR"/>
        </w:rPr>
      </w:pPr>
      <w:r>
        <w:rPr>
          <w:rFonts w:cs="Calibri"/>
          <w:bCs/>
          <w:lang w:val="pt-BR"/>
        </w:rPr>
      </w:r>
    </w:p>
    <w:p>
      <w:pPr>
        <w:pStyle w:val="Normal"/>
        <w:numPr>
          <w:ilvl w:val="0"/>
          <w:numId w:val="0"/>
        </w:numPr>
        <w:shd w:fill="FFFFFF" w:val="clear"/>
        <w:spacing w:lineRule="auto" w:line="240"/>
        <w:ind w:start="2268" w:end="0"/>
        <w:jc w:val="both"/>
        <w:outlineLvl w:val="0"/>
        <w:rPr>
          <w:rFonts w:cs="Calibri"/>
          <w:kern w:val="2"/>
          <w:sz w:val="20"/>
          <w:szCs w:val="20"/>
          <w:lang w:val="pt-BR"/>
        </w:rPr>
      </w:pPr>
      <w:r>
        <w:rPr>
          <w:rFonts w:cs="Calibri"/>
          <w:kern w:val="2"/>
          <w:sz w:val="20"/>
          <w:szCs w:val="20"/>
          <w:lang w:val="pt-BR"/>
        </w:rPr>
        <w:t xml:space="preserve">STJ - Súmula 297 </w:t>
      </w:r>
      <w:r>
        <w:rPr>
          <w:rFonts w:cs="Calibri"/>
          <w:sz w:val="20"/>
          <w:szCs w:val="20"/>
          <w:shd w:fill="FFFFFF" w:val="clear"/>
          <w:lang w:val="pt-BR"/>
        </w:rPr>
        <w:t>O Código de Defesa do Consumidor é aplicável as instituições financeiras.</w:t>
      </w:r>
    </w:p>
    <w:p>
      <w:pPr>
        <w:pStyle w:val="Normal"/>
        <w:spacing w:lineRule="auto" w:line="300"/>
        <w:jc w:val="both"/>
        <w:rPr>
          <w:rFonts w:cs="Calibri"/>
          <w:kern w:val="2"/>
          <w:sz w:val="20"/>
          <w:szCs w:val="20"/>
          <w:lang w:val="pt-BR"/>
        </w:rPr>
      </w:pPr>
      <w:r>
        <w:rPr>
          <w:rFonts w:cs="Calibri"/>
          <w:kern w:val="2"/>
          <w:sz w:val="20"/>
          <w:szCs w:val="20"/>
          <w:lang w:val="pt-BR"/>
        </w:rPr>
      </w:r>
    </w:p>
    <w:p>
      <w:pPr>
        <w:pStyle w:val="Normal"/>
        <w:spacing w:lineRule="auto" w:line="300"/>
        <w:ind w:firstLine="1418" w:end="0"/>
        <w:jc w:val="both"/>
        <w:rPr>
          <w:rFonts w:cs="Calibri"/>
          <w:lang w:val="pt-BR"/>
        </w:rPr>
      </w:pPr>
      <w:r>
        <w:rPr>
          <w:rFonts w:eastAsia="Times New Roman" w:cs="Calibri"/>
          <w:lang w:val="pt-BR"/>
        </w:rPr>
        <w:t xml:space="preserve">Estão presentes, no caso vertente, </w:t>
      </w:r>
      <w:r>
        <w:rPr>
          <w:rFonts w:eastAsia="Times New Roman" w:cs="Calibri"/>
          <w:b/>
          <w:bCs/>
          <w:lang w:val="pt-BR"/>
        </w:rPr>
        <w:t>todos os elementos essenciais</w:t>
      </w:r>
      <w:r>
        <w:rPr>
          <w:rFonts w:eastAsia="Times New Roman" w:cs="Calibri"/>
          <w:lang w:val="pt-BR"/>
        </w:rPr>
        <w:t xml:space="preserve"> que caracterizam a relação jurídica de consumo, a saber:</w:t>
      </w:r>
    </w:p>
    <w:p>
      <w:pPr>
        <w:pStyle w:val="Normal"/>
        <w:spacing w:lineRule="auto" w:line="300"/>
        <w:ind w:firstLine="720" w:end="0"/>
        <w:jc w:val="both"/>
        <w:rPr>
          <w:rFonts w:cs="Calibri"/>
          <w:b/>
          <w:bCs/>
          <w:lang w:val="pt-BR"/>
        </w:rPr>
      </w:pPr>
      <w:r>
        <w:rPr>
          <w:rFonts w:cs="Calibri"/>
          <w:b/>
          <w:bCs/>
          <w:lang w:val="pt-BR"/>
        </w:rPr>
      </w:r>
    </w:p>
    <w:p>
      <w:pPr>
        <w:pStyle w:val="Normal"/>
        <w:spacing w:lineRule="auto" w:line="300"/>
        <w:ind w:firstLine="1418" w:end="0"/>
        <w:jc w:val="both"/>
        <w:rPr>
          <w:rFonts w:cs="Calibri"/>
          <w:lang w:val="pt-BR"/>
        </w:rPr>
      </w:pPr>
      <w:r>
        <w:rPr>
          <w:rFonts w:eastAsia="Times New Roman" w:cs="Calibri"/>
          <w:b/>
          <w:bCs/>
          <w:lang w:val="pt-BR"/>
        </w:rPr>
        <w:t>a) Consumidor</w:t>
      </w:r>
      <w:r>
        <w:rPr>
          <w:rFonts w:eastAsia="Times New Roman" w:cs="Calibri"/>
          <w:lang w:val="pt-BR"/>
        </w:rPr>
        <w:t xml:space="preserve"> – A parte requerente se qualifica como consumidora na acepção do art. 2º do CDC, na medida em que contratou o empréstimo pessoal como destinatária final fática e econômica do serviço financeiro, sem qualquer intuito de repasse ou intermediação, utilizando o crédito para satisfação de necessidade pessoal. Nos termos do referido dispositivo:</w:t>
      </w:r>
    </w:p>
    <w:p>
      <w:pPr>
        <w:pStyle w:val="Normal"/>
        <w:spacing w:lineRule="auto" w:line="300"/>
        <w:ind w:start="2268" w:end="0"/>
        <w:jc w:val="both"/>
        <w:rPr>
          <w:rFonts w:cs="Calibri"/>
          <w:b/>
          <w:bCs/>
          <w:i/>
          <w:i/>
          <w:iCs/>
          <w:lang w:val="pt-BR"/>
        </w:rPr>
      </w:pPr>
      <w:r>
        <w:rPr>
          <w:rFonts w:cs="Calibri"/>
          <w:b/>
          <w:bCs/>
          <w:i/>
          <w:iCs/>
          <w:lang w:val="pt-BR"/>
        </w:rPr>
      </w:r>
    </w:p>
    <w:p>
      <w:pPr>
        <w:pStyle w:val="Normal"/>
        <w:spacing w:lineRule="auto" w:line="240"/>
        <w:ind w:start="2268" w:end="0"/>
        <w:jc w:val="both"/>
        <w:rPr>
          <w:rFonts w:cs="Calibri"/>
          <w:sz w:val="20"/>
          <w:szCs w:val="20"/>
          <w:lang w:val="pt-BR"/>
        </w:rPr>
      </w:pPr>
      <w:r>
        <w:rPr>
          <w:rFonts w:eastAsia="Times New Roman" w:cs="Calibri"/>
          <w:b/>
          <w:bCs/>
          <w:sz w:val="20"/>
          <w:szCs w:val="20"/>
          <w:lang w:val="pt-BR"/>
        </w:rPr>
        <w:t>“Art. 2º. Consumidor é toda pessoa física ou jurídica que adquire ou utiliza produto ou serviço como destinatário final.”</w:t>
      </w:r>
    </w:p>
    <w:p>
      <w:pPr>
        <w:pStyle w:val="Normal"/>
        <w:spacing w:lineRule="auto" w:line="300"/>
        <w:ind w:firstLine="720" w:end="0"/>
        <w:jc w:val="both"/>
        <w:rPr>
          <w:rFonts w:cs="Calibri"/>
          <w:b/>
          <w:bCs/>
          <w:sz w:val="20"/>
          <w:szCs w:val="20"/>
          <w:lang w:val="pt-BR"/>
        </w:rPr>
      </w:pPr>
      <w:r>
        <w:rPr>
          <w:rFonts w:cs="Calibri"/>
          <w:b/>
          <w:bCs/>
          <w:sz w:val="20"/>
          <w:szCs w:val="20"/>
          <w:lang w:val="pt-BR"/>
        </w:rPr>
      </w:r>
    </w:p>
    <w:p>
      <w:pPr>
        <w:pStyle w:val="Normal"/>
        <w:spacing w:lineRule="auto" w:line="300"/>
        <w:ind w:firstLine="1418" w:end="0"/>
        <w:jc w:val="both"/>
        <w:rPr>
          <w:rFonts w:cs="Calibri"/>
          <w:lang w:val="pt-BR"/>
        </w:rPr>
      </w:pPr>
      <w:r>
        <w:rPr>
          <w:rFonts w:eastAsia="Times New Roman" w:cs="Calibri"/>
          <w:b/>
          <w:bCs/>
          <w:lang w:val="pt-BR"/>
        </w:rPr>
        <w:t>b) Fornecedor</w:t>
      </w:r>
      <w:r>
        <w:rPr>
          <w:rFonts w:eastAsia="Times New Roman" w:cs="Calibri"/>
          <w:lang w:val="pt-BR"/>
        </w:rPr>
        <w:t xml:space="preserve"> – O banco requerido se enquadra, sem margem para dúvida, no conceito de fornecedor estampado no art. 3º, caput, do CDC, porquanto desenvolve, de forma habitual, profissional e mediante remuneração, atividade de concessão de crédito e intermediação financeira no mercado de consumo:</w:t>
      </w:r>
    </w:p>
    <w:p>
      <w:pPr>
        <w:pStyle w:val="Normal"/>
        <w:spacing w:lineRule="auto" w:line="300"/>
        <w:ind w:start="2268" w:end="0"/>
        <w:jc w:val="both"/>
        <w:rPr>
          <w:rFonts w:cs="Calibri"/>
          <w:i/>
          <w:i/>
          <w:iCs/>
          <w:lang w:val="pt-BR"/>
        </w:rPr>
      </w:pPr>
      <w:r>
        <w:rPr>
          <w:rFonts w:cs="Calibri"/>
          <w:i/>
          <w:iCs/>
          <w:lang w:val="pt-BR"/>
        </w:rPr>
      </w:r>
    </w:p>
    <w:p>
      <w:pPr>
        <w:pStyle w:val="Normal"/>
        <w:spacing w:lineRule="auto" w:line="240"/>
        <w:ind w:start="2268" w:end="0"/>
        <w:jc w:val="both"/>
        <w:rPr>
          <w:rFonts w:cs="Calibri"/>
          <w:sz w:val="20"/>
          <w:szCs w:val="20"/>
          <w:lang w:val="pt-BR"/>
        </w:rPr>
      </w:pPr>
      <w:r>
        <w:rPr>
          <w:rFonts w:eastAsia="Times New Roman" w:cs="Calibri"/>
          <w:sz w:val="20"/>
          <w:szCs w:val="20"/>
          <w:lang w:val="pt-BR"/>
        </w:rPr>
        <w:t>“Art. 3º. Fornecedor é toda pessoa física ou jurídica, pública ou privada, nacional ou estrangeira, bem como os entes despersonalizados, que desenvolvem atividade de produção, montagem, criação, construção, transformação, importação, exportação, distribuição ou comercialização de produtos ou prestação de serviços.”</w:t>
      </w:r>
    </w:p>
    <w:p>
      <w:pPr>
        <w:pStyle w:val="Normal"/>
        <w:spacing w:lineRule="auto" w:line="300"/>
        <w:ind w:firstLine="720" w:end="0"/>
        <w:jc w:val="both"/>
        <w:rPr>
          <w:rFonts w:cs="Calibri"/>
          <w:b/>
          <w:bCs/>
          <w:sz w:val="20"/>
          <w:szCs w:val="20"/>
          <w:lang w:val="pt-BR"/>
        </w:rPr>
      </w:pPr>
      <w:r>
        <w:rPr>
          <w:rFonts w:cs="Calibri"/>
          <w:b/>
          <w:bCs/>
          <w:sz w:val="20"/>
          <w:szCs w:val="20"/>
          <w:lang w:val="pt-BR"/>
        </w:rPr>
      </w:r>
    </w:p>
    <w:p>
      <w:pPr>
        <w:pStyle w:val="Normal"/>
        <w:spacing w:lineRule="auto" w:line="300"/>
        <w:ind w:firstLine="1418" w:end="0"/>
        <w:jc w:val="both"/>
        <w:rPr>
          <w:rFonts w:cs="Calibri"/>
          <w:lang w:val="pt-BR"/>
        </w:rPr>
      </w:pPr>
      <w:r>
        <w:rPr>
          <w:rFonts w:eastAsia="Times New Roman" w:cs="Calibri"/>
          <w:b/>
          <w:bCs/>
          <w:lang w:val="pt-BR"/>
        </w:rPr>
        <w:t>c) Serviço de natureza financeira</w:t>
      </w:r>
      <w:r>
        <w:rPr>
          <w:rFonts w:eastAsia="Times New Roman" w:cs="Calibri"/>
          <w:lang w:val="pt-BR"/>
        </w:rPr>
        <w:t xml:space="preserve"> – O próprio legislador, antevendo eventuais resistências do setor bancário, fez questão de incluir, de forma expressa e taxativa, as atividades bancárias, financeiras, de crédito e securitárias no conceito de serviço, nos termos do art. 3º, §2º, do CDC:</w:t>
      </w:r>
    </w:p>
    <w:p>
      <w:pPr>
        <w:pStyle w:val="Normal"/>
        <w:spacing w:lineRule="auto" w:line="300"/>
        <w:ind w:start="2268" w:end="0"/>
        <w:jc w:val="both"/>
        <w:rPr>
          <w:rFonts w:cs="Calibri"/>
          <w:i/>
          <w:i/>
          <w:iCs/>
          <w:lang w:val="pt-BR"/>
        </w:rPr>
      </w:pPr>
      <w:r>
        <w:rPr>
          <w:rFonts w:cs="Calibri"/>
          <w:i/>
          <w:iCs/>
          <w:lang w:val="pt-BR"/>
        </w:rPr>
      </w:r>
    </w:p>
    <w:p>
      <w:pPr>
        <w:pStyle w:val="Normal"/>
        <w:spacing w:lineRule="auto" w:line="240"/>
        <w:ind w:start="2268" w:end="0"/>
        <w:jc w:val="both"/>
        <w:rPr>
          <w:rFonts w:cs="Calibri"/>
          <w:sz w:val="20"/>
          <w:szCs w:val="20"/>
          <w:lang w:val="pt-BR"/>
        </w:rPr>
      </w:pPr>
      <w:r>
        <w:rPr>
          <w:rFonts w:eastAsia="Times New Roman" w:cs="Calibri"/>
          <w:sz w:val="20"/>
          <w:szCs w:val="20"/>
          <w:lang w:val="pt-BR"/>
        </w:rPr>
        <w:t xml:space="preserve">“§2º. Serviço é qualquer atividade fornecida no mercado de consumo, mediante remuneração, </w:t>
      </w:r>
      <w:r>
        <w:rPr>
          <w:rFonts w:eastAsia="Times New Roman" w:cs="Calibri"/>
          <w:b/>
          <w:bCs/>
          <w:sz w:val="20"/>
          <w:szCs w:val="20"/>
          <w:lang w:val="pt-BR"/>
        </w:rPr>
        <w:t>inclusive as de natureza bancária, financeira, de crédito e securitária</w:t>
      </w:r>
      <w:r>
        <w:rPr>
          <w:rFonts w:eastAsia="Times New Roman" w:cs="Calibri"/>
          <w:sz w:val="20"/>
          <w:szCs w:val="20"/>
          <w:lang w:val="pt-BR"/>
        </w:rPr>
        <w:t>, salvo as decorrentes das relações de caráter trabalhista.” (grifo nosso)</w:t>
      </w:r>
    </w:p>
    <w:p>
      <w:pPr>
        <w:pStyle w:val="Normal"/>
        <w:spacing w:lineRule="auto" w:line="300"/>
        <w:ind w:firstLine="720" w:end="0"/>
        <w:jc w:val="both"/>
        <w:rPr>
          <w:rFonts w:cs="Calibri"/>
          <w:b/>
          <w:bCs/>
          <w:sz w:val="20"/>
          <w:szCs w:val="20"/>
          <w:lang w:val="pt-BR"/>
        </w:rPr>
      </w:pPr>
      <w:r>
        <w:rPr>
          <w:rFonts w:cs="Calibri"/>
          <w:b/>
          <w:bCs/>
          <w:sz w:val="20"/>
          <w:szCs w:val="20"/>
          <w:lang w:val="pt-BR"/>
        </w:rPr>
      </w:r>
    </w:p>
    <w:p>
      <w:pPr>
        <w:pStyle w:val="Normal"/>
        <w:spacing w:lineRule="auto" w:line="300"/>
        <w:ind w:firstLine="1418" w:end="0"/>
        <w:jc w:val="both"/>
        <w:rPr>
          <w:rFonts w:cs="Calibri"/>
          <w:lang w:val="pt-BR"/>
        </w:rPr>
      </w:pPr>
      <w:r>
        <w:rPr>
          <w:rFonts w:eastAsia="Times New Roman" w:cs="Calibri"/>
          <w:b/>
          <w:bCs/>
          <w:lang w:val="pt-BR"/>
        </w:rPr>
        <w:t>d) Vulnerabilidade</w:t>
      </w:r>
      <w:r>
        <w:rPr>
          <w:rFonts w:eastAsia="Times New Roman" w:cs="Calibri"/>
          <w:lang w:val="pt-BR"/>
        </w:rPr>
        <w:t xml:space="preserve"> – Elemento de especial relevância no caso concreto, a vulnerabilidade da parte requerente se manifesta em suas múltiplas dimensões: </w:t>
      </w:r>
      <w:r>
        <w:rPr>
          <w:rFonts w:eastAsia="Times New Roman" w:cs="Calibri"/>
          <w:i/>
          <w:iCs/>
          <w:lang w:val="pt-BR"/>
        </w:rPr>
        <w:t>técnica</w:t>
      </w:r>
      <w:r>
        <w:rPr>
          <w:rFonts w:eastAsia="Times New Roman" w:cs="Calibri"/>
          <w:lang w:val="pt-BR"/>
        </w:rPr>
        <w:t xml:space="preserve">, na medida em que não detém conhecimentos especializados sobre operações financeiras e taxas de juros; </w:t>
      </w:r>
      <w:r>
        <w:rPr>
          <w:rFonts w:eastAsia="Times New Roman" w:cs="Calibri"/>
          <w:i/>
          <w:iCs/>
          <w:lang w:val="pt-BR"/>
        </w:rPr>
        <w:t>jurídica</w:t>
      </w:r>
      <w:r>
        <w:rPr>
          <w:rFonts w:eastAsia="Times New Roman" w:cs="Calibri"/>
          <w:lang w:val="pt-BR"/>
        </w:rPr>
        <w:t xml:space="preserve">, porquanto aderiu a contrato pré-redigido unilateralmente pela instituição financeira, sem qualquer possibilidade de negociação de cláusulas; </w:t>
      </w:r>
      <w:r>
        <w:rPr>
          <w:rFonts w:eastAsia="Times New Roman" w:cs="Calibri"/>
          <w:i/>
          <w:iCs/>
          <w:lang w:val="pt-BR"/>
        </w:rPr>
        <w:t>econômica</w:t>
      </w:r>
      <w:r>
        <w:rPr>
          <w:rFonts w:eastAsia="Times New Roman" w:cs="Calibri"/>
          <w:lang w:val="pt-BR"/>
        </w:rPr>
        <w:t xml:space="preserve">, diante da manifesta disparidade de forças entre a consumidora e a instituição bancária; e </w:t>
      </w:r>
      <w:r>
        <w:rPr>
          <w:rFonts w:eastAsia="Times New Roman" w:cs="Calibri"/>
          <w:i/>
          <w:iCs/>
          <w:lang w:val="pt-BR"/>
        </w:rPr>
        <w:t>informacional</w:t>
      </w:r>
      <w:r>
        <w:rPr>
          <w:rFonts w:eastAsia="Times New Roman" w:cs="Calibri"/>
          <w:lang w:val="pt-BR"/>
        </w:rPr>
        <w:t>, haja vista a assimetria de informações inerente à relação entre consumidor e agente financeiro.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eastAsia="Times New Roman" w:cs="Calibri"/>
          <w:lang w:val="pt-BR"/>
        </w:rPr>
      </w:pPr>
      <w:r>
        <w:rPr>
          <w:rFonts w:eastAsia="Times New Roman" w:cs="Calibri"/>
          <w:lang w:val="pt-BR"/>
        </w:rPr>
        <w:t xml:space="preserve">A doutrina especializada corrobora, de forma unânime, o enquadramento ora sustentado. Nesse sentido, é oportuna a lição de </w:t>
      </w:r>
      <w:r>
        <w:rPr>
          <w:rFonts w:eastAsia="Times New Roman" w:cs="Calibri"/>
          <w:b/>
          <w:bCs/>
          <w:lang w:val="pt-BR"/>
        </w:rPr>
        <w:t>Rizzatto Nunes</w:t>
      </w:r>
      <w:r>
        <w:rPr>
          <w:rFonts w:eastAsia="Times New Roman" w:cs="Calibri"/>
          <w:lang w:val="pt-BR"/>
        </w:rPr>
        <w:t>, ao abordar a amplitude do conceito de fornecedor no âmbito das relações de consumo:</w:t>
      </w:r>
    </w:p>
    <w:p>
      <w:pPr>
        <w:pStyle w:val="Normal"/>
        <w:spacing w:lineRule="auto" w:line="300"/>
        <w:ind w:firstLine="1418" w:end="0"/>
        <w:jc w:val="both"/>
        <w:rPr>
          <w:rFonts w:eastAsia="Times New Roman" w:cs="Calibri"/>
          <w:lang w:val="pt-BR"/>
        </w:rPr>
      </w:pPr>
      <w:r>
        <w:rPr>
          <w:rFonts w:eastAsia="Times New Roman" w:cs="Calibri"/>
          <w:lang w:val="pt-BR"/>
        </w:rPr>
      </w:r>
    </w:p>
    <w:p>
      <w:pPr>
        <w:pStyle w:val="Normal"/>
        <w:spacing w:lineRule="auto" w:line="240"/>
        <w:ind w:start="2268" w:end="0"/>
        <w:jc w:val="both"/>
        <w:rPr>
          <w:rFonts w:cs="Calibri"/>
          <w:sz w:val="20"/>
          <w:szCs w:val="20"/>
          <w:lang w:val="pt-BR"/>
        </w:rPr>
      </w:pPr>
      <w:r>
        <w:rPr>
          <w:rFonts w:eastAsia="Times New Roman" w:cs="Calibri"/>
          <w:sz w:val="20"/>
          <w:szCs w:val="20"/>
          <w:lang w:val="pt-BR"/>
        </w:rPr>
        <w:t>“São fornecedores as pessoas jurídicas públicas ou privadas, nacionais ou estrangeiras, com sede ou não no país, as sociedades anônimas, as por quotas de responsabilidade limitada, as sociedades civis com ou sem fins lucrativos, as fundações, as sociedades de economia mista, as empresas públicas, as autarquias, os órgãos da Administração direta, etc.” - (NUNES, Rizzatto. Curso de Direito do Consumidor. 3ª ed. São Paulo: Saraiva, 2008, p. 86)</w:t>
      </w:r>
    </w:p>
    <w:p>
      <w:pPr>
        <w:pStyle w:val="Normal"/>
        <w:spacing w:lineRule="auto" w:line="300"/>
        <w:ind w:firstLine="1418" w:end="0"/>
        <w:jc w:val="both"/>
        <w:rPr>
          <w:rFonts w:cs="Calibri"/>
          <w:sz w:val="20"/>
          <w:szCs w:val="20"/>
          <w:lang w:val="pt-BR"/>
        </w:rPr>
      </w:pPr>
      <w:r>
        <w:rPr>
          <w:rFonts w:cs="Calibri"/>
          <w:sz w:val="20"/>
          <w:szCs w:val="20"/>
          <w:lang w:val="pt-BR"/>
        </w:rPr>
      </w:r>
    </w:p>
    <w:p>
      <w:pPr>
        <w:pStyle w:val="Normal"/>
        <w:spacing w:lineRule="auto" w:line="300"/>
        <w:ind w:firstLine="1418" w:end="0"/>
        <w:jc w:val="both"/>
        <w:rPr>
          <w:rFonts w:cs="Calibri"/>
          <w:lang w:val="pt-BR"/>
        </w:rPr>
      </w:pPr>
      <w:r>
        <w:rPr>
          <w:rFonts w:eastAsia="Times New Roman" w:cs="Calibri"/>
          <w:lang w:val="pt-BR"/>
        </w:rPr>
        <w:t xml:space="preserve">Na mesma linha, a eminente Cláudia Lima Marques, uma das maiores autoridades brasileiras em Direito do Consumidor, destaca que a vulnerabilidade é o pilar fundamental que justifica a existência de um sistema de proteção diferenciado, sendo a presunção de vulnerabilidade do consumidor </w:t>
      </w:r>
      <w:r>
        <w:rPr>
          <w:rFonts w:eastAsia="Times New Roman" w:cs="Calibri"/>
          <w:i/>
          <w:iCs/>
          <w:lang w:val="pt-BR"/>
        </w:rPr>
        <w:t>absoluta</w:t>
      </w:r>
      <w:r>
        <w:rPr>
          <w:rFonts w:eastAsia="Times New Roman" w:cs="Calibri"/>
          <w:lang w:val="pt-BR"/>
        </w:rPr>
        <w:t xml:space="preserve"> no caso de pessoa física, conforme amplamente reconhecido pela jurisprudência dos Tribunais Superiores.</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Reconhecida a relação de consumo, impõe-se ao requerido, na condição de fornecedor de serviços bancários, a </w:t>
      </w:r>
      <w:r>
        <w:rPr>
          <w:rFonts w:eastAsia="Times New Roman" w:cs="Calibri"/>
          <w:b/>
          <w:bCs/>
          <w:lang w:val="pt-BR"/>
        </w:rPr>
        <w:t>responsabilidade civil objetiva</w:t>
      </w:r>
      <w:r>
        <w:rPr>
          <w:rFonts w:eastAsia="Times New Roman" w:cs="Calibri"/>
          <w:lang w:val="pt-BR"/>
        </w:rPr>
        <w:t xml:space="preserve"> pelos danos causados à parte requerente, nos termos dos arts. 12 e 14 do Código de Defesa do Consumidor, prescindindo-se, portanto, da demonstração de culpa para a configuração do dever de indenizar e de reparar o desequilíbrio contratual.</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Ademais, a aplicação do CDC ao caso concreto viabiliza a </w:t>
      </w:r>
      <w:r>
        <w:rPr>
          <w:rFonts w:eastAsia="Times New Roman" w:cs="Calibri"/>
          <w:b/>
          <w:bCs/>
          <w:lang w:val="pt-BR"/>
        </w:rPr>
        <w:t>inversão do ônus da prova</w:t>
      </w:r>
      <w:r>
        <w:rPr>
          <w:rFonts w:eastAsia="Times New Roman" w:cs="Calibri"/>
          <w:lang w:val="pt-BR"/>
        </w:rPr>
        <w:t>, prevista no art. 6º, inciso VIII, do referido diploma, instrumento processual de fundamental importância para a efetiva tutela dos direitos da consumidora, na medida em que transfere ao fornecedor o encargo de demonstrar a regularidade e a licitude de sua conduta contratual — o que, data vênia, afigura-se impossível diante dos fatos narrados.</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Outrossim, merece destaque a incidência do art. 51, inciso IV, do CDC, que comina de </w:t>
      </w:r>
      <w:r>
        <w:rPr>
          <w:rFonts w:eastAsia="Times New Roman" w:cs="Calibri"/>
          <w:b/>
          <w:bCs/>
          <w:lang w:val="pt-BR"/>
        </w:rPr>
        <w:t>nulidade absoluta</w:t>
      </w:r>
      <w:r>
        <w:rPr>
          <w:rFonts w:eastAsia="Times New Roman" w:cs="Calibri"/>
          <w:lang w:val="pt-BR"/>
        </w:rPr>
        <w:t xml:space="preserve"> as cláusulas contratuais que “estabeleçam obrigações consideradas iníquas, abusivas, que coloquem o consumidor em desvantagem exagerada, ou sejam incompatíveis com a boa-fé ou a equidade” — hipótese que se amolda com precisão cirúrgica ao caso sub judice, em que a taxa de juros imposta supera em quase cinco vezes a média praticada pelo mercado.</w:t>
      </w:r>
    </w:p>
    <w:p>
      <w:pPr>
        <w:pStyle w:val="Normal"/>
        <w:spacing w:lineRule="auto" w:line="300"/>
        <w:ind w:firstLine="1418" w:end="0"/>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Destarte, à luz da legislação vigente, da jurisprudência consolidada do Superior Tribunal de Justiça e do Supremo Tribunal Federal, e da doutrina especializada, </w:t>
      </w:r>
      <w:r>
        <w:rPr>
          <w:rFonts w:eastAsia="Times New Roman" w:cs="Calibri"/>
          <w:b/>
          <w:bCs/>
          <w:lang w:val="pt-BR"/>
        </w:rPr>
        <w:t>não subsiste qualquer dúvida quanto à plena aplicabilidade do Código de Defesa do Consumidor ao caso vertente</w:t>
      </w:r>
      <w:r>
        <w:rPr>
          <w:rFonts w:eastAsia="Times New Roman" w:cs="Calibri"/>
          <w:lang w:val="pt-BR"/>
        </w:rPr>
        <w:t>, devendo a instituição financeira requerida suportar todos os ônus decorrentes das práticas abusivas por ela perpetradas, respondendo objetivamente pelos prejuízos causados à parte autora e submetendo-se ao regime de proteção integral que o ordenamento jurídico confere ao consumidor vulnerável.</w:t>
      </w:r>
    </w:p>
    <w:p>
      <w:pPr>
        <w:pStyle w:val="Normal"/>
        <w:spacing w:lineRule="auto" w:line="300"/>
        <w:ind w:firstLine="1418" w:end="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rFonts w:cs="Calibri"/>
          <w:b/>
          <w:lang w:val="pt-BR"/>
        </w:rPr>
      </w:pPr>
      <w:r>
        <w:rPr>
          <w:rFonts w:cs="Calibri"/>
          <w:b/>
          <w:lang w:val="pt-BR"/>
        </w:rPr>
        <w:t>3.2 - DA RESPONSABILIDADE OBJETIVA DO FORNECEDOR DE SERVIÇOS (ART. 14 DO CDC)</w:t>
      </w:r>
    </w:p>
    <w:p>
      <w:pPr>
        <w:pStyle w:val="Normal"/>
        <w:spacing w:lineRule="auto" w:line="300"/>
        <w:ind w:firstLine="2835" w:end="0"/>
        <w:jc w:val="both"/>
        <w:rPr>
          <w:rFonts w:cs="Calibri"/>
          <w:b/>
          <w:lang w:val="pt-BR"/>
        </w:rPr>
      </w:pPr>
      <w:r>
        <w:rPr>
          <w:rFonts w:cs="Calibri"/>
          <w:b/>
          <w:lang w:val="pt-BR"/>
        </w:rPr>
      </w:r>
    </w:p>
    <w:p>
      <w:pPr>
        <w:pStyle w:val="Normal"/>
        <w:spacing w:lineRule="auto" w:line="300"/>
        <w:ind w:firstLine="1418" w:end="0"/>
        <w:jc w:val="both"/>
        <w:rPr>
          <w:rFonts w:cs="Calibri"/>
          <w:lang w:val="pt-BR"/>
        </w:rPr>
      </w:pPr>
      <w:r>
        <w:rPr>
          <w:rFonts w:eastAsia="Times New Roman" w:cs="Calibri"/>
          <w:lang w:val="pt-BR"/>
        </w:rPr>
        <w:t xml:space="preserve">Conforme demonstrado no tópico precedente, a relação jurídica entre as partes se reveste de inequívoca natureza consumerista, circunstância que impõe ao banco requerido, na condição de </w:t>
      </w:r>
      <w:r>
        <w:rPr>
          <w:rFonts w:eastAsia="Times New Roman" w:cs="Calibri"/>
          <w:b/>
          <w:bCs/>
          <w:lang w:val="pt-BR"/>
        </w:rPr>
        <w:t>fornecedor de serviços bancários e de intermediação financeira</w:t>
      </w:r>
      <w:r>
        <w:rPr>
          <w:rFonts w:eastAsia="Times New Roman" w:cs="Calibri"/>
          <w:lang w:val="pt-BR"/>
        </w:rPr>
        <w:t xml:space="preserve">, o regime da </w:t>
      </w:r>
      <w:r>
        <w:rPr>
          <w:rFonts w:eastAsia="Times New Roman" w:cs="Calibri"/>
          <w:b/>
          <w:bCs/>
          <w:lang w:val="pt-BR"/>
        </w:rPr>
        <w:t>responsabilidade civil objetiva</w:t>
      </w:r>
      <w:r>
        <w:rPr>
          <w:rFonts w:eastAsia="Times New Roman" w:cs="Calibri"/>
          <w:lang w:val="pt-BR"/>
        </w:rPr>
        <w:t xml:space="preserve"> pelos danos causados à parte requerente, nos exatos termos do art. 14 do Código de Defesa do Consumidor — dispositivo que representa verdadeira opção político-legislativa do constituinte derivado em favor da máxima proteção do consumidor, dispensando-se qualquer perquirição acerca do elemento subjetivo (culpa) do fornecedor.</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O art. 14, </w:t>
      </w:r>
      <w:r>
        <w:rPr>
          <w:rFonts w:eastAsia="Times New Roman" w:cs="Calibri"/>
          <w:i/>
          <w:iCs/>
          <w:lang w:val="pt-BR"/>
        </w:rPr>
        <w:t>caput</w:t>
      </w:r>
      <w:r>
        <w:rPr>
          <w:rFonts w:eastAsia="Times New Roman" w:cs="Calibri"/>
          <w:lang w:val="pt-BR"/>
        </w:rPr>
        <w:t xml:space="preserve">, do Código de Defesa do Consumidor consagra, em termos inequívocos, a teoria do </w:t>
      </w:r>
      <w:r>
        <w:rPr>
          <w:rFonts w:eastAsia="Times New Roman" w:cs="Calibri"/>
          <w:b/>
          <w:bCs/>
          <w:lang w:val="pt-BR"/>
        </w:rPr>
        <w:t>risco da atividade</w:t>
      </w:r>
      <w:r>
        <w:rPr>
          <w:rFonts w:eastAsia="Times New Roman" w:cs="Calibri"/>
          <w:lang w:val="pt-BR"/>
        </w:rPr>
        <w:t xml:space="preserve"> (também denominada </w:t>
      </w:r>
      <w:r>
        <w:rPr>
          <w:rFonts w:eastAsia="Times New Roman" w:cs="Calibri"/>
          <w:i/>
          <w:iCs/>
          <w:lang w:val="pt-BR"/>
        </w:rPr>
        <w:t>risco-proveito</w:t>
      </w:r>
      <w:r>
        <w:rPr>
          <w:rFonts w:eastAsia="Times New Roman" w:cs="Calibri"/>
          <w:lang w:val="pt-BR"/>
        </w:rPr>
        <w:t xml:space="preserve">), segundo a qual aquele que aufere proveito econômico da atividade empresarial deve, como natural contrapartida, suportar os riscos e os danos dela decorrentes. Dispõe o referido dispositivo legal, </w:t>
      </w:r>
      <w:r>
        <w:rPr>
          <w:rFonts w:eastAsia="Times New Roman" w:cs="Calibri"/>
          <w:i/>
          <w:iCs/>
          <w:lang w:val="pt-BR"/>
        </w:rPr>
        <w:t>in verbis</w:t>
      </w:r>
      <w:r>
        <w:rPr>
          <w:rFonts w:eastAsia="Times New Roman" w:cs="Calibri"/>
          <w:lang w:val="pt-BR"/>
        </w:rPr>
        <w:t>:</w:t>
      </w:r>
    </w:p>
    <w:p>
      <w:pPr>
        <w:pStyle w:val="Normal"/>
        <w:spacing w:lineRule="auto" w:line="300"/>
        <w:ind w:firstLine="2268" w:start="-567" w:end="0"/>
        <w:jc w:val="both"/>
        <w:rPr>
          <w:rFonts w:cs="Calibri"/>
          <w:lang w:val="pt-BR"/>
        </w:rPr>
      </w:pPr>
      <w:r>
        <w:rPr>
          <w:rFonts w:cs="Calibri"/>
          <w:lang w:val="pt-BR"/>
        </w:rPr>
        <w:t xml:space="preserve"> </w:t>
      </w:r>
    </w:p>
    <w:p>
      <w:pPr>
        <w:pStyle w:val="Normal"/>
        <w:spacing w:lineRule="auto" w:line="240"/>
        <w:ind w:start="2268" w:end="0"/>
        <w:jc w:val="both"/>
        <w:rPr>
          <w:rFonts w:cs="Calibri"/>
          <w:sz w:val="20"/>
          <w:szCs w:val="20"/>
          <w:lang w:val="pt-BR"/>
        </w:rPr>
      </w:pPr>
      <w:r>
        <w:rPr>
          <w:rFonts w:cs="Calibri"/>
          <w:sz w:val="20"/>
          <w:szCs w:val="20"/>
          <w:lang w:val="pt-BR"/>
        </w:rPr>
        <w:t xml:space="preserve">Art. 14 - O fornecedor de serviços responde independentemente da existência de culpa, pela reparação dos danos causados aos consumidores por defeitos relativos à prestação dos serviços, bem como por informações insuficientes ou inadequadas sobre sua fruição e riscos. </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rFonts w:cs="Calibri"/>
          <w:sz w:val="20"/>
          <w:szCs w:val="20"/>
          <w:lang w:val="pt-BR"/>
        </w:rPr>
      </w:pPr>
      <w:r>
        <w:rPr>
          <w:rFonts w:cs="Calibri"/>
          <w:sz w:val="20"/>
          <w:szCs w:val="20"/>
          <w:lang w:val="pt-BR"/>
        </w:rPr>
        <w:t>§1º - O serviço é defeituoso quando não fornece a segurança que o consumidor dele pode esperar, levando-se em consideração as circunstâncias relevantes, entre as quais:</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rFonts w:cs="Calibri"/>
          <w:sz w:val="20"/>
          <w:szCs w:val="20"/>
          <w:lang w:val="pt-BR"/>
        </w:rPr>
      </w:pPr>
      <w:r>
        <w:rPr>
          <w:rFonts w:cs="Calibri"/>
          <w:sz w:val="20"/>
          <w:szCs w:val="20"/>
          <w:lang w:val="pt-BR"/>
        </w:rPr>
        <w:t xml:space="preserve">I - o modo de seu fornecimento; (...) </w:t>
      </w:r>
    </w:p>
    <w:p>
      <w:pPr>
        <w:pStyle w:val="Normal"/>
        <w:spacing w:lineRule="auto" w:line="300"/>
        <w:ind w:firstLine="2268" w:start="-567" w:end="0"/>
        <w:jc w:val="both"/>
        <w:rPr>
          <w:rFonts w:cs="Calibri"/>
          <w:sz w:val="20"/>
          <w:szCs w:val="20"/>
          <w:lang w:val="pt-BR"/>
        </w:rPr>
      </w:pPr>
      <w:r>
        <w:rPr>
          <w:rFonts w:cs="Calibri"/>
          <w:sz w:val="20"/>
          <w:szCs w:val="20"/>
          <w:lang w:val="pt-BR"/>
        </w:rPr>
      </w:r>
    </w:p>
    <w:p>
      <w:pPr>
        <w:pStyle w:val="Normal"/>
        <w:spacing w:lineRule="auto" w:line="300"/>
        <w:ind w:firstLine="1418" w:end="0"/>
        <w:jc w:val="both"/>
        <w:rPr>
          <w:rFonts w:cs="Calibri"/>
          <w:lang w:val="pt-BR"/>
        </w:rPr>
      </w:pPr>
      <w:r>
        <w:rPr>
          <w:rFonts w:eastAsia="Times New Roman" w:cs="Calibri"/>
          <w:lang w:val="pt-BR"/>
        </w:rPr>
        <w:t xml:space="preserve">Da exegese sistemática do dispositivo transcrito, extrai-se que o legislador consumerista estabeleceu um regime de responsabilização rigoroso e amplo, no qual a reparação dos danos causados ao consumidor </w:t>
      </w:r>
      <w:r>
        <w:rPr>
          <w:rFonts w:eastAsia="Times New Roman" w:cs="Calibri"/>
          <w:b/>
          <w:bCs/>
          <w:lang w:val="pt-BR"/>
        </w:rPr>
        <w:t>independe absolutamente da comprovação de culpa</w:t>
      </w:r>
      <w:r>
        <w:rPr>
          <w:rFonts w:eastAsia="Times New Roman" w:cs="Calibri"/>
          <w:lang w:val="pt-BR"/>
        </w:rPr>
        <w:t xml:space="preserve">, bastando, para a configuração do dever de indenizar e reparar, a demonstração concomitante de três elementos: </w:t>
      </w:r>
      <w:r>
        <w:rPr>
          <w:rFonts w:eastAsia="Times New Roman" w:cs="Calibri"/>
          <w:b/>
          <w:bCs/>
          <w:lang w:val="pt-BR"/>
        </w:rPr>
        <w:t>(i)</w:t>
      </w:r>
      <w:r>
        <w:rPr>
          <w:rFonts w:eastAsia="Times New Roman" w:cs="Calibri"/>
          <w:lang w:val="pt-BR"/>
        </w:rPr>
        <w:t xml:space="preserve"> o defeito do serviço prestado; </w:t>
      </w:r>
      <w:r>
        <w:rPr>
          <w:rFonts w:eastAsia="Times New Roman" w:cs="Calibri"/>
          <w:b/>
          <w:bCs/>
          <w:lang w:val="pt-BR"/>
        </w:rPr>
        <w:t>(ii)</w:t>
      </w:r>
      <w:r>
        <w:rPr>
          <w:rFonts w:eastAsia="Times New Roman" w:cs="Calibri"/>
          <w:lang w:val="pt-BR"/>
        </w:rPr>
        <w:t xml:space="preserve"> o dano experimentado pelo consumidor; e </w:t>
      </w:r>
      <w:r>
        <w:rPr>
          <w:rFonts w:eastAsia="Times New Roman" w:cs="Calibri"/>
          <w:b/>
          <w:bCs/>
          <w:lang w:val="pt-BR"/>
        </w:rPr>
        <w:t>(iii)</w:t>
      </w:r>
      <w:r>
        <w:rPr>
          <w:rFonts w:eastAsia="Times New Roman" w:cs="Calibri"/>
          <w:lang w:val="pt-BR"/>
        </w:rPr>
        <w:t xml:space="preserve"> o nexo de causalidade entre o defeito e o dano.</w:t>
      </w:r>
    </w:p>
    <w:p>
      <w:pPr>
        <w:pStyle w:val="Normal"/>
        <w:spacing w:lineRule="auto" w:line="300"/>
        <w:ind w:firstLine="1418" w:end="0"/>
        <w:jc w:val="both"/>
        <w:rPr>
          <w:rFonts w:eastAsia="Times New Roman" w:cs="Calibri"/>
          <w:lang w:val="pt-BR"/>
        </w:rPr>
      </w:pPr>
      <w:r>
        <w:rPr>
          <w:rFonts w:eastAsia="Times New Roman" w:cs="Calibri"/>
          <w:lang w:val="pt-BR"/>
        </w:rPr>
      </w:r>
    </w:p>
    <w:p>
      <w:pPr>
        <w:pStyle w:val="Normal"/>
        <w:spacing w:lineRule="auto" w:line="300"/>
        <w:ind w:firstLine="1418" w:end="0"/>
        <w:jc w:val="both"/>
        <w:rPr>
          <w:rFonts w:eastAsia="Times New Roman" w:cs="Calibri"/>
          <w:lang w:val="pt-BR"/>
        </w:rPr>
      </w:pPr>
      <w:r>
        <w:rPr>
          <w:rFonts w:eastAsia="Times New Roman" w:cs="Calibri"/>
          <w:lang w:val="pt-BR"/>
        </w:rPr>
        <w:t xml:space="preserve">Cumpre destacar que o conceito de </w:t>
      </w:r>
      <w:r>
        <w:rPr>
          <w:rFonts w:eastAsia="Times New Roman" w:cs="Calibri"/>
          <w:b/>
          <w:bCs/>
          <w:lang w:val="pt-BR"/>
        </w:rPr>
        <w:t>defeito do serviço</w:t>
      </w:r>
      <w:r>
        <w:rPr>
          <w:rFonts w:eastAsia="Times New Roman" w:cs="Calibri"/>
          <w:lang w:val="pt-BR"/>
        </w:rPr>
        <w:t xml:space="preserve">, para fins de incidência do art. 14 do CDC, não se restringe a falhas operacionais ou técnicas, mas abrange toda e qualquer situação em que o serviço não oferece ao consumidor a </w:t>
      </w:r>
      <w:r>
        <w:rPr>
          <w:rFonts w:eastAsia="Times New Roman" w:cs="Calibri"/>
          <w:b/>
          <w:bCs/>
          <w:lang w:val="pt-BR"/>
        </w:rPr>
        <w:t>segurança e a confiabilidade legitimamente esperadas</w:t>
      </w:r>
      <w:r>
        <w:rPr>
          <w:rFonts w:eastAsia="Times New Roman" w:cs="Calibri"/>
          <w:lang w:val="pt-BR"/>
        </w:rPr>
        <w:t>. A noção de defeito, portanto, deve ser interpretada de forma ampla e teleológica, alcançando tanto a deficiência na prestação material do serviço quanto a imposição de condições contratuais abusivas, a ausência de informações adequadas e a cobrança de encargos manifestamente excessivos e desproporcionais.</w:t>
      </w:r>
    </w:p>
    <w:p>
      <w:pPr>
        <w:pStyle w:val="Normal"/>
        <w:spacing w:lineRule="auto" w:line="300"/>
        <w:ind w:firstLine="1418" w:end="0"/>
        <w:jc w:val="both"/>
        <w:rPr>
          <w:rFonts w:eastAsia="Times New Roman" w:cs="Calibri"/>
          <w:lang w:val="pt-BR"/>
        </w:rPr>
      </w:pPr>
      <w:r>
        <w:rPr>
          <w:rFonts w:eastAsia="Times New Roman" w:cs="Calibri"/>
          <w:lang w:val="pt-BR"/>
        </w:rPr>
      </w:r>
    </w:p>
    <w:p>
      <w:pPr>
        <w:pStyle w:val="Normal"/>
        <w:spacing w:lineRule="auto" w:line="300"/>
        <w:ind w:firstLine="1418" w:end="0"/>
        <w:jc w:val="both"/>
        <w:rPr>
          <w:rFonts w:cs="Calibri"/>
          <w:lang w:val="pt-BR"/>
        </w:rPr>
      </w:pPr>
      <w:r>
        <w:rPr>
          <w:rFonts w:eastAsia="Times New Roman" w:cs="Calibri"/>
          <w:lang w:val="pt-BR"/>
        </w:rPr>
        <w:t xml:space="preserve">Aplicando-se tais premissas normativas ao caso sub judice, a configuração do </w:t>
      </w:r>
      <w:r>
        <w:rPr>
          <w:rFonts w:eastAsia="Times New Roman" w:cs="Calibri"/>
          <w:b/>
          <w:bCs/>
          <w:lang w:val="pt-BR"/>
        </w:rPr>
        <w:t>defeito na prestação do serviço bancário</w:t>
      </w:r>
      <w:r>
        <w:rPr>
          <w:rFonts w:eastAsia="Times New Roman" w:cs="Calibri"/>
          <w:lang w:val="pt-BR"/>
        </w:rPr>
        <w:t xml:space="preserve"> se revela de forma inconteste e multifacetada, manifestando-se, ao menos, sob três perspectivas complementares:</w:t>
      </w:r>
    </w:p>
    <w:p>
      <w:pPr>
        <w:pStyle w:val="Normal"/>
        <w:spacing w:lineRule="auto" w:line="300"/>
        <w:ind w:firstLine="1418" w:end="0"/>
        <w:jc w:val="both"/>
        <w:rPr>
          <w:rFonts w:eastAsia="Times New Roman" w:cs="Calibri"/>
          <w:b/>
          <w:bCs/>
          <w:lang w:val="pt-BR"/>
        </w:rPr>
      </w:pPr>
      <w:r>
        <w:rPr>
          <w:rFonts w:eastAsia="Times New Roman" w:cs="Calibri"/>
          <w:b/>
          <w:bCs/>
          <w:lang w:val="pt-BR"/>
        </w:rPr>
      </w:r>
    </w:p>
    <w:p>
      <w:pPr>
        <w:pStyle w:val="Normal"/>
        <w:spacing w:lineRule="auto" w:line="300"/>
        <w:ind w:firstLine="1418" w:end="0"/>
        <w:jc w:val="both"/>
        <w:rPr>
          <w:rFonts w:cs="Calibri"/>
          <w:lang w:val="pt-BR"/>
        </w:rPr>
      </w:pPr>
      <w:r>
        <w:rPr>
          <w:rFonts w:eastAsia="Times New Roman" w:cs="Calibri"/>
          <w:b/>
          <w:bCs/>
          <w:lang w:val="pt-BR"/>
        </w:rPr>
        <w:t>a) Quanto ao modo de fornecimento do serviço</w:t>
      </w:r>
      <w:r>
        <w:rPr>
          <w:rFonts w:eastAsia="Times New Roman" w:cs="Calibri"/>
          <w:lang w:val="pt-BR"/>
        </w:rPr>
        <w:t xml:space="preserve"> (art. 14, §1º, inciso I, do CDC) – O banco requerido, ao disponibilizar o crédito à parte requerente, o fez mediante a aplicação de </w:t>
      </w:r>
      <w:r>
        <w:rPr>
          <w:rFonts w:eastAsia="Times New Roman" w:cs="Calibri"/>
          <w:b/>
          <w:bCs/>
          <w:lang w:val="pt-BR"/>
        </w:rPr>
        <w:t>taxa de juros remuneratórios de 19,15% ao mês (718,71% ao ano)</w:t>
      </w:r>
      <w:r>
        <w:rPr>
          <w:rFonts w:eastAsia="Times New Roman" w:cs="Calibri"/>
          <w:lang w:val="pt-BR"/>
        </w:rPr>
        <w:t xml:space="preserve">, patamar que, conforme exaustivamente demonstrado no tópico dos fatos, é aproximadamente </w:t>
      </w:r>
      <w:r>
        <w:rPr>
          <w:rFonts w:eastAsia="Times New Roman" w:cs="Calibri"/>
          <w:b/>
          <w:bCs/>
          <w:lang w:val="pt-BR"/>
        </w:rPr>
        <w:t>2,97 vezes superior à taxa média de mercado</w:t>
      </w:r>
      <w:r>
        <w:rPr>
          <w:rFonts w:eastAsia="Times New Roman" w:cs="Calibri"/>
          <w:lang w:val="pt-BR"/>
        </w:rPr>
        <w:t xml:space="preserve"> divulgada pelo Banco Central do Brasil para a mesma modalidade e período. A imposição de encargos nessa magnitude desfigura por completo o modo de fornecimento do serviço, tornando-o manifestamente inseguro e predatório.</w:t>
      </w:r>
    </w:p>
    <w:p>
      <w:pPr>
        <w:pStyle w:val="Normal"/>
        <w:spacing w:lineRule="auto" w:line="300"/>
        <w:ind w:firstLine="1418" w:end="0"/>
        <w:jc w:val="both"/>
        <w:rPr>
          <w:rFonts w:eastAsia="Times New Roman" w:cs="Calibri"/>
          <w:b/>
          <w:bCs/>
          <w:lang w:val="pt-BR"/>
        </w:rPr>
      </w:pPr>
      <w:r>
        <w:rPr>
          <w:rFonts w:eastAsia="Times New Roman" w:cs="Calibri"/>
          <w:b/>
          <w:bCs/>
          <w:lang w:val="pt-BR"/>
        </w:rPr>
      </w:r>
    </w:p>
    <w:p>
      <w:pPr>
        <w:pStyle w:val="Normal"/>
        <w:spacing w:lineRule="auto" w:line="300"/>
        <w:ind w:firstLine="1418" w:end="0"/>
        <w:jc w:val="both"/>
        <w:rPr>
          <w:rFonts w:cs="Calibri"/>
          <w:lang w:val="pt-BR"/>
        </w:rPr>
      </w:pPr>
      <w:r>
        <w:rPr>
          <w:rFonts w:eastAsia="Times New Roman" w:cs="Calibri"/>
          <w:b/>
          <w:bCs/>
          <w:lang w:val="pt-BR"/>
        </w:rPr>
        <w:t>b) Quanto ao resultado e aos riscos razoavelmente esperados</w:t>
      </w:r>
      <w:r>
        <w:rPr>
          <w:rFonts w:eastAsia="Times New Roman" w:cs="Calibri"/>
          <w:lang w:val="pt-BR"/>
        </w:rPr>
        <w:t xml:space="preserve"> (art. 14, §1º, inciso II, do CDC) – O consumidor que contrata empréstimo pessoal junto a instituição financeira tem a legítima expectativa de que os encargos pactuados guardarão razoável correspondência com os parâmetros praticados pelo mercado. No caso vertente, a consumidora contratou crédito no valor de R$ ________ e está sendo compelida a pagar </w:t>
      </w:r>
      <w:r>
        <w:rPr>
          <w:rFonts w:eastAsia="Times New Roman" w:cs="Calibri"/>
          <w:b/>
          <w:bCs/>
          <w:lang w:val="pt-BR"/>
        </w:rPr>
        <w:t>R$ 3.096,72</w:t>
      </w:r>
      <w:r>
        <w:rPr>
          <w:rFonts w:eastAsia="Times New Roman" w:cs="Calibri"/>
          <w:lang w:val="pt-BR"/>
        </w:rPr>
        <w:t xml:space="preserve"> — valor que corresponde a mais de </w:t>
      </w:r>
      <w:r>
        <w:rPr>
          <w:rFonts w:eastAsia="Times New Roman" w:cs="Calibri"/>
          <w:b/>
          <w:bCs/>
          <w:i/>
          <w:iCs/>
          <w:lang w:val="pt-BR"/>
        </w:rPr>
        <w:t>3,6 vezes o montante originalmente contratado</w:t>
      </w:r>
      <w:r>
        <w:rPr>
          <w:rFonts w:eastAsia="Times New Roman" w:cs="Calibri"/>
          <w:lang w:val="pt-BR"/>
        </w:rPr>
        <w:t>. Tal resultado ultrapassa, em muito, qualquer expectativa razoável de custo financeiro, configurando risco excessivo e imprevisível que o consumidor não tinha condições de antecipar ou dimensionar adequadamente.</w:t>
      </w:r>
    </w:p>
    <w:p>
      <w:pPr>
        <w:pStyle w:val="Normal"/>
        <w:spacing w:lineRule="auto" w:line="300"/>
        <w:ind w:firstLine="1418" w:end="0"/>
        <w:jc w:val="both"/>
        <w:rPr>
          <w:rFonts w:eastAsia="Times New Roman" w:cs="Calibri"/>
          <w:b/>
          <w:bCs/>
          <w:lang w:val="pt-BR"/>
        </w:rPr>
      </w:pPr>
      <w:r>
        <w:rPr>
          <w:rFonts w:eastAsia="Times New Roman" w:cs="Calibri"/>
          <w:b/>
          <w:bCs/>
          <w:lang w:val="pt-BR"/>
        </w:rPr>
      </w:r>
    </w:p>
    <w:p>
      <w:pPr>
        <w:pStyle w:val="Normal"/>
        <w:spacing w:lineRule="auto" w:line="300"/>
        <w:ind w:firstLine="1418" w:end="0"/>
        <w:jc w:val="both"/>
        <w:rPr>
          <w:rFonts w:eastAsia="Times New Roman" w:cs="Calibri"/>
          <w:lang w:val="pt-BR"/>
        </w:rPr>
      </w:pPr>
      <w:r>
        <w:rPr>
          <w:rFonts w:eastAsia="Times New Roman" w:cs="Calibri"/>
          <w:b/>
          <w:bCs/>
          <w:lang w:val="pt-BR"/>
        </w:rPr>
        <w:t>c) Quanto à insuficiência informacional</w:t>
      </w:r>
      <w:r>
        <w:rPr>
          <w:rFonts w:eastAsia="Times New Roman" w:cs="Calibri"/>
          <w:lang w:val="pt-BR"/>
        </w:rPr>
        <w:t xml:space="preserve"> (art. 14, </w:t>
      </w:r>
      <w:r>
        <w:rPr>
          <w:rFonts w:eastAsia="Times New Roman" w:cs="Calibri"/>
          <w:i/>
          <w:iCs/>
          <w:lang w:val="pt-BR"/>
        </w:rPr>
        <w:t>caput</w:t>
      </w:r>
      <w:r>
        <w:rPr>
          <w:rFonts w:eastAsia="Times New Roman" w:cs="Calibri"/>
          <w:lang w:val="pt-BR"/>
        </w:rPr>
        <w:t xml:space="preserve">, parte final) – A própria desproporção entre a taxa contratada e a média de mercado evidencia que a instituição financeira não cumpriu adequadamente o </w:t>
      </w:r>
      <w:r>
        <w:rPr>
          <w:rFonts w:eastAsia="Times New Roman" w:cs="Calibri"/>
          <w:b/>
          <w:bCs/>
          <w:lang w:val="pt-BR"/>
        </w:rPr>
        <w:t>dever de informação</w:t>
      </w:r>
      <w:r>
        <w:rPr>
          <w:rFonts w:eastAsia="Times New Roman" w:cs="Calibri"/>
          <w:lang w:val="pt-BR"/>
        </w:rPr>
        <w:t xml:space="preserve"> que lhe é imposto pelo art. 6º, inciso III, do CDC. Com efeito, o consumidor tem o direito fundamental de receber </w:t>
      </w:r>
      <w:r>
        <w:rPr>
          <w:rFonts w:eastAsia="Times New Roman" w:cs="Calibri"/>
          <w:i/>
          <w:iCs/>
          <w:lang w:val="pt-BR"/>
        </w:rPr>
        <w:t>informação adequada e clara sobre os diferentes produtos e serviços, com especificação correta de quantidade, características, composição, qualidade, tributos incidentes e preço</w:t>
      </w:r>
      <w:r>
        <w:rPr>
          <w:rFonts w:eastAsia="Times New Roman" w:cs="Calibri"/>
          <w:lang w:val="pt-BR"/>
        </w:rPr>
        <w:t>. A omissão ou insuficiência de informações que permitissem à consumidora comparar os encargos contratados com os parâmetros de mercado constitui, por si só, defeito do serviço passível de responsabilização objetiva.</w:t>
      </w:r>
    </w:p>
    <w:p>
      <w:pPr>
        <w:pStyle w:val="Normal"/>
        <w:spacing w:lineRule="auto" w:line="300"/>
        <w:ind w:firstLine="1418" w:end="0"/>
        <w:jc w:val="both"/>
        <w:rPr>
          <w:rFonts w:eastAsia="Times New Roman" w:cs="Calibri"/>
          <w:lang w:val="pt-BR"/>
        </w:rPr>
      </w:pPr>
      <w:r>
        <w:rPr>
          <w:rFonts w:eastAsia="Times New Roman" w:cs="Calibri"/>
          <w:lang w:val="pt-BR"/>
        </w:rPr>
      </w:r>
    </w:p>
    <w:p>
      <w:pPr>
        <w:pStyle w:val="Normal"/>
        <w:spacing w:lineRule="auto" w:line="300"/>
        <w:ind w:firstLine="1418" w:end="0"/>
        <w:jc w:val="both"/>
        <w:rPr>
          <w:rFonts w:cs="Calibri"/>
          <w:lang w:val="pt-BR"/>
        </w:rPr>
      </w:pPr>
      <w:r>
        <w:rPr>
          <w:rFonts w:eastAsia="Times New Roman" w:cs="Calibri"/>
          <w:lang w:val="pt-BR"/>
        </w:rPr>
        <w:t xml:space="preserve">O fundamento teleológico da responsabilidade objetiva reside na </w:t>
      </w:r>
      <w:r>
        <w:rPr>
          <w:rFonts w:eastAsia="Times New Roman" w:cs="Calibri"/>
          <w:b/>
          <w:bCs/>
          <w:lang w:val="pt-BR"/>
        </w:rPr>
        <w:t>teoria do risco da atividade</w:t>
      </w:r>
      <w:r>
        <w:rPr>
          <w:rFonts w:eastAsia="Times New Roman" w:cs="Calibri"/>
          <w:lang w:val="pt-BR"/>
        </w:rPr>
        <w:t>: quem se propõe a exercer atividade econômica no mercado de consumo, auferindo lucro com essa prática, deve assumir integralmente os riscos inerentes ao empreendimento, respondendo pelos danos que cause, independentemente de culpa. A atividade bancária, reconhecidamente de alto proveito econômico, não pode servir de instrumento para a imposição de encargos usurários que comprometam a subsistência do consumidor.</w:t>
      </w:r>
    </w:p>
    <w:p>
      <w:pPr>
        <w:pStyle w:val="Normal"/>
        <w:spacing w:lineRule="auto" w:line="300"/>
        <w:ind w:firstLine="1418" w:end="0"/>
        <w:jc w:val="both"/>
        <w:rPr>
          <w:rFonts w:eastAsia="Times New Roman" w:cs="Calibri"/>
          <w:lang w:val="pt-BR"/>
        </w:rPr>
      </w:pPr>
      <w:r>
        <w:rPr>
          <w:rFonts w:eastAsia="Times New Roman" w:cs="Calibri"/>
          <w:lang w:val="pt-BR"/>
        </w:rPr>
      </w:r>
    </w:p>
    <w:p>
      <w:pPr>
        <w:pStyle w:val="Normal"/>
        <w:spacing w:lineRule="auto" w:line="300"/>
        <w:ind w:firstLine="1418" w:end="0"/>
        <w:jc w:val="both"/>
        <w:rPr>
          <w:rFonts w:eastAsia="Times New Roman" w:cs="Calibri"/>
          <w:lang w:val="pt-BR"/>
        </w:rPr>
      </w:pPr>
      <w:r>
        <w:rPr>
          <w:rFonts w:eastAsia="Times New Roman" w:cs="Calibri"/>
          <w:lang w:val="pt-BR"/>
        </w:rPr>
        <w:t xml:space="preserve">Nesse sentido, é absolutamente pertinente a lição do eminente </w:t>
      </w:r>
      <w:r>
        <w:rPr>
          <w:rFonts w:eastAsia="Times New Roman" w:cs="Calibri"/>
          <w:b/>
          <w:bCs/>
          <w:lang w:val="pt-BR"/>
        </w:rPr>
        <w:t>Sílvio de Salvo Venosa</w:t>
      </w:r>
      <w:r>
        <w:rPr>
          <w:rFonts w:eastAsia="Times New Roman" w:cs="Calibri"/>
          <w:lang w:val="pt-BR"/>
        </w:rPr>
        <w:t>, ao tratar da responsabilidade civil nas relações de consumo:</w:t>
      </w:r>
    </w:p>
    <w:p>
      <w:pPr>
        <w:pStyle w:val="Normal"/>
        <w:spacing w:lineRule="auto" w:line="300"/>
        <w:ind w:firstLine="1418" w:end="0"/>
        <w:jc w:val="both"/>
        <w:rPr>
          <w:rFonts w:eastAsia="Times New Roman" w:cs="Calibri"/>
          <w:lang w:val="pt-BR"/>
        </w:rPr>
      </w:pPr>
      <w:r>
        <w:rPr>
          <w:rFonts w:eastAsia="Times New Roman" w:cs="Calibri"/>
          <w:lang w:val="pt-BR"/>
        </w:rPr>
      </w:r>
    </w:p>
    <w:p>
      <w:pPr>
        <w:pStyle w:val="Normal"/>
        <w:spacing w:lineRule="auto" w:line="240"/>
        <w:ind w:start="2268" w:end="0"/>
        <w:jc w:val="both"/>
        <w:rPr>
          <w:rFonts w:cs="Calibri"/>
          <w:sz w:val="20"/>
          <w:szCs w:val="20"/>
          <w:lang w:val="pt-BR"/>
        </w:rPr>
      </w:pPr>
      <w:r>
        <w:rPr>
          <w:rFonts w:cs="Calibri"/>
          <w:sz w:val="20"/>
          <w:szCs w:val="20"/>
          <w:lang w:val="pt-BR"/>
        </w:rPr>
        <w:t xml:space="preserve">“Os danos projetados nos consumidores, decorrentes da atividade do fornecedor de produtos e serviços, devem ser cabalmente indenizados. No nosso sistema foi adotada a responsabilidade objetiva no campo do consumidor, sem que haja limites para a indenização. Ao contrário do que ocorre em outros setores, no campo da indenização aos consumidores não existe limitação tarifada.” (in, Direito Civil. Responsabilidade Civil, São Paulo, Ed. Atlas, 2004, p. 206). </w:t>
      </w:r>
    </w:p>
    <w:p>
      <w:pPr>
        <w:pStyle w:val="Normal"/>
        <w:spacing w:lineRule="auto" w:line="300"/>
        <w:ind w:firstLine="1418" w:end="0"/>
        <w:rPr>
          <w:rFonts w:cs="Calibri"/>
          <w:lang w:val="pt-BR"/>
        </w:rPr>
      </w:pPr>
      <w:r>
        <w:rPr>
          <w:rFonts w:cs="Calibri"/>
          <w:lang w:val="pt-BR"/>
        </w:rPr>
        <w:t xml:space="preserve"> </w:t>
      </w:r>
    </w:p>
    <w:p>
      <w:pPr>
        <w:pStyle w:val="Normal"/>
        <w:spacing w:lineRule="auto" w:line="300"/>
        <w:ind w:firstLine="1418" w:end="0"/>
        <w:jc w:val="both"/>
        <w:rPr>
          <w:rFonts w:cs="Calibri"/>
          <w:lang w:val="pt-BR"/>
        </w:rPr>
      </w:pPr>
      <w:r>
        <w:rPr>
          <w:rFonts w:eastAsia="Times New Roman" w:cs="Calibri"/>
          <w:lang w:val="pt-BR"/>
        </w:rPr>
        <w:t xml:space="preserve">No mesmo diapasão, </w:t>
      </w:r>
      <w:r>
        <w:rPr>
          <w:rFonts w:eastAsia="Times New Roman" w:cs="Calibri"/>
          <w:b/>
          <w:bCs/>
          <w:lang w:val="pt-BR"/>
        </w:rPr>
        <w:t>Sérgio Cavalieri Filho</w:t>
      </w:r>
      <w:r>
        <w:rPr>
          <w:rFonts w:eastAsia="Times New Roman" w:cs="Calibri"/>
          <w:lang w:val="pt-BR"/>
        </w:rPr>
        <w:t>, ao discorrer sobre o tema, leciona que a responsabilidade do fornecedor de serviços no âmbito do CDC é de natureza objetiva fundada no defeito do serviço, bastando ao consumidor a demonstração do defeito, do dano e do nexo causal. O fornecedor somente se exonera nas hipóteses taxativamente previstas no §3º do art. 14, a saber: inexistência do defeito, culpa exclusiva do consumidor ou de terceiro — nenhuma das quais se faz presente no caso em tela.</w:t>
      </w:r>
    </w:p>
    <w:p>
      <w:pPr>
        <w:pStyle w:val="Normal"/>
        <w:spacing w:lineRule="auto" w:line="300"/>
        <w:ind w:firstLine="1418" w:end="0"/>
        <w:jc w:val="both"/>
        <w:rPr>
          <w:rFonts w:cs="Calibri"/>
          <w:shd w:fill="FFFFFF" w:val="clear"/>
          <w:lang w:val="pt-BR"/>
        </w:rPr>
      </w:pPr>
      <w:r>
        <w:rPr>
          <w:rFonts w:cs="Calibri"/>
          <w:shd w:fill="FFFFFF" w:val="clear"/>
          <w:lang w:val="pt-BR"/>
        </w:rPr>
      </w:r>
    </w:p>
    <w:p>
      <w:pPr>
        <w:pStyle w:val="Normal"/>
        <w:spacing w:lineRule="auto" w:line="300"/>
        <w:ind w:firstLine="1418" w:end="0"/>
        <w:jc w:val="both"/>
        <w:rPr>
          <w:rFonts w:cs="Calibri"/>
          <w:lang w:val="pt-BR"/>
        </w:rPr>
      </w:pPr>
      <w:r>
        <w:rPr>
          <w:rFonts w:eastAsia="Times New Roman" w:cs="Calibri"/>
          <w:lang w:val="pt-BR"/>
        </w:rPr>
        <w:t xml:space="preserve">Merece relevo o fato de que o art. 14, §3º, do CDC estabelece, em rol </w:t>
      </w:r>
      <w:r>
        <w:rPr>
          <w:rFonts w:eastAsia="Times New Roman" w:cs="Calibri"/>
          <w:i/>
          <w:iCs/>
          <w:lang w:val="pt-BR"/>
        </w:rPr>
        <w:t>numerus clausus</w:t>
      </w:r>
      <w:r>
        <w:rPr>
          <w:rFonts w:eastAsia="Times New Roman" w:cs="Calibri"/>
          <w:lang w:val="pt-BR"/>
        </w:rPr>
        <w:t xml:space="preserve">, as únicas hipóteses em que o fornecedor de serviços poderá se eximir da responsabilidade, a saber: </w:t>
      </w:r>
      <w:r>
        <w:rPr>
          <w:rFonts w:eastAsia="Times New Roman" w:cs="Calibri"/>
          <w:b/>
          <w:bCs/>
          <w:lang w:val="pt-BR"/>
        </w:rPr>
        <w:t>(i)</w:t>
      </w:r>
      <w:r>
        <w:rPr>
          <w:rFonts w:eastAsia="Times New Roman" w:cs="Calibri"/>
          <w:lang w:val="pt-BR"/>
        </w:rPr>
        <w:t xml:space="preserve"> provando que o defeito inexiste; </w:t>
      </w:r>
      <w:r>
        <w:rPr>
          <w:rFonts w:eastAsia="Times New Roman" w:cs="Calibri"/>
          <w:b/>
          <w:bCs/>
          <w:lang w:val="pt-BR"/>
        </w:rPr>
        <w:t>(ii)</w:t>
      </w:r>
      <w:r>
        <w:rPr>
          <w:rFonts w:eastAsia="Times New Roman" w:cs="Calibri"/>
          <w:lang w:val="pt-BR"/>
        </w:rPr>
        <w:t xml:space="preserve"> provando a culpa exclusiva do consumidor ou de terceiro. Trata-se de rol taxativo e de interpretação restritiva, cabendo ao fornecedor o ônus de demonstrar a ocorrência de qualquer dessas hipóteses.</w:t>
      </w:r>
    </w:p>
    <w:p>
      <w:pPr>
        <w:pStyle w:val="Normal"/>
        <w:spacing w:lineRule="auto" w:line="300"/>
        <w:ind w:firstLine="1418" w:end="0"/>
        <w:jc w:val="both"/>
        <w:rPr>
          <w:rFonts w:eastAsia="Times New Roman" w:cs="Calibri"/>
          <w:lang w:val="pt-BR"/>
        </w:rPr>
      </w:pPr>
      <w:r>
        <w:rPr>
          <w:rFonts w:eastAsia="Times New Roman" w:cs="Calibri"/>
          <w:lang w:val="pt-BR"/>
        </w:rPr>
      </w:r>
    </w:p>
    <w:p>
      <w:pPr>
        <w:pStyle w:val="Normal"/>
        <w:spacing w:lineRule="auto" w:line="300"/>
        <w:ind w:firstLine="1418" w:end="0"/>
        <w:jc w:val="both"/>
        <w:rPr>
          <w:rFonts w:cs="Calibri"/>
          <w:lang w:val="pt-BR"/>
        </w:rPr>
      </w:pPr>
      <w:r>
        <w:rPr>
          <w:rFonts w:eastAsia="Times New Roman" w:cs="Calibri"/>
          <w:lang w:val="pt-BR"/>
        </w:rPr>
        <w:t xml:space="preserve">No caso vertente, </w:t>
      </w:r>
      <w:r>
        <w:rPr>
          <w:rFonts w:eastAsia="Times New Roman" w:cs="Calibri"/>
          <w:b/>
          <w:bCs/>
          <w:lang w:val="pt-BR"/>
        </w:rPr>
        <w:t>nenhuma das excludentes legais se faz presente</w:t>
      </w:r>
      <w:r>
        <w:rPr>
          <w:rFonts w:eastAsia="Times New Roman" w:cs="Calibri"/>
          <w:lang w:val="pt-BR"/>
        </w:rPr>
        <w:t>. O defeito do serviço está cabalmente demonstrado pela imposição de taxa de juros 2,97 vezes superior à média de mercado; não há qualquer indício de culpa exclusiva da consumidora, que se limitou a aderir ao contrato nos termos impostos unilateralmente pelo banco; e, evidentemente, não se cogita de fato de terceiro, porquanto a fixação da taxa de juros é ato privativo e exclusivo da instituição financeira.</w:t>
      </w:r>
    </w:p>
    <w:p>
      <w:pPr>
        <w:pStyle w:val="Normal"/>
        <w:spacing w:lineRule="auto" w:line="300"/>
        <w:ind w:firstLine="1418" w:end="0"/>
        <w:jc w:val="both"/>
        <w:rPr>
          <w:rFonts w:cs="Calibri"/>
          <w:shd w:fill="FFFFFF" w:val="clear"/>
          <w:lang w:val="pt-BR"/>
        </w:rPr>
      </w:pPr>
      <w:r>
        <w:rPr>
          <w:rFonts w:cs="Calibri"/>
          <w:shd w:fill="FFFFFF" w:val="clear"/>
          <w:lang w:val="pt-BR"/>
        </w:rPr>
      </w:r>
    </w:p>
    <w:p>
      <w:pPr>
        <w:pStyle w:val="Normal"/>
        <w:spacing w:lineRule="auto" w:line="300"/>
        <w:ind w:firstLine="1418" w:end="0"/>
        <w:jc w:val="both"/>
        <w:rPr>
          <w:rFonts w:eastAsia="Times New Roman" w:cs="Calibri"/>
          <w:lang w:val="pt-BR"/>
        </w:rPr>
      </w:pPr>
      <w:r>
        <w:rPr>
          <w:rFonts w:eastAsia="Times New Roman" w:cs="Calibri"/>
          <w:lang w:val="pt-BR"/>
        </w:rPr>
        <w:t xml:space="preserve">A conduta da instituição financeira requerida não se limita a uma mera </w:t>
      </w:r>
      <w:r>
        <w:rPr>
          <w:rFonts w:eastAsia="Times New Roman" w:cs="Calibri"/>
          <w:i/>
          <w:iCs/>
          <w:lang w:val="pt-BR"/>
        </w:rPr>
        <w:t>deficiência</w:t>
      </w:r>
      <w:r>
        <w:rPr>
          <w:rFonts w:eastAsia="Times New Roman" w:cs="Calibri"/>
          <w:lang w:val="pt-BR"/>
        </w:rPr>
        <w:t xml:space="preserve"> na prestação do serviço, mas configura verdadeira </w:t>
      </w:r>
      <w:r>
        <w:rPr>
          <w:rFonts w:eastAsia="Times New Roman" w:cs="Calibri"/>
          <w:b/>
          <w:bCs/>
          <w:lang w:val="pt-BR"/>
        </w:rPr>
        <w:t>extrapolação dos limites do exercício regular de direito</w:t>
      </w:r>
      <w:r>
        <w:rPr>
          <w:rFonts w:eastAsia="Times New Roman" w:cs="Calibri"/>
          <w:lang w:val="pt-BR"/>
        </w:rPr>
        <w:t xml:space="preserve"> (art. 187 do Código Civil), na medida em que a cobrança de juros em patamar quase cinco vezes superior à média de mercado transcende qualquer noção de razoabilidade e proporcionalidade, caracterizando conduta que tangencia o próprio conceito de </w:t>
      </w:r>
      <w:r>
        <w:rPr>
          <w:rFonts w:eastAsia="Times New Roman" w:cs="Calibri"/>
          <w:b/>
          <w:bCs/>
          <w:lang w:val="pt-BR"/>
        </w:rPr>
        <w:t>usura</w:t>
      </w:r>
      <w:r>
        <w:rPr>
          <w:rFonts w:eastAsia="Times New Roman" w:cs="Calibri"/>
          <w:lang w:val="pt-BR"/>
        </w:rPr>
        <w:t>, repudiada pelo ordenamento jurídico pátrio.</w:t>
      </w:r>
    </w:p>
    <w:p>
      <w:pPr>
        <w:pStyle w:val="Normal"/>
        <w:spacing w:lineRule="auto" w:line="300"/>
        <w:ind w:firstLine="1418" w:end="0"/>
        <w:jc w:val="both"/>
        <w:rPr>
          <w:rFonts w:eastAsia="Times New Roman" w:cs="Calibri"/>
          <w:lang w:val="pt-BR"/>
        </w:rPr>
      </w:pPr>
      <w:r>
        <w:rPr>
          <w:rFonts w:eastAsia="Times New Roman" w:cs="Calibri"/>
          <w:lang w:val="pt-BR"/>
        </w:rPr>
      </w:r>
    </w:p>
    <w:p>
      <w:pPr>
        <w:pStyle w:val="Normal"/>
        <w:spacing w:lineRule="auto" w:line="300"/>
        <w:ind w:firstLine="1418" w:end="0"/>
        <w:jc w:val="both"/>
        <w:rPr>
          <w:rFonts w:cs="Calibri"/>
          <w:lang w:val="pt-BR"/>
        </w:rPr>
      </w:pPr>
      <w:r>
        <w:rPr>
          <w:rFonts w:eastAsia="Times New Roman" w:cs="Calibri"/>
          <w:lang w:val="pt-BR"/>
        </w:rPr>
        <w:t xml:space="preserve">Tal prática viola frontalmente os princípios da </w:t>
      </w:r>
      <w:r>
        <w:rPr>
          <w:rFonts w:eastAsia="Times New Roman" w:cs="Calibri"/>
          <w:b/>
          <w:bCs/>
          <w:lang w:val="pt-BR"/>
        </w:rPr>
        <w:t>boa-fé objetiva</w:t>
      </w:r>
      <w:r>
        <w:rPr>
          <w:rFonts w:eastAsia="Times New Roman" w:cs="Calibri"/>
          <w:lang w:val="pt-BR"/>
        </w:rPr>
        <w:t xml:space="preserve"> (art. 422 do CC e art. 4º, III, do CDC), da </w:t>
      </w:r>
      <w:r>
        <w:rPr>
          <w:rFonts w:eastAsia="Times New Roman" w:cs="Calibri"/>
          <w:b/>
          <w:bCs/>
          <w:lang w:val="pt-BR"/>
        </w:rPr>
        <w:t>equidade contratual</w:t>
      </w:r>
      <w:r>
        <w:rPr>
          <w:rFonts w:eastAsia="Times New Roman" w:cs="Calibri"/>
          <w:lang w:val="pt-BR"/>
        </w:rPr>
        <w:t xml:space="preserve">, da </w:t>
      </w:r>
      <w:r>
        <w:rPr>
          <w:rFonts w:eastAsia="Times New Roman" w:cs="Calibri"/>
          <w:b/>
          <w:bCs/>
          <w:lang w:val="pt-BR"/>
        </w:rPr>
        <w:t>função social do contrato</w:t>
      </w:r>
      <w:r>
        <w:rPr>
          <w:rFonts w:eastAsia="Times New Roman" w:cs="Calibri"/>
          <w:lang w:val="pt-BR"/>
        </w:rPr>
        <w:t xml:space="preserve"> (art. 421 do CC) e da </w:t>
      </w:r>
      <w:r>
        <w:rPr>
          <w:rFonts w:eastAsia="Times New Roman" w:cs="Calibri"/>
          <w:b/>
          <w:bCs/>
          <w:lang w:val="pt-BR"/>
        </w:rPr>
        <w:t>vedação ao enriquecimento sem causa</w:t>
      </w:r>
      <w:r>
        <w:rPr>
          <w:rFonts w:eastAsia="Times New Roman" w:cs="Calibri"/>
          <w:lang w:val="pt-BR"/>
        </w:rPr>
        <w:t xml:space="preserve"> (art. 884 do CC), configurando, de forma cumulativa, tanto o </w:t>
      </w:r>
      <w:r>
        <w:rPr>
          <w:rFonts w:eastAsia="Times New Roman" w:cs="Calibri"/>
          <w:i/>
          <w:iCs/>
          <w:lang w:val="pt-BR"/>
        </w:rPr>
        <w:t>defeito do serviço</w:t>
      </w:r>
      <w:r>
        <w:rPr>
          <w:rFonts w:eastAsia="Times New Roman" w:cs="Calibri"/>
          <w:lang w:val="pt-BR"/>
        </w:rPr>
        <w:t xml:space="preserve"> para fins do art. 14 do CDC quanto o </w:t>
      </w:r>
      <w:r>
        <w:rPr>
          <w:rFonts w:eastAsia="Times New Roman" w:cs="Calibri"/>
          <w:i/>
          <w:iCs/>
          <w:lang w:val="pt-BR"/>
        </w:rPr>
        <w:t>abuso de direito</w:t>
      </w:r>
      <w:r>
        <w:rPr>
          <w:rFonts w:eastAsia="Times New Roman" w:cs="Calibri"/>
          <w:lang w:val="pt-BR"/>
        </w:rPr>
        <w:t xml:space="preserve"> para fins do art. 187 do Código Civil — ambos geradores do dever de reparar.</w:t>
      </w:r>
    </w:p>
    <w:p>
      <w:pPr>
        <w:pStyle w:val="Normal"/>
        <w:spacing w:lineRule="auto" w:line="300"/>
        <w:ind w:firstLine="1418" w:end="0"/>
        <w:rPr>
          <w:rFonts w:cs="Calibri"/>
          <w:lang w:val="pt-BR"/>
        </w:rPr>
      </w:pPr>
      <w:r>
        <w:rPr>
          <w:rFonts w:cs="Calibri"/>
          <w:lang w:val="pt-BR"/>
        </w:rPr>
      </w:r>
    </w:p>
    <w:p>
      <w:pPr>
        <w:pStyle w:val="Normal"/>
        <w:spacing w:lineRule="auto" w:line="300"/>
        <w:ind w:firstLine="1418" w:end="0"/>
        <w:jc w:val="both"/>
        <w:rPr>
          <w:rFonts w:cs="Calibri"/>
          <w:lang w:val="pt-BR"/>
        </w:rPr>
      </w:pPr>
      <w:r>
        <w:rPr>
          <w:rFonts w:eastAsia="Times New Roman" w:cs="Calibri"/>
          <w:lang w:val="pt-BR"/>
        </w:rPr>
        <w:t xml:space="preserve">Diante de todo o exposto, </w:t>
      </w:r>
      <w:r>
        <w:rPr>
          <w:rFonts w:eastAsia="Times New Roman" w:cs="Calibri"/>
          <w:b/>
          <w:bCs/>
          <w:lang w:val="pt-BR"/>
        </w:rPr>
        <w:t>emerge de forma irrefutável a responsabilidade objetiva da instituição financeira requerida</w:t>
      </w:r>
      <w:r>
        <w:rPr>
          <w:rFonts w:eastAsia="Times New Roman" w:cs="Calibri"/>
          <w:lang w:val="pt-BR"/>
        </w:rPr>
        <w:t xml:space="preserve"> pelos danos causados à parte autora, estando plenamente configurados todos os pressupostos legais exigidos pelo art. 14 do Código de Defesa do Consumidor: </w:t>
      </w:r>
      <w:r>
        <w:rPr>
          <w:rFonts w:eastAsia="Times New Roman" w:cs="Calibri"/>
          <w:b/>
          <w:bCs/>
          <w:lang w:val="pt-BR"/>
        </w:rPr>
        <w:t xml:space="preserve">(i) </w:t>
      </w:r>
      <w:r>
        <w:rPr>
          <w:rFonts w:eastAsia="Times New Roman" w:cs="Calibri"/>
          <w:lang w:val="pt-BR"/>
        </w:rPr>
        <w:t xml:space="preserve">o defeito do serviço, materializado na imposição de taxa de juros flagrantemente abusiva; </w:t>
      </w:r>
      <w:r>
        <w:rPr>
          <w:rFonts w:eastAsia="Times New Roman" w:cs="Calibri"/>
          <w:b/>
          <w:bCs/>
          <w:lang w:val="pt-BR"/>
        </w:rPr>
        <w:t>(ii)</w:t>
      </w:r>
      <w:r>
        <w:rPr>
          <w:rFonts w:eastAsia="Times New Roman" w:cs="Calibri"/>
          <w:lang w:val="pt-BR"/>
        </w:rPr>
        <w:t xml:space="preserve"> o dano patrimonial concreto, consubstanciado na cobrança de R$ 3.096,72 quando o valor correto, pela taxa média de mercado, corresponderia a R$ 1.673,46; e </w:t>
      </w:r>
      <w:r>
        <w:rPr>
          <w:rFonts w:eastAsia="Times New Roman" w:cs="Calibri"/>
          <w:b/>
          <w:bCs/>
          <w:lang w:val="pt-BR"/>
        </w:rPr>
        <w:t>(iii)</w:t>
      </w:r>
      <w:r>
        <w:rPr>
          <w:rFonts w:eastAsia="Times New Roman" w:cs="Calibri"/>
          <w:lang w:val="pt-BR"/>
        </w:rPr>
        <w:t xml:space="preserve"> o nexo de causalidade direto e imediato entre a conduta do banco e o prejuízo suportado pela consumidora. Impõe-se, portanto, a </w:t>
      </w:r>
      <w:r>
        <w:rPr>
          <w:rFonts w:eastAsia="Times New Roman" w:cs="Calibri"/>
          <w:b/>
          <w:bCs/>
          <w:lang w:val="pt-BR"/>
        </w:rPr>
        <w:t>revisão contratual</w:t>
      </w:r>
      <w:r>
        <w:rPr>
          <w:rFonts w:eastAsia="Times New Roman" w:cs="Calibri"/>
          <w:lang w:val="pt-BR"/>
        </w:rPr>
        <w:t xml:space="preserve"> e a consequente </w:t>
      </w:r>
      <w:r>
        <w:rPr>
          <w:rFonts w:eastAsia="Times New Roman" w:cs="Calibri"/>
          <w:b/>
          <w:bCs/>
          <w:lang w:val="pt-BR"/>
        </w:rPr>
        <w:t>reparação integral dos prejuízos</w:t>
      </w:r>
      <w:r>
        <w:rPr>
          <w:rFonts w:eastAsia="Times New Roman" w:cs="Calibri"/>
          <w:lang w:val="pt-BR"/>
        </w:rPr>
        <w:t>, como medida de elementar justiça e de fiel observância ao sistema de proteção ao consumidor instituído pela Constituição Federal e pelo Código de Defesa do Consumidor.</w:t>
      </w:r>
    </w:p>
    <w:p>
      <w:pPr>
        <w:pStyle w:val="Normal"/>
        <w:spacing w:lineRule="auto" w:line="300"/>
        <w:ind w:firstLine="1418" w:end="0"/>
        <w:jc w:val="both"/>
        <w:rPr>
          <w:rFonts w:cs="Calibri"/>
          <w:lang w:val="pt-BR"/>
        </w:rPr>
      </w:pPr>
      <w:r>
        <w:rPr>
          <w:rFonts w:cs="Calibri"/>
          <w:lang w:val="pt-BR"/>
        </w:rPr>
      </w:r>
    </w:p>
    <w:p>
      <w:pPr>
        <w:pStyle w:val="PargrafodaLista"/>
        <w:numPr>
          <w:ilvl w:val="1"/>
          <w:numId w:val="2"/>
        </w:numPr>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before="0" w:after="0"/>
        <w:contextualSpacing/>
        <w:jc w:val="both"/>
        <w:rPr>
          <w:rFonts w:cs="Calibri"/>
          <w:color w:val="000000"/>
        </w:rPr>
      </w:pPr>
      <w:r>
        <w:rPr>
          <w:rFonts w:cs="Calibri"/>
          <w:b/>
          <w:color w:val="000000"/>
        </w:rPr>
        <w:t xml:space="preserve">- DA RELATIVIZAÇÃO DO PRÍNCIPIO “PACTA SUN SERVANDA” </w:t>
      </w:r>
    </w:p>
    <w:p>
      <w:pPr>
        <w:pStyle w:val="Normal"/>
        <w:spacing w:lineRule="auto" w:line="300"/>
        <w:ind w:firstLine="1985"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 xml:space="preserve">O Código Civil de 2002 promoveu relevantes inovações no ordenamento jurídico brasileiro ao </w:t>
      </w:r>
      <w:r>
        <w:rPr>
          <w:rFonts w:cs="Calibri"/>
          <w:b/>
          <w:bCs/>
          <w:color w:val="000000"/>
          <w:lang w:val="pt-BR"/>
        </w:rPr>
        <w:t>reformular a teoria geral dos contratos</w:t>
      </w:r>
      <w:r>
        <w:rPr>
          <w:rFonts w:cs="Calibri"/>
          <w:color w:val="000000"/>
          <w:lang w:val="pt-BR"/>
        </w:rPr>
        <w:t xml:space="preserve">, incorporando princípios que limitam a autonomia privada e afastam a rigidez absoluta do princípio do </w:t>
      </w:r>
      <w:r>
        <w:rPr>
          <w:rFonts w:cs="Calibri"/>
          <w:i/>
          <w:iCs/>
          <w:color w:val="000000"/>
          <w:lang w:val="pt-BR"/>
        </w:rPr>
        <w:t>pacta sunt servanda</w:t>
      </w:r>
      <w:r>
        <w:rPr>
          <w:rFonts w:cs="Calibri"/>
          <w:color w:val="000000"/>
          <w:lang w:val="pt-BR"/>
        </w:rPr>
        <w:t xml:space="preserve">, notadamente os princípios da </w:t>
      </w:r>
      <w:r>
        <w:rPr>
          <w:rFonts w:cs="Calibri"/>
          <w:b/>
          <w:bCs/>
          <w:color w:val="000000"/>
          <w:lang w:val="pt-BR"/>
        </w:rPr>
        <w:t>função social do contrato</w:t>
      </w:r>
      <w:r>
        <w:rPr>
          <w:rFonts w:cs="Calibri"/>
          <w:color w:val="000000"/>
          <w:lang w:val="pt-BR"/>
        </w:rPr>
        <w:t xml:space="preserve"> e da </w:t>
      </w:r>
      <w:r>
        <w:rPr>
          <w:rFonts w:cs="Calibri"/>
          <w:b/>
          <w:bCs/>
          <w:color w:val="000000"/>
          <w:lang w:val="pt-BR"/>
        </w:rPr>
        <w:t>boa-fé objetiva</w:t>
      </w:r>
      <w:r>
        <w:rPr>
          <w:rFonts w:cs="Calibri"/>
          <w:color w:val="000000"/>
          <w:lang w:val="pt-BR"/>
        </w:rPr>
        <w:t>, positivados nos arts. 421 e 422 do referido diploma legal.</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rFonts w:cs="Calibri"/>
          <w:color w:val="000000"/>
          <w:lang w:val="pt-BR"/>
        </w:rPr>
      </w:pPr>
      <w:r>
        <w:rPr>
          <w:rFonts w:cs="Calibri"/>
          <w:color w:val="000000"/>
          <w:lang w:val="pt-BR"/>
        </w:rPr>
        <w:t>Dispõem os mencionados dispositivos:</w:t>
      </w:r>
    </w:p>
    <w:p>
      <w:pPr>
        <w:pStyle w:val="Normal"/>
        <w:spacing w:lineRule="auto" w:line="300"/>
        <w:ind w:firstLine="1985" w:end="0"/>
        <w:jc w:val="both"/>
        <w:rPr>
          <w:rFonts w:cs="Calibri"/>
          <w:color w:val="000000"/>
          <w:lang w:val="pt-BR"/>
        </w:rPr>
      </w:pPr>
      <w:r>
        <w:rPr>
          <w:rFonts w:cs="Calibri"/>
          <w:color w:val="000000"/>
          <w:lang w:val="pt-BR"/>
        </w:rPr>
      </w:r>
    </w:p>
    <w:p>
      <w:pPr>
        <w:pStyle w:val="Normal"/>
        <w:spacing w:lineRule="auto" w:line="240"/>
        <w:ind w:start="2268" w:end="0"/>
        <w:jc w:val="both"/>
        <w:rPr>
          <w:rFonts w:cs="Calibri"/>
          <w:iCs/>
          <w:sz w:val="20"/>
          <w:szCs w:val="20"/>
          <w:lang w:val="pt-BR"/>
        </w:rPr>
      </w:pPr>
      <w:r>
        <w:rPr>
          <w:rFonts w:cs="Calibri"/>
          <w:bCs/>
          <w:iCs/>
          <w:spacing w:val="3"/>
          <w:sz w:val="20"/>
          <w:szCs w:val="20"/>
          <w:shd w:fill="FFFFFF" w:val="clear"/>
          <w:lang w:val="pt-BR"/>
        </w:rPr>
        <w:t>Art. 421</w:t>
      </w:r>
      <w:r>
        <w:rPr>
          <w:rFonts w:cs="Calibri"/>
          <w:iCs/>
          <w:spacing w:val="3"/>
          <w:sz w:val="20"/>
          <w:szCs w:val="20"/>
          <w:shd w:fill="FFFFFF" w:val="clear"/>
          <w:lang w:val="pt-BR"/>
        </w:rPr>
        <w:t>. A liberdade de contratar será exercida em razão e nos limites da função social do contrato.</w:t>
      </w:r>
    </w:p>
    <w:p>
      <w:pPr>
        <w:pStyle w:val="Normal"/>
        <w:spacing w:lineRule="auto" w:line="240"/>
        <w:ind w:start="2268" w:end="0"/>
        <w:jc w:val="both"/>
        <w:rPr>
          <w:rFonts w:cs="Calibri"/>
          <w:iCs/>
          <w:sz w:val="20"/>
          <w:szCs w:val="20"/>
          <w:lang w:val="pt-BR"/>
        </w:rPr>
      </w:pPr>
      <w:r>
        <w:rPr>
          <w:rFonts w:cs="Calibri"/>
          <w:iCs/>
          <w:sz w:val="20"/>
          <w:szCs w:val="20"/>
          <w:lang w:val="pt-BR"/>
        </w:rPr>
      </w:r>
    </w:p>
    <w:p>
      <w:pPr>
        <w:pStyle w:val="Normal"/>
        <w:spacing w:lineRule="auto" w:line="240"/>
        <w:ind w:start="2268" w:end="0"/>
        <w:jc w:val="both"/>
        <w:rPr>
          <w:rFonts w:cs="Calibri"/>
          <w:iCs/>
          <w:sz w:val="20"/>
          <w:szCs w:val="20"/>
          <w:lang w:val="pt-BR"/>
        </w:rPr>
      </w:pPr>
      <w:r>
        <w:rPr>
          <w:rFonts w:cs="Calibri"/>
          <w:iCs/>
          <w:sz w:val="20"/>
          <w:szCs w:val="20"/>
          <w:shd w:fill="FFFFFF" w:val="clear"/>
          <w:lang w:val="pt-BR"/>
        </w:rPr>
        <w:t>Art. 422. Os contratantes são obrigados a guardar, assim na conclusão do contrato, como em sua execução, os princípios de probidade e boa-fé.</w:t>
      </w:r>
    </w:p>
    <w:p>
      <w:pPr>
        <w:pStyle w:val="Normal"/>
        <w:spacing w:lineRule="auto" w:line="300"/>
        <w:ind w:start="2268" w:end="0"/>
        <w:jc w:val="both"/>
        <w:rPr>
          <w:rFonts w:cs="Calibri"/>
          <w:i/>
          <w:i/>
          <w:iCs/>
          <w:sz w:val="20"/>
          <w:szCs w:val="20"/>
          <w:lang w:val="pt-BR"/>
        </w:rPr>
      </w:pPr>
      <w:r>
        <w:rPr>
          <w:rFonts w:cs="Calibri"/>
          <w:i/>
          <w:iCs/>
          <w:sz w:val="20"/>
          <w:szCs w:val="20"/>
          <w:lang w:val="pt-BR"/>
        </w:rPr>
      </w:r>
    </w:p>
    <w:p>
      <w:pPr>
        <w:pStyle w:val="Normal"/>
        <w:spacing w:lineRule="auto" w:line="300"/>
        <w:ind w:firstLine="1418" w:end="0"/>
        <w:jc w:val="both"/>
        <w:rPr/>
      </w:pPr>
      <w:r>
        <w:rPr>
          <w:rFonts w:cs="Calibri"/>
          <w:color w:val="000000"/>
          <w:lang w:val="pt-BR"/>
        </w:rPr>
        <w:t xml:space="preserve">A partir desse novo paradigma, é possível afirmar que o princípio do </w:t>
      </w:r>
      <w:r>
        <w:rPr>
          <w:rFonts w:cs="Calibri"/>
          <w:i/>
          <w:iCs/>
          <w:color w:val="000000"/>
          <w:lang w:val="pt-BR"/>
        </w:rPr>
        <w:t>pacta sunt servanda</w:t>
      </w:r>
      <w:r>
        <w:rPr>
          <w:rFonts w:cs="Calibri"/>
          <w:color w:val="000000"/>
          <w:lang w:val="pt-BR"/>
        </w:rPr>
        <w:t xml:space="preserve"> </w:t>
      </w:r>
      <w:r>
        <w:rPr>
          <w:rFonts w:cs="Calibri"/>
          <w:b/>
          <w:bCs/>
          <w:color w:val="000000"/>
          <w:lang w:val="pt-BR"/>
        </w:rPr>
        <w:t>não foi abolido</w:t>
      </w:r>
      <w:r>
        <w:rPr>
          <w:rFonts w:cs="Calibri"/>
          <w:color w:val="000000"/>
          <w:lang w:val="pt-BR"/>
        </w:rPr>
        <w:t xml:space="preserve">, porém </w:t>
      </w:r>
      <w:r>
        <w:rPr>
          <w:rFonts w:cs="Calibri"/>
          <w:b/>
          <w:bCs/>
          <w:color w:val="000000"/>
          <w:lang w:val="pt-BR"/>
        </w:rPr>
        <w:t>teve seu alcance significativamente relativizado</w:t>
      </w:r>
      <w:r>
        <w:rPr>
          <w:rFonts w:cs="Calibri"/>
          <w:color w:val="000000"/>
          <w:lang w:val="pt-BR"/>
        </w:rPr>
        <w:t>, deixando de ostentar caráter absoluto, sobretudo quando verificada a existência de cláusulas abusivas, prestações excessivamente onerosas ou violação aos deveres anexos de lealdade, transparência e cooperação.</w:t>
      </w:r>
    </w:p>
    <w:p>
      <w:pPr>
        <w:pStyle w:val="Normal"/>
        <w:spacing w:lineRule="auto" w:line="300"/>
        <w:ind w:firstLine="1418" w:end="0"/>
        <w:jc w:val="both"/>
        <w:rPr>
          <w:rFonts w:cs="Calibri"/>
          <w:color w:val="000000"/>
          <w:lang w:val="pt-BR"/>
        </w:rPr>
      </w:pPr>
      <w:r>
        <w:rPr>
          <w:rFonts w:cs="Calibri"/>
          <w:color w:val="000000"/>
          <w:lang w:val="pt-BR"/>
        </w:rPr>
      </w:r>
    </w:p>
    <w:p>
      <w:pPr>
        <w:pStyle w:val="Normal"/>
        <w:spacing w:lineRule="auto" w:line="300"/>
        <w:ind w:firstLine="1418" w:end="0"/>
        <w:jc w:val="both"/>
        <w:rPr/>
      </w:pPr>
      <w:r>
        <w:rPr>
          <w:rFonts w:cs="Calibri"/>
          <w:color w:val="000000"/>
          <w:lang w:val="pt-BR"/>
        </w:rPr>
        <w:t xml:space="preserve">Tal compreensão encontra respaldo na doutrina e foi expressamente consagrada na </w:t>
      </w:r>
      <w:r>
        <w:rPr>
          <w:rFonts w:cs="Calibri"/>
          <w:b/>
          <w:bCs/>
          <w:color w:val="000000"/>
          <w:lang w:val="pt-BR"/>
        </w:rPr>
        <w:t>I Jornada de Direito Civil</w:t>
      </w:r>
      <w:r>
        <w:rPr>
          <w:rFonts w:cs="Calibri"/>
          <w:color w:val="000000"/>
          <w:lang w:val="pt-BR"/>
        </w:rPr>
        <w:t xml:space="preserve">, por meio do </w:t>
      </w:r>
      <w:r>
        <w:rPr>
          <w:rFonts w:cs="Calibri"/>
          <w:b/>
          <w:bCs/>
          <w:color w:val="000000"/>
          <w:lang w:val="pt-BR"/>
        </w:rPr>
        <w:t>Enunciado nº 23</w:t>
      </w:r>
      <w:r>
        <w:rPr>
          <w:rFonts w:cs="Calibri"/>
          <w:color w:val="000000"/>
          <w:lang w:val="pt-BR"/>
        </w:rPr>
        <w:t>, que assim dispõe:</w:t>
      </w:r>
    </w:p>
    <w:p>
      <w:pPr>
        <w:pStyle w:val="Normal"/>
        <w:spacing w:lineRule="auto" w:line="300"/>
        <w:ind w:start="2268" w:end="0"/>
        <w:jc w:val="both"/>
        <w:rPr>
          <w:rFonts w:cs="Calibri"/>
          <w:i/>
          <w:i/>
          <w:color w:val="000000"/>
          <w:shd w:fill="FFFFFF" w:val="clear"/>
          <w:lang w:val="pt-BR"/>
        </w:rPr>
      </w:pPr>
      <w:r>
        <w:rPr>
          <w:rFonts w:cs="Calibri"/>
          <w:i/>
          <w:color w:val="000000"/>
          <w:shd w:fill="FFFFFF" w:val="clear"/>
          <w:lang w:val="pt-BR"/>
        </w:rPr>
      </w:r>
    </w:p>
    <w:p>
      <w:pPr>
        <w:pStyle w:val="Normal"/>
        <w:spacing w:lineRule="auto" w:line="240"/>
        <w:ind w:start="2268" w:end="0"/>
        <w:jc w:val="both"/>
        <w:rPr>
          <w:rFonts w:cs="Calibri"/>
          <w:iCs/>
          <w:sz w:val="20"/>
          <w:szCs w:val="20"/>
          <w:shd w:fill="FFFFFF" w:val="clear"/>
          <w:lang w:val="pt-BR"/>
        </w:rPr>
      </w:pPr>
      <w:r>
        <w:rPr>
          <w:rFonts w:cs="Calibri"/>
          <w:iCs/>
          <w:sz w:val="20"/>
          <w:szCs w:val="20"/>
          <w:shd w:fill="FFFFFF" w:val="clear"/>
          <w:lang w:val="pt-BR"/>
        </w:rPr>
        <w:t>A função social do contrato, prevista no art. 421 do novo Código Civil, não elimina o princípio da autonomia contratual, mas atenua ou reduz o alcance desse princípio quando presentes interesses metaindividuais ou interesse individual relativo à dignidade da pessoa humana.</w:t>
      </w:r>
    </w:p>
    <w:p>
      <w:pPr>
        <w:pStyle w:val="Normal"/>
        <w:spacing w:lineRule="auto" w:line="300"/>
        <w:ind w:start="2268" w:end="0"/>
        <w:jc w:val="both"/>
        <w:rPr>
          <w:rFonts w:cs="Calibri"/>
          <w:i/>
          <w:i/>
          <w:iCs/>
          <w:sz w:val="20"/>
          <w:szCs w:val="20"/>
          <w:shd w:fill="FFFFFF" w:val="clear"/>
          <w:lang w:val="pt-BR"/>
        </w:rPr>
      </w:pPr>
      <w:r>
        <w:rPr>
          <w:rFonts w:cs="Calibri"/>
          <w:i/>
          <w:iCs/>
          <w:sz w:val="20"/>
          <w:szCs w:val="20"/>
          <w:shd w:fill="FFFFFF" w:val="clear"/>
          <w:lang w:val="pt-BR"/>
        </w:rPr>
      </w:r>
    </w:p>
    <w:p>
      <w:pPr>
        <w:pStyle w:val="Normal"/>
        <w:spacing w:lineRule="auto" w:line="300"/>
        <w:ind w:firstLine="1418" w:end="0"/>
        <w:jc w:val="both"/>
        <w:rPr/>
      </w:pPr>
      <w:r>
        <w:rPr>
          <w:rFonts w:cs="Calibri"/>
          <w:shd w:fill="FFFFFF" w:val="clear"/>
          <w:lang w:val="pt-BR"/>
        </w:rPr>
        <w:t xml:space="preserve">Desse modo, resta claro que a liberdade contratual não pode ser exercida de forma irrestrita, devendo observar os </w:t>
      </w:r>
      <w:r>
        <w:rPr>
          <w:rFonts w:cs="Calibri"/>
          <w:b/>
          <w:bCs/>
          <w:shd w:fill="FFFFFF" w:val="clear"/>
          <w:lang w:val="pt-BR"/>
        </w:rPr>
        <w:t>limites legais impostos pela função social do contrato e pela boa-fé objetiva</w:t>
      </w:r>
      <w:r>
        <w:rPr>
          <w:rFonts w:cs="Calibri"/>
          <w:shd w:fill="FFFFFF" w:val="clear"/>
          <w:lang w:val="pt-BR"/>
        </w:rPr>
        <w:t>, sob pena de se legitimar práticas abusivas e de se perpetuar desequilíbrios contratuais incompatíveis com o sistema jurídico vigente.</w:t>
      </w:r>
    </w:p>
    <w:p>
      <w:pPr>
        <w:pStyle w:val="Normal"/>
        <w:spacing w:lineRule="auto" w:line="300"/>
        <w:ind w:firstLine="1418" w:end="0"/>
        <w:jc w:val="both"/>
        <w:rPr>
          <w:rFonts w:cs="Calibri"/>
          <w:shd w:fill="FFFFFF" w:val="clear"/>
          <w:lang w:val="pt-BR"/>
        </w:rPr>
      </w:pPr>
      <w:r>
        <w:rPr>
          <w:rFonts w:cs="Calibri"/>
          <w:shd w:fill="FFFFFF" w:val="clear"/>
          <w:lang w:val="pt-BR"/>
        </w:rPr>
      </w:r>
    </w:p>
    <w:p>
      <w:pPr>
        <w:pStyle w:val="Normal"/>
        <w:spacing w:lineRule="auto" w:line="300"/>
        <w:ind w:firstLine="1418" w:end="0"/>
        <w:jc w:val="both"/>
        <w:rPr/>
      </w:pPr>
      <w:r>
        <w:rPr>
          <w:rFonts w:cs="Calibri"/>
          <w:shd w:fill="FFFFFF" w:val="clear"/>
          <w:lang w:val="pt-BR"/>
        </w:rPr>
        <w:t xml:space="preserve">No mesmo sentido, o </w:t>
      </w:r>
      <w:r>
        <w:rPr>
          <w:rFonts w:cs="Calibri"/>
          <w:b/>
          <w:bCs/>
          <w:shd w:fill="FFFFFF" w:val="clear"/>
          <w:lang w:val="pt-BR"/>
        </w:rPr>
        <w:t>Superior Tribunal de Justiça</w:t>
      </w:r>
      <w:r>
        <w:rPr>
          <w:rFonts w:cs="Calibri"/>
          <w:shd w:fill="FFFFFF" w:val="clear"/>
          <w:lang w:val="pt-BR"/>
        </w:rPr>
        <w:t xml:space="preserve"> consolidou entendimento quanto à possibilidade de revisão de contratos bancários, mesmo após renegociação ou confissão de dívida, conforme dispõe a </w:t>
      </w:r>
      <w:r>
        <w:rPr>
          <w:rFonts w:cs="Calibri"/>
          <w:b/>
          <w:bCs/>
          <w:shd w:fill="FFFFFF" w:val="clear"/>
          <w:lang w:val="pt-BR"/>
        </w:rPr>
        <w:t>Súmula nº 286</w:t>
      </w:r>
      <w:r>
        <w:rPr>
          <w:rFonts w:cs="Calibri"/>
          <w:shd w:fill="FFFFFF" w:val="clear"/>
          <w:lang w:val="pt-BR"/>
        </w:rPr>
        <w:t xml:space="preserve">, </w:t>
      </w:r>
      <w:r>
        <w:rPr>
          <w:rFonts w:cs="Calibri"/>
          <w:i/>
          <w:iCs/>
          <w:shd w:fill="FFFFFF" w:val="clear"/>
          <w:lang w:val="pt-BR"/>
        </w:rPr>
        <w:t>in verbis</w:t>
      </w:r>
      <w:r>
        <w:rPr>
          <w:rFonts w:cs="Calibri"/>
          <w:shd w:fill="FFFFFF" w:val="clear"/>
          <w:lang w:val="pt-BR"/>
        </w:rPr>
        <w:t>:</w:t>
      </w:r>
    </w:p>
    <w:p>
      <w:pPr>
        <w:pStyle w:val="Normal"/>
        <w:spacing w:lineRule="auto" w:line="300"/>
        <w:ind w:firstLine="1418" w:end="0"/>
        <w:jc w:val="both"/>
        <w:rPr>
          <w:rFonts w:cs="Calibri"/>
          <w:shd w:fill="FFFFFF" w:val="clear"/>
          <w:lang w:val="pt-BR"/>
        </w:rPr>
      </w:pPr>
      <w:r>
        <w:rPr>
          <w:rFonts w:cs="Calibri"/>
          <w:shd w:fill="FFFFFF" w:val="clear"/>
          <w:lang w:val="pt-BR"/>
        </w:rPr>
      </w:r>
    </w:p>
    <w:p>
      <w:pPr>
        <w:pStyle w:val="Normal"/>
        <w:spacing w:lineRule="auto" w:line="240"/>
        <w:ind w:start="2268" w:end="0"/>
        <w:jc w:val="both"/>
        <w:rPr>
          <w:rFonts w:cs="Calibri"/>
          <w:lang w:val="pt-BR"/>
        </w:rPr>
      </w:pPr>
      <w:r>
        <w:rPr>
          <w:rFonts w:cs="Calibri"/>
          <w:sz w:val="20"/>
          <w:szCs w:val="20"/>
          <w:lang w:val="pt-BR"/>
        </w:rPr>
        <w:t xml:space="preserve">“a renegociação de contrato bancário ou a confissão da dívida não impede a possibilidade de discussão sobre eventuais ilegalidades dos contratos anteriores”. </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A possibilidade de revisão judicial das cláusulas contratuais, portanto, representa manifestação legítima da relativização do princípio do </w:t>
      </w:r>
      <w:r>
        <w:rPr>
          <w:rFonts w:cs="Calibri"/>
          <w:i/>
          <w:iCs/>
          <w:lang w:val="pt-BR"/>
        </w:rPr>
        <w:t>pacta sunt servanda</w:t>
      </w:r>
      <w:r>
        <w:rPr>
          <w:rFonts w:cs="Calibri"/>
          <w:lang w:val="pt-BR"/>
        </w:rPr>
        <w:t xml:space="preserve">, </w:t>
      </w:r>
      <w:r>
        <w:rPr>
          <w:rFonts w:cs="Calibri"/>
          <w:b/>
          <w:bCs/>
          <w:lang w:val="pt-BR"/>
        </w:rPr>
        <w:t>não com o intuito de desconstituir a relação jurídica</w:t>
      </w:r>
      <w:r>
        <w:rPr>
          <w:rFonts w:cs="Calibri"/>
          <w:lang w:val="pt-BR"/>
        </w:rPr>
        <w:t xml:space="preserve">, mas sim de </w:t>
      </w:r>
      <w:r>
        <w:rPr>
          <w:rFonts w:cs="Calibri"/>
          <w:b/>
          <w:bCs/>
          <w:lang w:val="pt-BR"/>
        </w:rPr>
        <w:t>afastar ilegalidades, reprimir abusos e restabelecer o equilíbrio contratual</w:t>
      </w:r>
      <w:r>
        <w:rPr>
          <w:rFonts w:cs="Calibri"/>
          <w:lang w:val="pt-BR"/>
        </w:rPr>
        <w:t>, preservando-se, sempre que possível, a continuidade do vínculo obrigacional.</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No âmbito das relações de consumo, tal prerrogativa encontra respaldo direto no </w:t>
      </w:r>
      <w:r>
        <w:rPr>
          <w:rFonts w:cs="Calibri"/>
          <w:b/>
          <w:bCs/>
          <w:lang w:val="pt-BR"/>
        </w:rPr>
        <w:t>art. 6º, inciso V, do Código de Defesa do Consumidor</w:t>
      </w:r>
      <w:r>
        <w:rPr>
          <w:rFonts w:cs="Calibri"/>
          <w:lang w:val="pt-BR"/>
        </w:rPr>
        <w:t>, que assegura como direito básico do consumidor:</w:t>
      </w:r>
    </w:p>
    <w:p>
      <w:pPr>
        <w:pStyle w:val="Normal"/>
        <w:spacing w:lineRule="auto" w:line="300"/>
        <w:ind w:start="2268" w:end="0"/>
        <w:jc w:val="both"/>
        <w:rPr>
          <w:rFonts w:cs="Calibri"/>
          <w:i/>
          <w:i/>
          <w:iCs/>
          <w:lang w:val="pt-BR"/>
        </w:rPr>
      </w:pPr>
      <w:r>
        <w:rPr>
          <w:rFonts w:cs="Calibri"/>
          <w:i/>
          <w:iCs/>
          <w:lang w:val="pt-BR"/>
        </w:rPr>
      </w:r>
    </w:p>
    <w:p>
      <w:pPr>
        <w:pStyle w:val="Normal"/>
        <w:spacing w:lineRule="auto" w:line="240"/>
        <w:ind w:start="2268" w:end="0"/>
        <w:jc w:val="both"/>
        <w:rPr>
          <w:rFonts w:cs="Calibri"/>
          <w:sz w:val="20"/>
          <w:szCs w:val="20"/>
          <w:lang w:val="pt-BR"/>
        </w:rPr>
      </w:pPr>
      <w:r>
        <w:rPr>
          <w:rFonts w:cs="Calibri"/>
          <w:sz w:val="20"/>
          <w:szCs w:val="20"/>
          <w:lang w:val="pt-BR"/>
        </w:rPr>
        <w:t>Art. 6º São direitos básicos do consumidor:</w:t>
      </w:r>
    </w:p>
    <w:p>
      <w:pPr>
        <w:pStyle w:val="Normal"/>
        <w:spacing w:lineRule="auto" w:line="240"/>
        <w:ind w:start="2268" w:end="0"/>
        <w:jc w:val="both"/>
        <w:rPr>
          <w:rFonts w:cs="Calibri"/>
          <w:sz w:val="20"/>
          <w:szCs w:val="20"/>
          <w:lang w:val="pt-BR"/>
        </w:rPr>
      </w:pPr>
      <w:r>
        <w:rPr>
          <w:rFonts w:cs="Calibri"/>
          <w:sz w:val="20"/>
          <w:szCs w:val="20"/>
          <w:lang w:val="pt-BR"/>
        </w:rPr>
        <w:t xml:space="preserve">(...) </w:t>
      </w:r>
    </w:p>
    <w:p>
      <w:pPr>
        <w:pStyle w:val="Normal"/>
        <w:spacing w:lineRule="auto" w:line="240"/>
        <w:ind w:start="2268" w:end="0"/>
        <w:jc w:val="both"/>
        <w:rPr>
          <w:rFonts w:cs="Calibri"/>
          <w:sz w:val="20"/>
          <w:szCs w:val="20"/>
          <w:lang w:val="pt-BR"/>
        </w:rPr>
      </w:pPr>
      <w:r>
        <w:rPr>
          <w:rFonts w:cs="Calibri"/>
          <w:sz w:val="20"/>
          <w:szCs w:val="20"/>
          <w:lang w:val="pt-BR"/>
        </w:rPr>
        <w:t>V - a modificação das cláusulas contratuais que estabeleçam prestações desproporcionais ou sua revisão em razão de fatos supervenientes que as tornem excessivamente onerosas;”</w:t>
      </w:r>
    </w:p>
    <w:p>
      <w:pPr>
        <w:pStyle w:val="Normal"/>
        <w:spacing w:lineRule="auto" w:line="300"/>
        <w:ind w:firstLine="1985" w:end="0"/>
        <w:jc w:val="both"/>
        <w:rPr>
          <w:rFonts w:cs="Calibri"/>
          <w:b/>
          <w:sz w:val="20"/>
          <w:szCs w:val="20"/>
          <w:u w:val="single"/>
          <w:shd w:fill="FFFFFF" w:val="clear"/>
          <w:lang w:val="pt-BR"/>
        </w:rPr>
      </w:pPr>
      <w:r>
        <w:rPr>
          <w:rFonts w:cs="Calibri"/>
          <w:b/>
          <w:sz w:val="20"/>
          <w:szCs w:val="20"/>
          <w:u w:val="single"/>
          <w:shd w:fill="FFFFFF" w:val="clear"/>
          <w:lang w:val="pt-BR"/>
        </w:rPr>
      </w:r>
    </w:p>
    <w:p>
      <w:pPr>
        <w:pStyle w:val="Normal"/>
        <w:spacing w:lineRule="auto" w:line="300"/>
        <w:ind w:firstLine="1418" w:end="0"/>
        <w:jc w:val="both"/>
        <w:rPr/>
      </w:pPr>
      <w:r>
        <w:rPr>
          <w:rFonts w:cs="Calibri"/>
          <w:lang w:val="pt-BR"/>
        </w:rPr>
        <w:t xml:space="preserve">Assim, é plenamente admissível, no ordenamento jurídico pátrio, a </w:t>
      </w:r>
      <w:r>
        <w:rPr>
          <w:rFonts w:cs="Calibri"/>
          <w:b/>
          <w:bCs/>
          <w:lang w:val="pt-BR"/>
        </w:rPr>
        <w:t>revisão de contratos quando constatada a existência de cláusulas abusivas</w:t>
      </w:r>
      <w:r>
        <w:rPr>
          <w:rFonts w:cs="Calibri"/>
          <w:lang w:val="pt-BR"/>
        </w:rPr>
        <w:t>, sobretudo em se tratando de relação de consumo, como ocorre no caso em exame, em que restou demonstrada a imposição de encargos manifestamente excessivos e dissociados da realidade do mercado.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Importante salientar que a pretendida revisão contratual </w:t>
      </w:r>
      <w:r>
        <w:rPr>
          <w:rFonts w:cs="Calibri"/>
          <w:b/>
          <w:bCs/>
          <w:lang w:val="pt-BR"/>
        </w:rPr>
        <w:t>não configura violação ao ato jurídico perfeito</w:t>
      </w:r>
      <w:r>
        <w:rPr>
          <w:rFonts w:cs="Calibri"/>
          <w:lang w:val="pt-BR"/>
        </w:rPr>
        <w:t xml:space="preserve">, uma vez que não objetiva invalidar o contrato em sua essência, mas tão somente </w:t>
      </w:r>
      <w:r>
        <w:rPr>
          <w:rFonts w:cs="Calibri"/>
          <w:b/>
          <w:bCs/>
          <w:lang w:val="pt-BR"/>
        </w:rPr>
        <w:t>expurgar cláusulas ilegais ou abusivas</w:t>
      </w:r>
      <w:r>
        <w:rPr>
          <w:rFonts w:cs="Calibri"/>
          <w:lang w:val="pt-BR"/>
        </w:rPr>
        <w:t>, adequando-o aos parâmetros legais e aos princípios que regem as relações contratuais contemporâneas.</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Dessa forma, mostra-se plenamente legítima e juridicamente adequada a presente ação revisional, destinada a restaurar o equilíbrio contratual e a assegurar a efetiva tutela dos direitos da parte consumidora.</w:t>
      </w:r>
    </w:p>
    <w:p>
      <w:pPr>
        <w:pStyle w:val="Normal"/>
        <w:spacing w:lineRule="auto" w:line="300"/>
        <w:ind w:firstLine="2835" w:end="0"/>
        <w:jc w:val="both"/>
        <w:rPr>
          <w:rFonts w:cs="Calibri"/>
          <w:lang w:val="pt-BR"/>
        </w:rPr>
      </w:pPr>
      <w:r>
        <w:rPr>
          <w:rFonts w:cs="Calibri"/>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rFonts w:cs="Calibri"/>
          <w:lang w:val="pt-BR"/>
        </w:rPr>
      </w:pPr>
      <w:r>
        <w:rPr>
          <w:rFonts w:cs="Calibri"/>
          <w:b/>
          <w:lang w:val="pt-BR"/>
        </w:rPr>
        <w:t>3.4 – DA TAXA DE JUROS REMUNERATÓRIOS – LIMITAÇÃO À TAXA MÉDIA DE MERCADO – PARÂMETRO DO BANCO CENTRAL DO BRASIL (BACEN) – ABUSIVIDADE CONFIGURADA – POSSIBILIDADE DE REVISÃO À LUZ DO REsp 1.061.530/RS (STJ)</w:t>
      </w:r>
    </w:p>
    <w:p>
      <w:pPr>
        <w:pStyle w:val="Padro"/>
        <w:tabs>
          <w:tab w:val="left" w:pos="0" w:leader="none"/>
          <w:tab w:val="left" w:pos="708" w:leader="none"/>
        </w:tabs>
        <w:spacing w:lineRule="auto" w:line="300" w:before="0" w:after="0"/>
        <w:ind w:firstLine="1418" w:end="0"/>
        <w:jc w:val="both"/>
        <w:rPr>
          <w:rFonts w:ascii="Calibri" w:hAnsi="Calibri" w:cs="Calibri"/>
          <w:sz w:val="22"/>
          <w:szCs w:val="22"/>
          <w:lang w:val="pt-BR"/>
        </w:rPr>
      </w:pPr>
      <w:r>
        <w:rPr>
          <w:rFonts w:cs="Calibri" w:ascii="Calibri" w:hAnsi="Calibri"/>
          <w:sz w:val="22"/>
          <w:szCs w:val="22"/>
          <w:lang w:val="pt-BR"/>
        </w:rPr>
      </w:r>
    </w:p>
    <w:p>
      <w:pPr>
        <w:pStyle w:val="Padro"/>
        <w:tabs>
          <w:tab w:val="left" w:pos="0" w:leader="none"/>
          <w:tab w:val="left" w:pos="708" w:leader="none"/>
        </w:tabs>
        <w:spacing w:lineRule="auto" w:line="300" w:before="0" w:after="0"/>
        <w:ind w:firstLine="1418" w:end="0"/>
        <w:jc w:val="both"/>
        <w:rPr>
          <w:rFonts w:ascii="Calibri" w:hAnsi="Calibri" w:cs="Calibri"/>
          <w:sz w:val="22"/>
          <w:szCs w:val="22"/>
        </w:rPr>
      </w:pPr>
      <w:r>
        <w:rPr>
          <w:rFonts w:cs="Calibri" w:ascii="Calibri" w:hAnsi="Calibri"/>
          <w:sz w:val="22"/>
          <w:szCs w:val="22"/>
        </w:rPr>
        <w:t xml:space="preserve">Conforme amplamente demonstrado no capítulo fático, o banco requerido, no contrato objeto da presente demanda, </w:t>
      </w:r>
      <w:r>
        <w:rPr>
          <w:rFonts w:cs="Calibri" w:ascii="Calibri" w:hAnsi="Calibri"/>
          <w:b/>
          <w:bCs/>
          <w:sz w:val="22"/>
          <w:szCs w:val="22"/>
        </w:rPr>
        <w:t>aplicou taxa de juros remuneratórios manifestamente exorbitante</w:t>
      </w:r>
      <w:r>
        <w:rPr>
          <w:rFonts w:cs="Calibri" w:ascii="Calibri" w:hAnsi="Calibri"/>
          <w:sz w:val="22"/>
          <w:szCs w:val="22"/>
        </w:rPr>
        <w:t>, em total descompasso com a taxa média praticada pelo mercado financeiro, caracterizando prática abusiva vedada pelo ordenamento jurídico consumerista.</w:t>
      </w:r>
    </w:p>
    <w:p>
      <w:pPr>
        <w:pStyle w:val="Padro"/>
        <w:tabs>
          <w:tab w:val="left" w:pos="0" w:leader="none"/>
          <w:tab w:val="left" w:pos="708" w:leader="none"/>
        </w:tabs>
        <w:spacing w:lineRule="auto" w:line="300" w:before="0" w:after="0"/>
        <w:ind w:firstLine="1418" w:end="0"/>
        <w:jc w:val="both"/>
        <w:rPr>
          <w:rFonts w:ascii="Calibri" w:hAnsi="Calibri" w:cs="Calibri"/>
          <w:sz w:val="22"/>
          <w:szCs w:val="22"/>
        </w:rPr>
      </w:pPr>
      <w:r>
        <w:rPr>
          <w:rFonts w:cs="Calibri" w:ascii="Calibri" w:hAnsi="Calibri"/>
          <w:sz w:val="22"/>
          <w:szCs w:val="22"/>
        </w:rPr>
      </w:r>
    </w:p>
    <w:p>
      <w:pPr>
        <w:pStyle w:val="Padro"/>
        <w:tabs>
          <w:tab w:val="left" w:pos="0" w:leader="none"/>
          <w:tab w:val="left" w:pos="708" w:leader="none"/>
        </w:tabs>
        <w:spacing w:lineRule="auto" w:line="300" w:before="0" w:after="0"/>
        <w:ind w:firstLine="1418" w:end="0"/>
        <w:jc w:val="both"/>
        <w:rPr>
          <w:rFonts w:ascii="Calibri" w:hAnsi="Calibri" w:eastAsia="Verdana-Bold;Times New Roman" w:cs="Calibri"/>
          <w:b/>
          <w:color w:val="000000"/>
          <w:sz w:val="22"/>
          <w:szCs w:val="22"/>
        </w:rPr>
      </w:pPr>
      <w:r>
        <w:rPr>
          <w:rFonts w:eastAsia="Verdana-Bold;Times New Roman" w:cs="Calibri" w:ascii="Calibri" w:hAnsi="Calibri"/>
          <w:b/>
          <w:color w:val="000000"/>
          <w:sz w:val="22"/>
          <w:szCs w:val="22"/>
        </w:rPr>
        <w:t xml:space="preserve">No caso concreto, verifica-se que a taxa de juros pactuada foi de </w:t>
      </w:r>
      <w:r>
        <w:rPr>
          <w:rFonts w:eastAsia="Verdana-Bold;Times New Roman" w:cs="Calibri" w:ascii="Calibri" w:hAnsi="Calibri"/>
          <w:b/>
          <w:bCs/>
          <w:color w:val="000000"/>
          <w:sz w:val="22"/>
          <w:szCs w:val="22"/>
        </w:rPr>
        <w:t>19,15% ao mês</w:t>
      </w:r>
      <w:r>
        <w:rPr>
          <w:rFonts w:eastAsia="Verdana-Bold;Times New Roman" w:cs="Calibri" w:ascii="Calibri" w:hAnsi="Calibri"/>
          <w:b/>
          <w:color w:val="000000"/>
          <w:sz w:val="22"/>
          <w:szCs w:val="22"/>
        </w:rPr>
        <w:t xml:space="preserve">, o que corresponde à </w:t>
      </w:r>
      <w:r>
        <w:rPr>
          <w:rFonts w:eastAsia="Verdana-Bold;Times New Roman" w:cs="Calibri" w:ascii="Calibri" w:hAnsi="Calibri"/>
          <w:b/>
          <w:bCs/>
          <w:color w:val="000000"/>
          <w:sz w:val="22"/>
          <w:szCs w:val="22"/>
        </w:rPr>
        <w:t>absurda taxa anual de 718,71%</w:t>
      </w:r>
      <w:r>
        <w:rPr>
          <w:rFonts w:eastAsia="Verdana-Bold;Times New Roman" w:cs="Calibri" w:ascii="Calibri" w:hAnsi="Calibri"/>
          <w:b/>
          <w:color w:val="000000"/>
          <w:sz w:val="22"/>
          <w:szCs w:val="22"/>
        </w:rPr>
        <w:t>, conforme se extrai do próprio instrumento contratual anexado aos autos.</w:t>
      </w:r>
    </w:p>
    <w:p>
      <w:pPr>
        <w:pStyle w:val="Padro"/>
        <w:tabs>
          <w:tab w:val="left" w:pos="0" w:leader="none"/>
          <w:tab w:val="left" w:pos="708" w:leader="none"/>
        </w:tabs>
        <w:spacing w:lineRule="auto" w:line="300" w:before="0" w:after="0"/>
        <w:ind w:firstLine="1418" w:end="0"/>
        <w:jc w:val="both"/>
        <w:rPr>
          <w:rFonts w:ascii="Calibri" w:hAnsi="Calibri" w:eastAsia="Verdana-Bold;Times New Roman" w:cs="Calibri"/>
          <w:b/>
          <w:color w:val="000000"/>
          <w:sz w:val="22"/>
          <w:szCs w:val="22"/>
        </w:rPr>
      </w:pPr>
      <w:r>
        <w:rPr>
          <w:rFonts w:eastAsia="Verdana-Bold;Times New Roman" w:cs="Calibri" w:ascii="Calibri" w:hAnsi="Calibri"/>
          <w:b/>
          <w:color w:val="000000"/>
          <w:sz w:val="22"/>
          <w:szCs w:val="22"/>
        </w:rPr>
      </w:r>
    </w:p>
    <w:p>
      <w:pPr>
        <w:pStyle w:val="Padro"/>
        <w:tabs>
          <w:tab w:val="left" w:pos="0" w:leader="none"/>
          <w:tab w:val="left" w:pos="708" w:leader="none"/>
        </w:tabs>
        <w:spacing w:lineRule="auto" w:line="300" w:before="0" w:after="0"/>
        <w:ind w:firstLine="1418" w:end="0"/>
        <w:jc w:val="both"/>
        <w:rPr>
          <w:rFonts w:ascii="Calibri" w:hAnsi="Calibri" w:eastAsia="Verdana-Bold;Times New Roman" w:cs="Calibri"/>
          <w:color w:val="000000"/>
          <w:sz w:val="22"/>
          <w:szCs w:val="22"/>
        </w:rPr>
      </w:pPr>
      <w:r>
        <w:rPr>
          <w:rFonts w:eastAsia="Verdana-Bold;Times New Roman" w:cs="Calibri" w:ascii="Calibri" w:hAnsi="Calibri"/>
          <w:color w:val="000000"/>
          <w:sz w:val="22"/>
          <w:szCs w:val="22"/>
        </w:rPr>
        <w:t xml:space="preserve">Entretanto, ao se proceder à simples análise da tabela oficial divulgada pelo Banco Central do Brasil, constata-se que, no mês de </w:t>
      </w:r>
      <w:r>
        <w:rPr>
          <w:rFonts w:eastAsia="Verdana-Bold;Times New Roman" w:cs="Calibri" w:ascii="Calibri" w:hAnsi="Calibri"/>
          <w:b/>
          <w:bCs/>
          <w:color w:val="000000"/>
          <w:sz w:val="22"/>
          <w:szCs w:val="22"/>
        </w:rPr>
        <w:t>novembro de 2025</w:t>
      </w:r>
      <w:r>
        <w:rPr>
          <w:rFonts w:eastAsia="Verdana-Bold;Times New Roman" w:cs="Calibri" w:ascii="Calibri" w:hAnsi="Calibri"/>
          <w:color w:val="000000"/>
          <w:sz w:val="22"/>
          <w:szCs w:val="22"/>
        </w:rPr>
        <w:t xml:space="preserve"> — período da contratação — a </w:t>
      </w:r>
      <w:r>
        <w:rPr>
          <w:rFonts w:eastAsia="Verdana-Bold;Times New Roman" w:cs="Calibri" w:ascii="Calibri" w:hAnsi="Calibri"/>
          <w:b/>
          <w:bCs/>
          <w:color w:val="000000"/>
          <w:sz w:val="22"/>
          <w:szCs w:val="22"/>
        </w:rPr>
        <w:t xml:space="preserve">taxa média de juros praticada pelo mercado </w:t>
      </w:r>
      <w:r>
        <w:rPr>
          <w:rFonts w:eastAsia="Verdana-Bold;Times New Roman" w:cs="Calibri" w:ascii="Calibri" w:hAnsi="Calibri"/>
          <w:color w:val="000000"/>
          <w:sz w:val="22"/>
          <w:szCs w:val="22"/>
        </w:rPr>
        <w:t xml:space="preserve">era de </w:t>
      </w:r>
      <w:r>
        <w:rPr>
          <w:rFonts w:eastAsia="Verdana-Bold;Times New Roman" w:cs="Calibri" w:ascii="Calibri" w:hAnsi="Calibri"/>
          <w:b/>
          <w:bCs/>
          <w:color w:val="000000"/>
          <w:sz w:val="22"/>
          <w:szCs w:val="22"/>
        </w:rPr>
        <w:t>6,44% ao mês</w:t>
      </w:r>
      <w:r>
        <w:rPr>
          <w:rFonts w:eastAsia="Verdana-Bold;Times New Roman" w:cs="Calibri" w:ascii="Calibri" w:hAnsi="Calibri"/>
          <w:color w:val="000000"/>
          <w:sz w:val="22"/>
          <w:szCs w:val="22"/>
        </w:rPr>
        <w:t xml:space="preserve"> e </w:t>
      </w:r>
      <w:r>
        <w:rPr>
          <w:rFonts w:eastAsia="Verdana-Bold;Times New Roman" w:cs="Calibri" w:ascii="Calibri" w:hAnsi="Calibri"/>
          <w:b/>
          <w:bCs/>
          <w:color w:val="000000"/>
          <w:sz w:val="22"/>
          <w:szCs w:val="22"/>
        </w:rPr>
        <w:t>111,49% ao ano</w:t>
      </w:r>
      <w:r>
        <w:rPr>
          <w:rFonts w:eastAsia="Verdana-Bold;Times New Roman" w:cs="Calibri" w:ascii="Calibri" w:hAnsi="Calibri"/>
          <w:color w:val="000000"/>
          <w:sz w:val="22"/>
          <w:szCs w:val="22"/>
        </w:rPr>
        <w:t xml:space="preserve">, ou seja, </w:t>
      </w:r>
      <w:r>
        <w:rPr>
          <w:rFonts w:eastAsia="Verdana-Bold;Times New Roman" w:cs="Calibri" w:ascii="Calibri" w:hAnsi="Calibri"/>
          <w:b/>
          <w:bCs/>
          <w:color w:val="000000"/>
          <w:sz w:val="22"/>
          <w:szCs w:val="22"/>
        </w:rPr>
        <w:t>substancialmente inferior</w:t>
      </w:r>
      <w:r>
        <w:rPr>
          <w:rFonts w:eastAsia="Verdana-Bold;Times New Roman" w:cs="Calibri" w:ascii="Calibri" w:hAnsi="Calibri"/>
          <w:color w:val="000000"/>
          <w:sz w:val="22"/>
          <w:szCs w:val="22"/>
        </w:rPr>
        <w:t xml:space="preserve"> àquela imposta pelo banco requerido.</w:t>
      </w:r>
    </w:p>
    <w:p>
      <w:pPr>
        <w:pStyle w:val="Padro"/>
        <w:tabs>
          <w:tab w:val="left" w:pos="0" w:leader="none"/>
          <w:tab w:val="left" w:pos="708" w:leader="none"/>
        </w:tabs>
        <w:spacing w:lineRule="auto" w:line="300" w:before="0" w:after="0"/>
        <w:ind w:firstLine="1418" w:end="0"/>
        <w:jc w:val="both"/>
        <w:rPr>
          <w:rFonts w:ascii="Calibri" w:hAnsi="Calibri" w:eastAsia="Verdana-Bold;Times New Roman" w:cs="Calibri"/>
          <w:color w:val="000000"/>
          <w:sz w:val="22"/>
          <w:szCs w:val="22"/>
        </w:rPr>
      </w:pPr>
      <w:r>
        <w:rPr>
          <w:rFonts w:eastAsia="Verdana-Bold;Times New Roman" w:cs="Calibri" w:ascii="Calibri" w:hAnsi="Calibri"/>
          <w:color w:val="000000"/>
          <w:sz w:val="22"/>
          <w:szCs w:val="22"/>
        </w:rPr>
      </w:r>
    </w:p>
    <w:p>
      <w:pPr>
        <w:pStyle w:val="Padro"/>
        <w:tabs>
          <w:tab w:val="left" w:pos="0" w:leader="none"/>
          <w:tab w:val="left" w:pos="708" w:leader="none"/>
        </w:tabs>
        <w:spacing w:lineRule="auto" w:line="300" w:before="0" w:after="0"/>
        <w:ind w:firstLine="1418" w:end="0"/>
        <w:jc w:val="both"/>
        <w:rPr>
          <w:rFonts w:ascii="Calibri" w:hAnsi="Calibri" w:eastAsia="Verdana-Bold;Times New Roman" w:cs="Calibri"/>
          <w:b/>
          <w:color w:val="000000"/>
          <w:sz w:val="22"/>
          <w:szCs w:val="22"/>
          <w:u w:val="single"/>
        </w:rPr>
      </w:pPr>
      <w:r>
        <w:rPr>
          <w:rFonts w:eastAsia="Verdana-Bold;Times New Roman" w:cs="Calibri" w:ascii="Calibri" w:hAnsi="Calibri"/>
          <w:color w:val="000000"/>
          <w:sz w:val="22"/>
          <w:szCs w:val="22"/>
        </w:rPr>
        <w:t xml:space="preserve">Desse modo, resta evidenciada a </w:t>
      </w:r>
      <w:r>
        <w:rPr>
          <w:rFonts w:eastAsia="Verdana-Bold;Times New Roman" w:cs="Calibri" w:ascii="Calibri" w:hAnsi="Calibri"/>
          <w:b/>
          <w:bCs/>
          <w:color w:val="000000"/>
          <w:sz w:val="22"/>
          <w:szCs w:val="22"/>
        </w:rPr>
        <w:t>flagrante discrepância entre a taxa contratada e a taxa média de mercado</w:t>
      </w:r>
      <w:r>
        <w:rPr>
          <w:rFonts w:eastAsia="Verdana-Bold;Times New Roman" w:cs="Calibri" w:ascii="Calibri" w:hAnsi="Calibri"/>
          <w:color w:val="000000"/>
          <w:sz w:val="22"/>
          <w:szCs w:val="22"/>
        </w:rPr>
        <w:t xml:space="preserve">, sendo a taxa aplicada pelo requerido </w:t>
      </w:r>
      <w:r>
        <w:rPr>
          <w:rFonts w:eastAsia="Verdana-Bold;Times New Roman" w:cs="Calibri" w:ascii="Calibri" w:hAnsi="Calibri"/>
          <w:b/>
          <w:bCs/>
          <w:color w:val="000000"/>
          <w:sz w:val="22"/>
          <w:szCs w:val="22"/>
        </w:rPr>
        <w:t>é aproximadamente 2,97 vezes superior à taxa média de mercado (6,44% a.m.), representando uma diferença de 12,71 pontos percentuais, o que evidência, de forma inconteste, a exorbitância e abusividade dos juros remuneratórios cobrados,</w:t>
      </w:r>
      <w:r>
        <w:rPr>
          <w:rFonts w:eastAsia="Verdana-Bold;Times New Roman" w:cs="Calibri" w:ascii="Calibri" w:hAnsi="Calibri"/>
          <w:color w:val="000000"/>
          <w:sz w:val="22"/>
          <w:szCs w:val="22"/>
        </w:rPr>
        <w:t xml:space="preserve"> revelando situação de </w:t>
      </w:r>
      <w:r>
        <w:rPr>
          <w:rFonts w:eastAsia="Verdana-Bold;Times New Roman" w:cs="Calibri" w:ascii="Calibri" w:hAnsi="Calibri"/>
          <w:b/>
          <w:bCs/>
          <w:color w:val="000000"/>
          <w:sz w:val="22"/>
          <w:szCs w:val="22"/>
        </w:rPr>
        <w:t>desvantagem exagerada ao consumidor</w:t>
      </w:r>
      <w:r>
        <w:rPr>
          <w:rFonts w:eastAsia="Verdana-Bold;Times New Roman" w:cs="Calibri" w:ascii="Calibri" w:hAnsi="Calibri"/>
          <w:color w:val="000000"/>
          <w:sz w:val="22"/>
          <w:szCs w:val="22"/>
        </w:rPr>
        <w:t>, nos termos do art. 51, §1º, do Código de Defesa do Consumidor.</w:t>
      </w:r>
    </w:p>
    <w:p>
      <w:pPr>
        <w:pStyle w:val="Padro"/>
        <w:tabs>
          <w:tab w:val="left" w:pos="0" w:leader="none"/>
          <w:tab w:val="left" w:pos="708" w:leader="none"/>
        </w:tabs>
        <w:spacing w:lineRule="auto" w:line="300" w:before="0" w:after="0"/>
        <w:ind w:firstLine="1418" w:end="0"/>
        <w:jc w:val="both"/>
        <w:rPr>
          <w:rFonts w:ascii="Calibri" w:hAnsi="Calibri" w:eastAsia="Verdana-Bold;Times New Roman" w:cs="Calibri"/>
          <w:b/>
          <w:color w:val="000000"/>
          <w:sz w:val="22"/>
          <w:szCs w:val="22"/>
          <w:u w:val="single"/>
        </w:rPr>
      </w:pPr>
      <w:r>
        <w:rPr>
          <w:rFonts w:eastAsia="Verdana-Bold;Times New Roman" w:cs="Calibri" w:ascii="Calibri" w:hAnsi="Calibri"/>
          <w:b/>
          <w:color w:val="000000"/>
          <w:sz w:val="22"/>
          <w:szCs w:val="22"/>
          <w:u w:val="single"/>
        </w:rPr>
      </w:r>
    </w:p>
    <w:p>
      <w:pPr>
        <w:pStyle w:val="Padro"/>
        <w:tabs>
          <w:tab w:val="left" w:pos="0" w:leader="none"/>
          <w:tab w:val="left" w:pos="708" w:leader="none"/>
        </w:tabs>
        <w:spacing w:lineRule="auto" w:line="300" w:before="0" w:after="0"/>
        <w:ind w:firstLine="1418" w:end="0"/>
        <w:jc w:val="both"/>
        <w:rPr>
          <w:rFonts w:ascii="Calibri" w:hAnsi="Calibri" w:eastAsia="Verdana-Bold;Times New Roman" w:cs="Calibri"/>
          <w:bCs/>
          <w:color w:val="000000"/>
          <w:sz w:val="22"/>
          <w:szCs w:val="22"/>
        </w:rPr>
      </w:pPr>
      <w:r>
        <w:rPr>
          <w:rFonts w:eastAsia="Verdana-Bold;Times New Roman" w:cs="Calibri" w:ascii="Calibri" w:hAnsi="Calibri"/>
          <w:bCs/>
          <w:color w:val="000000"/>
          <w:sz w:val="22"/>
          <w:szCs w:val="22"/>
        </w:rPr>
        <w:t xml:space="preserve">Tal conduta configura prática abusiva, por afrontar os princípios da </w:t>
      </w:r>
      <w:r>
        <w:rPr>
          <w:rFonts w:eastAsia="Verdana-Bold;Times New Roman" w:cs="Calibri" w:ascii="Calibri" w:hAnsi="Calibri"/>
          <w:b/>
          <w:bCs/>
          <w:color w:val="000000"/>
          <w:sz w:val="22"/>
          <w:szCs w:val="22"/>
        </w:rPr>
        <w:t>boa-fé objetiva</w:t>
      </w:r>
      <w:r>
        <w:rPr>
          <w:rFonts w:eastAsia="Verdana-Bold;Times New Roman" w:cs="Calibri" w:ascii="Calibri" w:hAnsi="Calibri"/>
          <w:bCs/>
          <w:color w:val="000000"/>
          <w:sz w:val="22"/>
          <w:szCs w:val="22"/>
        </w:rPr>
        <w:t xml:space="preserve">, da </w:t>
      </w:r>
      <w:r>
        <w:rPr>
          <w:rFonts w:eastAsia="Verdana-Bold;Times New Roman" w:cs="Calibri" w:ascii="Calibri" w:hAnsi="Calibri"/>
          <w:b/>
          <w:bCs/>
          <w:color w:val="000000"/>
          <w:sz w:val="22"/>
          <w:szCs w:val="22"/>
        </w:rPr>
        <w:t>equidade contratual</w:t>
      </w:r>
      <w:r>
        <w:rPr>
          <w:rFonts w:eastAsia="Verdana-Bold;Times New Roman" w:cs="Calibri" w:ascii="Calibri" w:hAnsi="Calibri"/>
          <w:bCs/>
          <w:color w:val="000000"/>
          <w:sz w:val="22"/>
          <w:szCs w:val="22"/>
        </w:rPr>
        <w:t xml:space="preserve"> e da </w:t>
      </w:r>
      <w:r>
        <w:rPr>
          <w:rFonts w:eastAsia="Verdana-Bold;Times New Roman" w:cs="Calibri" w:ascii="Calibri" w:hAnsi="Calibri"/>
          <w:b/>
          <w:bCs/>
          <w:color w:val="000000"/>
          <w:sz w:val="22"/>
          <w:szCs w:val="22"/>
        </w:rPr>
        <w:t>função social do contrato</w:t>
      </w:r>
      <w:r>
        <w:rPr>
          <w:rFonts w:eastAsia="Verdana-Bold;Times New Roman" w:cs="Calibri" w:ascii="Calibri" w:hAnsi="Calibri"/>
          <w:bCs/>
          <w:color w:val="000000"/>
          <w:sz w:val="22"/>
          <w:szCs w:val="22"/>
        </w:rPr>
        <w:t>, além de gerar prejuízos financeiros expressivos à parte requerente, que se viu compelida a assumir obrigação excessivamente onerosa e incompatível com a realidade do mercado.</w:t>
      </w:r>
    </w:p>
    <w:p>
      <w:pPr>
        <w:pStyle w:val="Padro"/>
        <w:tabs>
          <w:tab w:val="left" w:pos="0" w:leader="none"/>
          <w:tab w:val="left" w:pos="708" w:leader="none"/>
        </w:tabs>
        <w:spacing w:lineRule="auto" w:line="300" w:before="0" w:after="0"/>
        <w:ind w:firstLine="1418" w:end="0"/>
        <w:jc w:val="both"/>
        <w:rPr>
          <w:rFonts w:ascii="Calibri" w:hAnsi="Calibri" w:eastAsia="Verdana-Bold;Times New Roman" w:cs="Calibri"/>
          <w:bCs/>
          <w:color w:val="000000"/>
          <w:sz w:val="22"/>
          <w:szCs w:val="22"/>
        </w:rPr>
      </w:pPr>
      <w:r>
        <w:rPr>
          <w:rFonts w:eastAsia="Verdana-Bold;Times New Roman" w:cs="Calibri" w:ascii="Calibri" w:hAnsi="Calibri"/>
          <w:bCs/>
          <w:color w:val="000000"/>
          <w:sz w:val="22"/>
          <w:szCs w:val="22"/>
        </w:rPr>
      </w:r>
    </w:p>
    <w:p>
      <w:pPr>
        <w:pStyle w:val="Padro"/>
        <w:tabs>
          <w:tab w:val="left" w:pos="0" w:leader="none"/>
          <w:tab w:val="left" w:pos="708" w:leader="none"/>
        </w:tabs>
        <w:spacing w:lineRule="auto" w:line="300" w:before="0" w:after="0"/>
        <w:ind w:firstLine="1418" w:end="0"/>
        <w:jc w:val="both"/>
        <w:rPr>
          <w:rFonts w:ascii="Calibri" w:hAnsi="Calibri" w:cs="Calibri"/>
          <w:bCs/>
          <w:sz w:val="22"/>
          <w:szCs w:val="22"/>
        </w:rPr>
      </w:pPr>
      <w:r>
        <w:rPr>
          <w:rFonts w:eastAsia="Verdana-Bold;Times New Roman" w:cs="Calibri" w:ascii="Calibri" w:hAnsi="Calibri"/>
          <w:color w:val="000000"/>
          <w:sz w:val="22"/>
          <w:szCs w:val="22"/>
        </w:rPr>
        <w:t xml:space="preserve">A possibilidade de </w:t>
      </w:r>
      <w:r>
        <w:rPr>
          <w:rFonts w:eastAsia="Verdana-Bold;Times New Roman" w:cs="Calibri" w:ascii="Calibri" w:hAnsi="Calibri"/>
          <w:b/>
          <w:bCs/>
          <w:color w:val="000000"/>
          <w:sz w:val="22"/>
          <w:szCs w:val="22"/>
        </w:rPr>
        <w:t>revisão dos juros remuneratórios em situações excepcionais de abusividade</w:t>
      </w:r>
      <w:r>
        <w:rPr>
          <w:rFonts w:eastAsia="Verdana-Bold;Times New Roman" w:cs="Calibri" w:ascii="Calibri" w:hAnsi="Calibri"/>
          <w:color w:val="000000"/>
          <w:sz w:val="22"/>
          <w:szCs w:val="22"/>
        </w:rPr>
        <w:t xml:space="preserve"> encontra-se pacificada na jurisprudência do Superior Tribunal de Justiça, especialmente a partir do julgamento do </w:t>
      </w:r>
      <w:r>
        <w:rPr>
          <w:rFonts w:eastAsia="Verdana-Bold;Times New Roman" w:cs="Calibri" w:ascii="Calibri" w:hAnsi="Calibri"/>
          <w:b/>
          <w:bCs/>
          <w:color w:val="000000"/>
          <w:sz w:val="22"/>
          <w:szCs w:val="22"/>
        </w:rPr>
        <w:t>Recurso Especial nº 1.061.530/RS</w:t>
      </w:r>
      <w:r>
        <w:rPr>
          <w:rFonts w:eastAsia="Verdana-Bold;Times New Roman" w:cs="Calibri" w:ascii="Calibri" w:hAnsi="Calibri"/>
          <w:color w:val="000000"/>
          <w:sz w:val="22"/>
          <w:szCs w:val="22"/>
        </w:rPr>
        <w:t>, submetido ao rito dos recursos repetitivos, cuja orientação firmada assim dispõe:</w:t>
      </w:r>
    </w:p>
    <w:p>
      <w:pPr>
        <w:pStyle w:val="Normal"/>
        <w:spacing w:lineRule="auto" w:line="300"/>
        <w:ind w:firstLine="1418" w:end="0"/>
        <w:jc w:val="both"/>
        <w:rPr>
          <w:rFonts w:ascii="Calibri" w:hAnsi="Calibri" w:cs="Calibri"/>
          <w:bCs/>
          <w:sz w:val="22"/>
          <w:szCs w:val="22"/>
          <w:lang w:val="pt-BR"/>
        </w:rPr>
      </w:pPr>
      <w:r>
        <w:rPr>
          <w:rFonts w:cs="Calibri"/>
          <w:bCs/>
          <w:sz w:val="22"/>
          <w:szCs w:val="22"/>
          <w:lang w:val="pt-BR"/>
        </w:rPr>
      </w:r>
    </w:p>
    <w:p>
      <w:pPr>
        <w:pStyle w:val="Normal"/>
        <w:spacing w:lineRule="auto" w:line="240"/>
        <w:ind w:start="2268" w:end="0"/>
        <w:jc w:val="both"/>
        <w:rPr>
          <w:rFonts w:cs="Calibri"/>
          <w:sz w:val="20"/>
          <w:szCs w:val="20"/>
          <w:lang w:val="pt-BR"/>
        </w:rPr>
      </w:pPr>
      <w:r>
        <w:rPr>
          <w:rFonts w:cs="Calibri"/>
          <w:sz w:val="20"/>
          <w:szCs w:val="20"/>
          <w:lang w:val="pt-BR"/>
        </w:rPr>
        <w:t>ORIENTAÇÃO 1 - JUROS REMUNERATÓRIOS</w:t>
      </w:r>
    </w:p>
    <w:p>
      <w:pPr>
        <w:pStyle w:val="Normal"/>
        <w:spacing w:lineRule="auto" w:line="240"/>
        <w:ind w:start="2268" w:end="0"/>
        <w:jc w:val="both"/>
        <w:rPr>
          <w:rFonts w:cs="Calibri"/>
          <w:bCs/>
          <w:sz w:val="20"/>
          <w:szCs w:val="20"/>
          <w:lang w:val="pt-BR"/>
        </w:rPr>
      </w:pPr>
      <w:r>
        <w:rPr>
          <w:rFonts w:cs="Calibri"/>
          <w:bCs/>
          <w:sz w:val="20"/>
          <w:szCs w:val="20"/>
          <w:lang w:val="pt-BR"/>
        </w:rPr>
      </w:r>
    </w:p>
    <w:p>
      <w:pPr>
        <w:pStyle w:val="Normal"/>
        <w:spacing w:lineRule="auto" w:line="240"/>
        <w:ind w:start="2268" w:end="0"/>
        <w:jc w:val="both"/>
        <w:rPr/>
      </w:pPr>
      <w:r>
        <w:rPr>
          <w:rFonts w:cs="Calibri"/>
          <w:b/>
          <w:bCs/>
          <w:sz w:val="20"/>
          <w:szCs w:val="20"/>
          <w:lang w:val="pt-BR"/>
        </w:rPr>
        <w:t>É admitida a revisão das taxas de juros remuneratórios em situações excepcionais, desde que caracterizada a relação de consumo e que a abusividade (capaz de colocar o consumidor em desvantagem exagerada - art. 51, §1º, do CDC) fique cabalmente demonstrada, ante as peculiaridades do julgamento em concreto.</w:t>
      </w:r>
      <w:r>
        <w:rPr>
          <w:rFonts w:cs="Calibri"/>
          <w:sz w:val="20"/>
          <w:szCs w:val="20"/>
          <w:lang w:val="pt-BR"/>
        </w:rPr>
        <w:t xml:space="preserve"> (...)” (REsp 1061530 RS, Rel. Ministra NANCY ANDRIGHI, SEGUNDA SEÇÃO, julgado em 22/10/2008, DJe 10/03/2009). (grifo nosso)</w:t>
      </w:r>
    </w:p>
    <w:p>
      <w:pPr>
        <w:pStyle w:val="Normal"/>
        <w:spacing w:lineRule="auto" w:line="300"/>
        <w:ind w:start="2835" w:end="0"/>
        <w:jc w:val="both"/>
        <w:rPr>
          <w:rFonts w:cs="Calibri"/>
          <w:bCs/>
          <w:sz w:val="20"/>
          <w:szCs w:val="20"/>
          <w:shd w:fill="FFFFFF" w:val="clear"/>
          <w:lang w:val="pt-BR"/>
        </w:rPr>
      </w:pPr>
      <w:r>
        <w:rPr>
          <w:rFonts w:cs="Calibri"/>
          <w:bCs/>
          <w:sz w:val="20"/>
          <w:szCs w:val="20"/>
          <w:shd w:fill="FFFFFF" w:val="clear"/>
          <w:lang w:val="pt-BR"/>
        </w:rPr>
      </w:r>
    </w:p>
    <w:p>
      <w:pPr>
        <w:pStyle w:val="Normal"/>
        <w:spacing w:lineRule="auto" w:line="300"/>
        <w:ind w:firstLine="1418" w:end="0"/>
        <w:jc w:val="both"/>
        <w:rPr>
          <w:rFonts w:cs="Calibri"/>
          <w:bCs/>
          <w:shd w:fill="FFFFFF" w:val="clear"/>
          <w:lang w:val="pt-BR"/>
        </w:rPr>
      </w:pPr>
      <w:r>
        <w:rPr>
          <w:rFonts w:cs="Calibri"/>
          <w:bCs/>
          <w:shd w:fill="FFFFFF" w:val="clear"/>
          <w:lang w:val="pt-BR"/>
        </w:rPr>
        <w:t xml:space="preserve">No referido julgado, restou consignado que, embora as instituições financeiras não estejam submetidas a tabelamento legal de juros, </w:t>
      </w:r>
      <w:r>
        <w:rPr>
          <w:rFonts w:cs="Calibri"/>
          <w:shd w:fill="FFFFFF" w:val="clear"/>
          <w:lang w:val="pt-BR"/>
        </w:rPr>
        <w:t>a liberdade de pactuação não é absoluta</w:t>
      </w:r>
      <w:r>
        <w:rPr>
          <w:rFonts w:cs="Calibri"/>
          <w:bCs/>
          <w:shd w:fill="FFFFFF" w:val="clear"/>
          <w:lang w:val="pt-BR"/>
        </w:rPr>
        <w:t>, cabendo ao Poder Judiciário exercer o controle quando os encargos se mostrarem desarrazoados e desproporcionais em relação à taxa média de mercado.</w:t>
      </w:r>
    </w:p>
    <w:p>
      <w:pPr>
        <w:pStyle w:val="Normal"/>
        <w:spacing w:lineRule="auto" w:line="300"/>
        <w:ind w:firstLine="1418" w:end="0"/>
        <w:jc w:val="both"/>
        <w:rPr>
          <w:rFonts w:cs="Calibri"/>
          <w:bCs/>
          <w:shd w:fill="FFFFFF" w:val="clear"/>
          <w:lang w:val="pt-BR"/>
        </w:rPr>
      </w:pPr>
      <w:r>
        <w:rPr>
          <w:rFonts w:cs="Calibri"/>
          <w:bCs/>
          <w:shd w:fill="FFFFFF" w:val="clear"/>
          <w:lang w:val="pt-BR"/>
        </w:rPr>
      </w:r>
    </w:p>
    <w:p>
      <w:pPr>
        <w:pStyle w:val="Normal"/>
        <w:spacing w:lineRule="auto" w:line="300"/>
        <w:ind w:firstLine="1418" w:end="0"/>
        <w:jc w:val="both"/>
        <w:rPr>
          <w:rFonts w:cs="Calibri"/>
          <w:bCs/>
          <w:shd w:fill="FFFFFF" w:val="clear"/>
          <w:lang w:val="pt-BR"/>
        </w:rPr>
      </w:pPr>
      <w:r>
        <w:rPr>
          <w:rFonts w:cs="Calibri"/>
          <w:bCs/>
          <w:shd w:fill="FFFFFF" w:val="clear"/>
          <w:lang w:val="pt-BR"/>
        </w:rPr>
        <w:t xml:space="preserve">A partir desse precedente paradigmático, consolidou-se o entendimento de que </w:t>
      </w:r>
      <w:r>
        <w:rPr>
          <w:rFonts w:cs="Calibri"/>
          <w:b/>
          <w:bCs/>
          <w:shd w:fill="FFFFFF" w:val="clear"/>
          <w:lang w:val="pt-BR"/>
        </w:rPr>
        <w:t>a taxa média divulgada pelo Banco Central do Brasil constitui o melhor parâmetro objetivo para a aferição da abusividade</w:t>
      </w:r>
      <w:r>
        <w:rPr>
          <w:rFonts w:cs="Calibri"/>
          <w:bCs/>
          <w:shd w:fill="FFFFFF" w:val="clear"/>
          <w:lang w:val="pt-BR"/>
        </w:rPr>
        <w:t>, por refletir a realidade do mercado financeiro, englobando custos operacionais e o lucro médio das instituições financeiras.</w:t>
      </w:r>
    </w:p>
    <w:p>
      <w:pPr>
        <w:pStyle w:val="Normal"/>
        <w:spacing w:lineRule="auto" w:line="300"/>
        <w:ind w:firstLine="1418" w:end="0"/>
        <w:jc w:val="both"/>
        <w:rPr>
          <w:rFonts w:cs="Calibri"/>
          <w:bCs/>
          <w:shd w:fill="FFFFFF" w:val="clear"/>
          <w:lang w:val="pt-BR"/>
        </w:rPr>
      </w:pPr>
      <w:r>
        <w:rPr>
          <w:rFonts w:cs="Calibri"/>
          <w:bCs/>
          <w:shd w:fill="FFFFFF" w:val="clear"/>
          <w:lang w:val="pt-BR"/>
        </w:rPr>
      </w:r>
    </w:p>
    <w:p>
      <w:pPr>
        <w:pStyle w:val="Normal"/>
        <w:spacing w:lineRule="auto" w:line="300"/>
        <w:ind w:firstLine="1418" w:end="0"/>
        <w:jc w:val="both"/>
        <w:rPr>
          <w:rFonts w:cs="Calibri"/>
          <w:bCs/>
          <w:lang w:val="pt-BR"/>
        </w:rPr>
      </w:pPr>
      <w:r>
        <w:rPr>
          <w:rFonts w:cs="Calibri"/>
          <w:bCs/>
          <w:shd w:fill="FFFFFF" w:val="clear"/>
          <w:lang w:val="pt-BR"/>
        </w:rPr>
        <w:t xml:space="preserve">Inclusive, no bojo do </w:t>
      </w:r>
      <w:r>
        <w:rPr>
          <w:rFonts w:cs="Calibri"/>
          <w:b/>
          <w:shd w:fill="FFFFFF" w:val="clear"/>
          <w:lang w:val="pt-BR"/>
        </w:rPr>
        <w:t>REsp 1.061.530/RS</w:t>
      </w:r>
      <w:r>
        <w:rPr>
          <w:rFonts w:cs="Calibri"/>
          <w:bCs/>
          <w:shd w:fill="FFFFFF" w:val="clear"/>
          <w:lang w:val="pt-BR"/>
        </w:rPr>
        <w:t xml:space="preserve">, o próprio Superior Tribunal de Justiça reconheceu que a </w:t>
      </w:r>
      <w:r>
        <w:rPr>
          <w:rFonts w:cs="Calibri"/>
          <w:b/>
          <w:shd w:fill="FFFFFF" w:val="clear"/>
          <w:lang w:val="pt-BR"/>
        </w:rPr>
        <w:t>jurisprudência nacional passou a considerar abusivas taxas que superam</w:t>
      </w:r>
      <w:r>
        <w:rPr>
          <w:rFonts w:cs="Calibri"/>
          <w:bCs/>
          <w:shd w:fill="FFFFFF" w:val="clear"/>
          <w:lang w:val="pt-BR"/>
        </w:rPr>
        <w:t xml:space="preserve"> </w:t>
      </w:r>
      <w:r>
        <w:rPr>
          <w:rFonts w:cs="Calibri"/>
          <w:b/>
          <w:bCs/>
          <w:shd w:fill="FFFFFF" w:val="clear"/>
          <w:lang w:val="pt-BR"/>
        </w:rPr>
        <w:t>uma vez e meia</w:t>
      </w:r>
      <w:r>
        <w:rPr>
          <w:rFonts w:cs="Calibri"/>
          <w:bCs/>
          <w:shd w:fill="FFFFFF" w:val="clear"/>
          <w:lang w:val="pt-BR"/>
        </w:rPr>
        <w:t xml:space="preserve">, </w:t>
      </w:r>
      <w:r>
        <w:rPr>
          <w:rFonts w:cs="Calibri"/>
          <w:b/>
          <w:bCs/>
          <w:shd w:fill="FFFFFF" w:val="clear"/>
          <w:lang w:val="pt-BR"/>
        </w:rPr>
        <w:t>o dobro</w:t>
      </w:r>
      <w:r>
        <w:rPr>
          <w:rFonts w:cs="Calibri"/>
          <w:bCs/>
          <w:shd w:fill="FFFFFF" w:val="clear"/>
          <w:lang w:val="pt-BR"/>
        </w:rPr>
        <w:t xml:space="preserve"> </w:t>
      </w:r>
      <w:r>
        <w:rPr>
          <w:rFonts w:cs="Calibri"/>
          <w:b/>
          <w:shd w:fill="FFFFFF" w:val="clear"/>
          <w:lang w:val="pt-BR"/>
        </w:rPr>
        <w:t>ou até o</w:t>
      </w:r>
      <w:r>
        <w:rPr>
          <w:rFonts w:cs="Calibri"/>
          <w:b/>
          <w:bCs/>
          <w:shd w:fill="FFFFFF" w:val="clear"/>
          <w:lang w:val="pt-BR"/>
        </w:rPr>
        <w:t xml:space="preserve"> triplo</w:t>
      </w:r>
      <w:r>
        <w:rPr>
          <w:rFonts w:cs="Calibri"/>
          <w:bCs/>
          <w:shd w:fill="FFFFFF" w:val="clear"/>
          <w:lang w:val="pt-BR"/>
        </w:rPr>
        <w:t xml:space="preserve"> da taxa média de mercado, a depender das peculiaridades do caso concreto.</w:t>
      </w:r>
    </w:p>
    <w:p>
      <w:pPr>
        <w:pStyle w:val="Normal"/>
        <w:spacing w:lineRule="auto" w:line="300"/>
        <w:jc w:val="both"/>
        <w:rPr>
          <w:rFonts w:cs="Calibri"/>
          <w:b/>
          <w:bCs/>
          <w:u w:val="single"/>
          <w:lang w:val="pt-BR"/>
        </w:rPr>
      </w:pPr>
      <w:r>
        <w:rPr>
          <w:rFonts w:cs="Calibri"/>
          <w:b/>
          <w:bCs/>
          <w:u w:val="single"/>
          <w:lang w:val="pt-BR"/>
        </w:rPr>
      </w:r>
    </w:p>
    <w:p>
      <w:pPr>
        <w:pStyle w:val="Normal"/>
        <w:spacing w:lineRule="auto" w:line="240"/>
        <w:ind w:start="2268" w:end="0"/>
        <w:jc w:val="both"/>
        <w:rPr>
          <w:rFonts w:cs="Calibri"/>
          <w:sz w:val="20"/>
          <w:szCs w:val="20"/>
          <w:lang w:val="pt-BR"/>
        </w:rPr>
      </w:pPr>
      <w:r>
        <w:rPr>
          <w:rFonts w:cs="Calibri"/>
          <w:sz w:val="20"/>
          <w:szCs w:val="20"/>
          <w:lang w:val="pt-BR"/>
        </w:rPr>
        <w:t>1.2. A Revisão dos Juros Remuneratórios Pactuados</w:t>
      </w:r>
    </w:p>
    <w:p>
      <w:pPr>
        <w:pStyle w:val="Normal"/>
        <w:spacing w:lineRule="auto" w:line="240"/>
        <w:ind w:start="2268" w:end="0"/>
        <w:jc w:val="both"/>
        <w:rPr>
          <w:rFonts w:cs="Calibri"/>
          <w:sz w:val="20"/>
          <w:szCs w:val="20"/>
          <w:lang w:val="pt-BR"/>
        </w:rPr>
      </w:pPr>
      <w:r>
        <w:rPr>
          <w:rFonts w:cs="Calibri"/>
          <w:sz w:val="20"/>
          <w:szCs w:val="20"/>
          <w:lang w:val="pt-BR"/>
        </w:rPr>
      </w:r>
    </w:p>
    <w:p>
      <w:pPr>
        <w:pStyle w:val="Normal"/>
        <w:spacing w:lineRule="auto" w:line="240"/>
        <w:ind w:start="2268" w:end="0"/>
        <w:jc w:val="both"/>
        <w:rPr/>
      </w:pPr>
      <w:r>
        <w:rPr>
          <w:rFonts w:cs="Calibri"/>
          <w:sz w:val="20"/>
          <w:szCs w:val="20"/>
          <w:lang w:val="pt-BR"/>
        </w:rPr>
        <w:t>Fixada a premissa de que, salvo situações excepcionais, os juros remuneratórios podem ser livremente pactuados em contratos de empréstimo no âmbito do Sistema Financeiro Nacional, questiona-se a possibilidade de o Poder Judiciário exercer o controle da liberdade de convenção de taxa de juros naquelas situações que são evidentemente abusivas.</w:t>
      </w:r>
    </w:p>
    <w:p>
      <w:pPr>
        <w:pStyle w:val="Normal"/>
        <w:spacing w:lineRule="auto" w:line="240"/>
        <w:ind w:start="2268" w:end="0"/>
        <w:jc w:val="both"/>
        <w:rPr>
          <w:rFonts w:cs="Calibri"/>
          <w:sz w:val="20"/>
          <w:szCs w:val="20"/>
          <w:lang w:val="pt-BR"/>
        </w:rPr>
      </w:pPr>
      <w:r>
        <w:rPr>
          <w:rFonts w:cs="Calibri"/>
          <w:sz w:val="20"/>
          <w:szCs w:val="20"/>
          <w:lang w:val="pt-BR"/>
        </w:rPr>
        <w:t>(...)</w:t>
      </w:r>
    </w:p>
    <w:p>
      <w:pPr>
        <w:pStyle w:val="Normal"/>
        <w:spacing w:lineRule="auto" w:line="240"/>
        <w:ind w:start="2268" w:end="0"/>
        <w:jc w:val="both"/>
        <w:rPr/>
      </w:pPr>
      <w:r>
        <w:rPr>
          <w:rFonts w:cs="Calibri"/>
          <w:b/>
          <w:bCs/>
          <w:sz w:val="20"/>
          <w:szCs w:val="20"/>
          <w:lang w:val="pt-BR"/>
        </w:rPr>
        <w:t>O Ministro César Asfor Rocha, diante de juros remuneratórios pactuados à taxa de 34,87% ao mês contra uma taxa média, apurada por perícia, de 14,19% ao mês, entendeu que, estando “cabalmente comprovada por perícia, nas instâncias ordinárias, que a estipulação da taxa de juros remuneratórios foi aproximadamente 150% maior que a taxa média praticada no mercado, nula é a cláusula do contrato” (REsp 327.727/SP, Segunda Seção, DJ de 08.03.2004).</w:t>
      </w:r>
    </w:p>
    <w:p>
      <w:pPr>
        <w:pStyle w:val="Normal"/>
        <w:spacing w:lineRule="auto" w:line="240"/>
        <w:ind w:start="2268" w:end="0"/>
        <w:jc w:val="both"/>
        <w:rPr>
          <w:rFonts w:cs="Calibri"/>
          <w:sz w:val="20"/>
          <w:szCs w:val="20"/>
          <w:lang w:val="pt-BR"/>
        </w:rPr>
      </w:pPr>
      <w:r>
        <w:rPr>
          <w:rFonts w:cs="Calibri"/>
          <w:sz w:val="20"/>
          <w:szCs w:val="20"/>
          <w:lang w:val="pt-BR"/>
        </w:rPr>
        <w:t>(...)</w:t>
      </w:r>
    </w:p>
    <w:p>
      <w:pPr>
        <w:pStyle w:val="Normal"/>
        <w:spacing w:lineRule="auto" w:line="240"/>
        <w:ind w:start="2268" w:end="0"/>
        <w:jc w:val="both"/>
        <w:rPr>
          <w:rFonts w:cs="Calibri"/>
          <w:sz w:val="20"/>
          <w:szCs w:val="20"/>
          <w:lang w:val="pt-BR"/>
        </w:rPr>
      </w:pPr>
      <w:r>
        <w:rPr>
          <w:rFonts w:cs="Calibri"/>
          <w:sz w:val="20"/>
          <w:szCs w:val="20"/>
          <w:lang w:val="pt-BR"/>
        </w:rPr>
        <w:t>Assim, a análise da abusividade ganhou muito quando o Banco Central do Brasil passou, em de 1999, a divulgar as taxas médias, ponderada segundo o volume de crédito concedido, para os juros praticados pelas instituições financeiras nas operações de crédito realizadas com recursos livres (conf. Circular nº 2957, de 30.12.1999).</w:t>
      </w:r>
    </w:p>
    <w:p>
      <w:pPr>
        <w:pStyle w:val="Normal"/>
        <w:spacing w:lineRule="auto" w:line="240"/>
        <w:ind w:start="2268" w:end="0"/>
        <w:jc w:val="both"/>
        <w:rPr>
          <w:rFonts w:cs="Calibri"/>
          <w:b/>
          <w:sz w:val="20"/>
          <w:szCs w:val="20"/>
          <w:lang w:val="pt-BR"/>
        </w:rPr>
      </w:pPr>
      <w:r>
        <w:rPr>
          <w:rFonts w:cs="Calibri"/>
          <w:b/>
          <w:sz w:val="20"/>
          <w:szCs w:val="20"/>
          <w:lang w:val="pt-BR"/>
        </w:rPr>
        <w:t>(...)</w:t>
      </w:r>
    </w:p>
    <w:p>
      <w:pPr>
        <w:pStyle w:val="Normal"/>
        <w:spacing w:lineRule="auto" w:line="240"/>
        <w:ind w:start="2268" w:end="0"/>
        <w:jc w:val="both"/>
        <w:rPr/>
      </w:pPr>
      <w:r>
        <w:rPr>
          <w:rFonts w:cs="Calibri"/>
          <w:b/>
          <w:bCs/>
          <w:sz w:val="20"/>
          <w:szCs w:val="20"/>
          <w:lang w:val="pt-BR"/>
        </w:rPr>
        <w:t xml:space="preserve">A taxa média apresenta vantagens porque é calculada segundo as informações prestadas por diversas instituições financeiras e, por isso, representa as forças do mercado. </w:t>
      </w:r>
      <w:r>
        <w:rPr>
          <w:rFonts w:cs="Calibri"/>
          <w:sz w:val="20"/>
          <w:szCs w:val="20"/>
          <w:lang w:val="pt-BR"/>
        </w:rPr>
        <w:t xml:space="preserve">Ademais, traz embutida em si o custo médio das instituições financeiras e seu lucro médio, ou seja, um 'spread' médio. É certo, ainda, que o cálculo da taxa média não é completo, na medida em que não abrange todas as modalidades de concessão de crédito, mas, sem dúvida, presta-se como parâmetro de tendência das taxas de juros. </w:t>
      </w:r>
      <w:r>
        <w:rPr>
          <w:rFonts w:cs="Calibri"/>
          <w:b/>
          <w:bCs/>
          <w:sz w:val="20"/>
          <w:szCs w:val="20"/>
          <w:lang w:val="pt-BR"/>
        </w:rPr>
        <w:t>Assim, dentro do universo regulatório atual, a taxa média constitui o melhor parâmetro para a elaboração de um juízo sobre abusividade.</w:t>
      </w:r>
    </w:p>
    <w:p>
      <w:pPr>
        <w:pStyle w:val="Normal"/>
        <w:spacing w:lineRule="auto" w:line="240"/>
        <w:ind w:start="2268" w:end="0"/>
        <w:jc w:val="both"/>
        <w:rPr>
          <w:rFonts w:cs="Calibri"/>
          <w:sz w:val="20"/>
          <w:szCs w:val="20"/>
          <w:lang w:val="pt-BR"/>
        </w:rPr>
      </w:pPr>
      <w:r>
        <w:rPr>
          <w:rFonts w:cs="Calibri"/>
          <w:sz w:val="20"/>
          <w:szCs w:val="20"/>
          <w:lang w:val="pt-BR"/>
        </w:rPr>
        <w:t>(...)</w:t>
      </w:r>
    </w:p>
    <w:p>
      <w:pPr>
        <w:pStyle w:val="Normal"/>
        <w:spacing w:lineRule="auto" w:line="240"/>
        <w:ind w:start="2268" w:end="0"/>
        <w:jc w:val="both"/>
        <w:rPr/>
      </w:pPr>
      <w:r>
        <w:rPr>
          <w:rFonts w:cs="Calibri"/>
          <w:b/>
          <w:bCs/>
          <w:sz w:val="20"/>
          <w:szCs w:val="20"/>
          <w:lang w:val="pt-BR"/>
        </w:rPr>
        <w:t xml:space="preserve">A jurisprudência, conforme registrado anteriormente, tem considerado abusivas taxas superiores a uma vez e meia </w:t>
      </w:r>
      <w:r>
        <w:rPr>
          <w:rFonts w:cs="Calibri"/>
          <w:sz w:val="20"/>
          <w:szCs w:val="20"/>
          <w:lang w:val="pt-BR"/>
        </w:rPr>
        <w:t>(voto proferido pelo Min. Ari Pargendler no REsp 271.214/RS, Rel. p. Acórdão Min. Menezes Direito, DJ de 04.08.2003), ao dobro (Resp 1.036.818, Terceira Turma, minha relatoria, DJe de 20.06.2008) ou ao triplo (REsp 971.853/RS, Quarta Turma, Min. Pádua Ribeiro, DJ de 24.09.2007) da média.”</w:t>
      </w:r>
      <w:r>
        <w:rPr>
          <w:rFonts w:cs="Calibri"/>
          <w:b/>
          <w:bCs/>
          <w:sz w:val="20"/>
          <w:szCs w:val="20"/>
          <w:lang w:val="pt-BR"/>
        </w:rPr>
        <w:t xml:space="preserve"> </w:t>
      </w:r>
      <w:r>
        <w:rPr>
          <w:rFonts w:cs="Calibri"/>
          <w:sz w:val="20"/>
          <w:szCs w:val="20"/>
          <w:lang w:val="pt-BR"/>
        </w:rPr>
        <w:t>(REsp 1061530 RS, Rel. Ministra NANCY ANDRIGHI, SEGUNDA SEÇÃO, julgado em 22/10/2008, DJe 10/03/2009). (grifo nosso)</w:t>
      </w:r>
    </w:p>
    <w:p>
      <w:pPr>
        <w:pStyle w:val="Normal"/>
        <w:spacing w:lineRule="auto" w:line="300"/>
        <w:ind w:start="2835" w:end="0"/>
        <w:jc w:val="both"/>
        <w:rPr>
          <w:rFonts w:cs="Calibri"/>
          <w:bCs/>
          <w:sz w:val="20"/>
          <w:szCs w:val="20"/>
          <w:shd w:fill="FFFFFF" w:val="clear"/>
          <w:lang w:val="pt-BR"/>
        </w:rPr>
      </w:pPr>
      <w:r>
        <w:rPr>
          <w:rFonts w:cs="Calibri"/>
          <w:bCs/>
          <w:sz w:val="20"/>
          <w:szCs w:val="20"/>
          <w:shd w:fill="FFFFFF" w:val="clear"/>
          <w:lang w:val="pt-BR"/>
        </w:rPr>
      </w:r>
    </w:p>
    <w:p>
      <w:pPr>
        <w:pStyle w:val="Normal"/>
        <w:spacing w:lineRule="auto" w:line="300"/>
        <w:ind w:firstLine="1418" w:end="0"/>
        <w:jc w:val="both"/>
        <w:rPr>
          <w:rFonts w:cs="Calibri"/>
          <w:bCs/>
          <w:shd w:fill="FFFFFF" w:val="clear"/>
          <w:lang w:val="pt-BR"/>
        </w:rPr>
      </w:pPr>
      <w:r>
        <w:rPr>
          <w:rFonts w:cs="Calibri"/>
          <w:bCs/>
          <w:shd w:fill="FFFFFF" w:val="clear"/>
          <w:lang w:val="pt-BR"/>
        </w:rPr>
        <w:t xml:space="preserve">No caso dos autos, a taxa imposta pelo requerido </w:t>
      </w:r>
      <w:r>
        <w:rPr>
          <w:rFonts w:cs="Calibri"/>
          <w:b/>
          <w:bCs/>
          <w:shd w:fill="FFFFFF" w:val="clear"/>
          <w:lang w:val="pt-BR"/>
        </w:rPr>
        <w:t>excede de forma muito superior tais parâmetros</w:t>
      </w:r>
      <w:r>
        <w:rPr>
          <w:rFonts w:cs="Calibri"/>
          <w:bCs/>
          <w:shd w:fill="FFFFFF" w:val="clear"/>
          <w:lang w:val="pt-BR"/>
        </w:rPr>
        <w:t xml:space="preserve">, circunstância que autoriza, de maneira incontestável, a intervenção judicial para </w:t>
      </w:r>
      <w:r>
        <w:rPr>
          <w:rFonts w:cs="Calibri"/>
          <w:b/>
          <w:bCs/>
          <w:shd w:fill="FFFFFF" w:val="clear"/>
          <w:lang w:val="pt-BR"/>
        </w:rPr>
        <w:t>revisão do contrato e limitação dos juros remuneratórios à taxa média de mercado vigente à época da contratação</w:t>
      </w:r>
      <w:r>
        <w:rPr>
          <w:rFonts w:cs="Calibri"/>
          <w:bCs/>
          <w:shd w:fill="FFFFFF" w:val="clear"/>
          <w:lang w:val="pt-BR"/>
        </w:rPr>
        <w:t>.</w:t>
      </w:r>
    </w:p>
    <w:p>
      <w:pPr>
        <w:pStyle w:val="Normal"/>
        <w:spacing w:lineRule="auto" w:line="300"/>
        <w:ind w:firstLine="1418" w:end="0"/>
        <w:jc w:val="both"/>
        <w:rPr>
          <w:rFonts w:cs="Calibri"/>
          <w:bCs/>
          <w:shd w:fill="FFFFFF" w:val="clear"/>
          <w:lang w:val="pt-BR"/>
        </w:rPr>
      </w:pPr>
      <w:r>
        <w:rPr>
          <w:rFonts w:cs="Calibri"/>
          <w:bCs/>
          <w:shd w:fill="FFFFFF" w:val="clear"/>
          <w:lang w:val="pt-BR"/>
        </w:rPr>
      </w:r>
    </w:p>
    <w:p>
      <w:pPr>
        <w:pStyle w:val="Normal"/>
        <w:spacing w:lineRule="auto" w:line="300"/>
        <w:ind w:firstLine="1418" w:end="0"/>
        <w:jc w:val="both"/>
        <w:rPr/>
      </w:pPr>
      <w:r>
        <w:rPr>
          <w:rFonts w:cs="Calibri"/>
          <w:bCs/>
          <w:shd w:fill="FFFFFF" w:val="clear"/>
          <w:lang w:val="pt-BR"/>
        </w:rPr>
        <w:t xml:space="preserve">Os Tribunais Pátrios, inclusive este Egrégio Tribunal de Justiça do Estado do Amazonas, vêm adotando reiteradamente tal orientação, reconhecendo a abusividade de juros que se afastam de modo desproporcional da média divulgada pelo BACEN, determinando a revisão contratual e a restituição dos valores cobrados indevidamente, conforme precedentes já colacionados. </w:t>
      </w:r>
    </w:p>
    <w:p>
      <w:pPr>
        <w:pStyle w:val="Normal"/>
        <w:spacing w:lineRule="auto" w:line="300"/>
        <w:jc w:val="both"/>
        <w:rPr>
          <w:rFonts w:cs="Calibri"/>
          <w:bCs/>
          <w:shd w:fill="FFFFFF" w:val="clear"/>
          <w:lang w:val="pt-BR"/>
        </w:rPr>
      </w:pPr>
      <w:r>
        <w:rPr>
          <w:rFonts w:cs="Calibri"/>
          <w:bCs/>
          <w:shd w:fill="FFFFFF" w:val="clear"/>
          <w:lang w:val="pt-BR"/>
        </w:rPr>
      </w:r>
    </w:p>
    <w:p>
      <w:pPr>
        <w:pStyle w:val="Normal"/>
        <w:spacing w:lineRule="auto" w:line="240"/>
        <w:ind w:start="2268" w:end="0"/>
        <w:jc w:val="both"/>
        <w:rPr/>
      </w:pPr>
      <w:r>
        <w:rPr>
          <w:rFonts w:cs="Calibri"/>
          <w:color w:val="000000"/>
          <w:sz w:val="20"/>
          <w:szCs w:val="20"/>
          <w:shd w:fill="FFFFFF" w:val="clear"/>
          <w:lang w:val="pt-BR"/>
        </w:rPr>
        <w:t xml:space="preserve">CIVIL. PROCESSO CIVIL. APELAÇÃO. DIREITO DO CONSUMIDOR. </w:t>
      </w:r>
      <w:r>
        <w:rPr>
          <w:rFonts w:cs="Calibri"/>
          <w:b/>
          <w:bCs/>
          <w:color w:val="000000"/>
          <w:sz w:val="20"/>
          <w:szCs w:val="20"/>
          <w:shd w:fill="FFFFFF" w:val="clear"/>
          <w:lang w:val="pt-BR"/>
        </w:rPr>
        <w:t>EMPRÉSTIMO PESSOAL. INSTITUIÇÃO FINANCEIRA. NÃO COMPROVAÇÃO DA REGULARIDADE DAS TAXAS DE JUROS ACIMA DA MÉDIA DE MERCADO.</w:t>
      </w:r>
      <w:r>
        <w:rPr>
          <w:rFonts w:cs="Calibri"/>
          <w:color w:val="000000"/>
          <w:sz w:val="20"/>
          <w:szCs w:val="20"/>
          <w:shd w:fill="FFFFFF" w:val="clear"/>
          <w:lang w:val="pt-BR"/>
        </w:rPr>
        <w:t xml:space="preserve"> ÔNUS DA PROVA. RESPONSABILIDADE OBJETIVA CARACTERIZADA. DEVER DE INDENIZAR. REEMBOLSO DOS VALORES DE FORMA DOBRADA. CONFIGURAÇÃO. DANOS MORAIS CONFIGURADOS E MANTIDOS. RECURSO NÃO PROVIDO. 1. Este caso decorre de uma relação de consumo, pois a Apelado é consumidora e a Apelante é fornecedora de produtos/serviços, incidindo, portanto, a súmula 297 do STJ, devendo ser presumida a vulnerabilidade da parte, eis que a instituição financeira de grande porte possui chances e condições muito maiores de se defender em litígios como o presente, de modo que a responsabilidade civil da Apelante é objetiva, bem como o ônus da prova se inverte em virtude da própria lei (ope legis). </w:t>
      </w:r>
      <w:r>
        <w:rPr>
          <w:rFonts w:cs="Calibri"/>
          <w:b/>
          <w:bCs/>
          <w:color w:val="000000"/>
          <w:sz w:val="20"/>
          <w:szCs w:val="20"/>
          <w:shd w:fill="FFFFFF" w:val="clear"/>
          <w:lang w:val="pt-BR"/>
        </w:rPr>
        <w:t>2. A matéria tratada in casu não apresenta novidades, haja vista que o Superior Tribunal de Justiça, em sede de julgamento afetado ao sistema de precedentes, deliberou sobre a questão, tendo sido proferido voto no REsp n.º 1061530/RS, no sentido de que o referencial disponibilizado pelo Banco Central é apenas um parâmetro, ou seja, a despeito de não haver a sujeição das instituições financeiras a taxas preestabelecidas, certo é que os valores cobrados devem respeito à proporcionalidade e à razoabilidade, de forma que, se os montantes forem exagerados, caberá a redução para a média do mercado para aquele período.</w:t>
      </w:r>
      <w:r>
        <w:rPr>
          <w:rFonts w:cs="Calibri"/>
          <w:color w:val="000000"/>
          <w:sz w:val="20"/>
          <w:szCs w:val="20"/>
          <w:shd w:fill="FFFFFF" w:val="clear"/>
          <w:lang w:val="pt-BR"/>
        </w:rPr>
        <w:t xml:space="preserve"> </w:t>
      </w:r>
      <w:r>
        <w:rPr>
          <w:rFonts w:cs="Calibri"/>
          <w:b/>
          <w:bCs/>
          <w:color w:val="000000"/>
          <w:sz w:val="20"/>
          <w:szCs w:val="20"/>
          <w:shd w:fill="FFFFFF" w:val="clear"/>
          <w:lang w:val="pt-BR"/>
        </w:rPr>
        <w:t>3. Examinando com cautela o instrumento contratual, vislumbra-se que as informações são inadequadas, visto que não há qualquer especificação acerca dos riscos particulares envolvidos naquela operação, mas somente a previsão das taxas de juros mensais e anuais, não havendo a demonstração adequada ao caso concreto do cotejo das condições pessoais do consumidor e os eventuais riscos na concessão do mútuo. 4. Ou seja, muito embora defenda a instituição financeira que a taxa média não pode ser utilizada como parâmetro, por não distinguir o nível de risco de cada cliente, o próprio Apelante em momento algum comprovou que o perfil da Apelada possuiria alguma particularidade que pudesse influenciar negativamente no percentual de juros remuneratórios aplicado especificamente, ônus este que lhe competia, sob pena de tornar verdadeira a alegação do consumidor e impossibilitar a majoração da cobrança.</w:t>
      </w:r>
      <w:r>
        <w:rPr>
          <w:rFonts w:cs="Calibri"/>
          <w:color w:val="000000"/>
          <w:sz w:val="20"/>
          <w:szCs w:val="20"/>
          <w:shd w:fill="FFFFFF" w:val="clear"/>
          <w:lang w:val="pt-BR"/>
        </w:rPr>
        <w:t xml:space="preserve"> </w:t>
      </w:r>
      <w:r>
        <w:rPr>
          <w:rFonts w:cs="Calibri"/>
          <w:b/>
          <w:bCs/>
          <w:color w:val="000000"/>
          <w:sz w:val="20"/>
          <w:szCs w:val="20"/>
          <w:shd w:fill="FFFFFF" w:val="clear"/>
          <w:lang w:val="pt-BR"/>
        </w:rPr>
        <w:t xml:space="preserve">5. Não havendo a desconstituição do direito do consumidor e nem prova da possibilidade de cobrança de taxas acima da média de mercado, erige a responsabilidade objetiva da instituição financeira, devendo ser reparados os danos causados, com a devolução das quantias cobradas em dobro, posto que não configurada a hipótese de engano justificável. </w:t>
      </w:r>
      <w:r>
        <w:rPr>
          <w:rFonts w:cs="Calibri"/>
          <w:color w:val="000000"/>
          <w:sz w:val="20"/>
          <w:szCs w:val="20"/>
          <w:shd w:fill="FFFFFF" w:val="clear"/>
          <w:lang w:val="pt-BR"/>
        </w:rPr>
        <w:t>6. Situação que extrapola os limites da boa-fé objetiva, caracterizando em ofensa à dignidade da pessoa humana e à honra da Apelada, devendo ser compensados os danos morais arbitrados na instância a quo, cujo valor, a saber, R$ 10.000,00 (cinco mil reais) é razoável e proporcional ao caso dos autos. 7. Apelação conhecida e não provida. (Relator (a): Maria das Graças Pessoa Figueiredo; Comarca: Fórum de Itacoatiara; Órgão julgador: Primeira Câmara Cível; Data do julgamento: 12/12/2022; Data de registro: 12/12/2022) (grifo nosso)</w:t>
      </w:r>
    </w:p>
    <w:p>
      <w:pPr>
        <w:pStyle w:val="Normal"/>
        <w:spacing w:lineRule="auto" w:line="240"/>
        <w:ind w:start="2268" w:end="0"/>
        <w:jc w:val="both"/>
        <w:rPr>
          <w:rFonts w:cs="Calibri"/>
          <w:color w:val="000000"/>
          <w:sz w:val="20"/>
          <w:szCs w:val="20"/>
          <w:shd w:fill="FFFFFF" w:val="clear"/>
          <w:lang w:val="pt-BR"/>
        </w:rPr>
      </w:pPr>
      <w:r>
        <w:rPr>
          <w:rFonts w:cs="Calibri"/>
          <w:color w:val="000000"/>
          <w:sz w:val="20"/>
          <w:szCs w:val="20"/>
          <w:shd w:fill="FFFFFF" w:val="clear"/>
          <w:lang w:val="pt-BR"/>
        </w:rPr>
      </w:r>
    </w:p>
    <w:p>
      <w:pPr>
        <w:pStyle w:val="Normal"/>
        <w:spacing w:lineRule="auto" w:line="240"/>
        <w:ind w:start="2268" w:end="0"/>
        <w:jc w:val="both"/>
        <w:rPr/>
      </w:pPr>
      <w:r>
        <w:rPr>
          <w:rFonts w:cs="Calibri"/>
          <w:color w:val="000000"/>
          <w:sz w:val="20"/>
          <w:szCs w:val="20"/>
          <w:shd w:fill="FFFFFF" w:val="clear"/>
          <w:lang w:val="pt-BR"/>
        </w:rPr>
        <w:t xml:space="preserve">APELAÇÃO CÍVEL. AÇÃO DE REVISÃO DE CONTRATO. </w:t>
      </w:r>
      <w:r>
        <w:rPr>
          <w:rFonts w:cs="Calibri"/>
          <w:b/>
          <w:bCs/>
          <w:color w:val="000000"/>
          <w:sz w:val="20"/>
          <w:szCs w:val="20"/>
          <w:shd w:fill="FFFFFF" w:val="clear"/>
          <w:lang w:val="pt-BR"/>
        </w:rPr>
        <w:t xml:space="preserve">TAXA DE JUROS REMUNERATÓRIOS ABUSIVA. CRÉDITO PESSOAL CONSIGNADO. DESEQUILÍBRIO CONTRATUAL. REVISÃO DEFERIDA. </w:t>
      </w:r>
      <w:r>
        <w:rPr>
          <w:rFonts w:cs="Calibri"/>
          <w:color w:val="000000"/>
          <w:sz w:val="20"/>
          <w:szCs w:val="20"/>
          <w:shd w:fill="FFFFFF" w:val="clear"/>
          <w:lang w:val="pt-BR"/>
        </w:rPr>
        <w:t xml:space="preserve">RECURSO CONHECIDO E PROVIDO. </w:t>
      </w:r>
      <w:r>
        <w:rPr>
          <w:rFonts w:cs="Calibri"/>
          <w:b/>
          <w:bCs/>
          <w:color w:val="000000"/>
          <w:sz w:val="20"/>
          <w:szCs w:val="20"/>
          <w:shd w:fill="FFFFFF" w:val="clear"/>
          <w:lang w:val="pt-BR"/>
        </w:rPr>
        <w:t>I - Considera-se abusiva a taxa de juros que excede de modo desproporcional a taxa média praticada pelo mercado no mês de celebração do ajuste. Ao analisar o tema, observa-se que, embora seja natural do mercado a variação das taxas de juros, o percentual estabelecido no contrato (objeto da controvérsia) impõe situação severamente desfavorável ao ora apelante.</w:t>
      </w:r>
      <w:r>
        <w:rPr>
          <w:rFonts w:cs="Calibri"/>
          <w:color w:val="000000"/>
          <w:sz w:val="20"/>
          <w:szCs w:val="20"/>
          <w:shd w:fill="FFFFFF" w:val="clear"/>
          <w:lang w:val="pt-BR"/>
        </w:rPr>
        <w:t xml:space="preserve"> II – Apelação conhecida e provida, com inversão do ônus da sucumbência. (Relator (a): João de Jesus Abdala Simões; Comarca: Capital - Fórum Ministro Henoch Reis; Órgão julgador: Terceira Câmara Cível; Data do julgamento: 21/11/2022; Data de registro: 22/11/2022) (grifo nosso)</w:t>
      </w:r>
    </w:p>
    <w:p>
      <w:pPr>
        <w:pStyle w:val="Normal"/>
        <w:spacing w:lineRule="auto" w:line="240"/>
        <w:ind w:start="2268" w:end="0"/>
        <w:jc w:val="both"/>
        <w:rPr>
          <w:rFonts w:cs="Calibri"/>
          <w:color w:val="000000"/>
          <w:sz w:val="20"/>
          <w:szCs w:val="20"/>
          <w:shd w:fill="FFFFFF" w:val="clear"/>
          <w:lang w:val="pt-BR"/>
        </w:rPr>
      </w:pPr>
      <w:r>
        <w:rPr>
          <w:rFonts w:cs="Calibri"/>
          <w:color w:val="000000"/>
          <w:sz w:val="20"/>
          <w:szCs w:val="20"/>
          <w:shd w:fill="FFFFFF" w:val="clear"/>
          <w:lang w:val="pt-BR"/>
        </w:rPr>
      </w:r>
    </w:p>
    <w:p>
      <w:pPr>
        <w:pStyle w:val="Normal"/>
        <w:spacing w:lineRule="auto" w:line="240"/>
        <w:ind w:start="2268" w:end="0"/>
        <w:jc w:val="both"/>
        <w:rPr/>
      </w:pPr>
      <w:r>
        <w:rPr>
          <w:rFonts w:eastAsia="Times New Roman" w:cs="Calibri"/>
          <w:sz w:val="20"/>
          <w:szCs w:val="20"/>
          <w:lang w:val="pt-BR" w:eastAsia="pt-BR"/>
        </w:rPr>
        <w:t xml:space="preserve">0618622-92.2020.8.04.0001 - Apelação Cível - Ementa: APELAÇÃO CÍVEL. AÇÃO DE REVISÃO DE CONTRATO BANCÁRIO. EMPRÉSTIMOS. </w:t>
      </w:r>
      <w:r>
        <w:rPr>
          <w:rFonts w:eastAsia="Times New Roman" w:cs="Calibri"/>
          <w:b/>
          <w:bCs/>
          <w:sz w:val="20"/>
          <w:szCs w:val="20"/>
          <w:lang w:val="pt-BR" w:eastAsia="pt-BR"/>
        </w:rPr>
        <w:t>JUROS REMUNERATÓRIOS. REFERENCIAL. TAXA MÉDIA DE MERCADO APURADA PELO BACEN. ABUSIVIDADE CONSTATADA. DESVANTAGEM EXAGERADA DO CONSUMIDOR. FORÇOSA REVISÃO DOS ENCARGOS IMPUGNADOS.</w:t>
      </w:r>
      <w:r>
        <w:rPr>
          <w:rFonts w:eastAsia="Times New Roman" w:cs="Calibri"/>
          <w:sz w:val="20"/>
          <w:szCs w:val="20"/>
          <w:lang w:val="pt-BR" w:eastAsia="pt-BR"/>
        </w:rPr>
        <w:t xml:space="preserve"> RESTITUIÇÃO DOS VALORES PAGOS A MAIOR. NA FORMA SIMPLES. REFORMA DA SENTENÇA. - Conforme entendimento do STJ, excepcionalmente será admitida a revisão da taxa de juros remuneratórios, quando restar caracterizada a relação de consumo e for cabalmente demonstrada a abusividade do referido encargo; - </w:t>
      </w:r>
      <w:r>
        <w:rPr>
          <w:rFonts w:eastAsia="Times New Roman" w:cs="Calibri"/>
          <w:b/>
          <w:bCs/>
          <w:sz w:val="20"/>
          <w:szCs w:val="20"/>
          <w:lang w:val="pt-BR" w:eastAsia="pt-BR"/>
        </w:rPr>
        <w:t>A taxa média de juros divulgada pelo Banco Central deve servir como um referencial, cabendo ao Juízo avaliar as peculiaridades do caso concreto para identificar a ocorrência ou não de desvantagem excessiva para o consumidor no pactuado; - Os juros aplicados aos empréstimos contratados pelo autor são absurdamente superiores à taxa média de mercado apurada pelo Banco Central; - Constatada abusividade na relação de consumo em tela, faz-se necessária a revisão dos encargos ora impugnados e, por conseguinte, a restituição, na forma simples, dos valores pagos a maior pelo apelante</w:t>
      </w:r>
      <w:r>
        <w:rPr>
          <w:rFonts w:eastAsia="Times New Roman" w:cs="Calibri"/>
          <w:sz w:val="20"/>
          <w:szCs w:val="20"/>
          <w:lang w:val="pt-BR" w:eastAsia="pt-BR"/>
        </w:rPr>
        <w:t>; RECURSO CONHECIDO E PROVIDO. (Relator (a): Ari Jorge Moutinho da Costa; Comarca: Manaus/AM; Órgão julgador: Segunda Câmara Cível; Data do julgamento: 12/04/2021; Data de registro: 14/04/2021) (grifo nosso)</w:t>
      </w:r>
    </w:p>
    <w:p>
      <w:pPr>
        <w:pStyle w:val="Normal"/>
        <w:spacing w:lineRule="auto" w:line="300"/>
        <w:ind w:start="2835" w:end="0"/>
        <w:jc w:val="both"/>
        <w:rPr>
          <w:rFonts w:eastAsia="Times New Roman" w:cs="Calibri"/>
          <w:b/>
          <w:bCs/>
          <w:sz w:val="20"/>
          <w:szCs w:val="20"/>
          <w:lang w:val="pt-BR" w:eastAsia="pt-BR"/>
        </w:rPr>
      </w:pPr>
      <w:r>
        <w:rPr>
          <w:rFonts w:eastAsia="Times New Roman" w:cs="Calibri"/>
          <w:b/>
          <w:bCs/>
          <w:sz w:val="20"/>
          <w:szCs w:val="20"/>
          <w:lang w:val="pt-BR" w:eastAsia="pt-BR"/>
        </w:rPr>
      </w:r>
    </w:p>
    <w:p>
      <w:pPr>
        <w:pStyle w:val="Normal"/>
        <w:spacing w:lineRule="auto" w:line="300"/>
        <w:ind w:firstLine="1418" w:end="0"/>
        <w:jc w:val="both"/>
        <w:rPr/>
      </w:pPr>
      <w:r>
        <w:rPr>
          <w:rFonts w:cs="Calibri"/>
          <w:shd w:fill="FFFFFF" w:val="clear"/>
          <w:lang w:val="pt-BR"/>
        </w:rPr>
        <w:t xml:space="preserve">Dessa forma, diante da </w:t>
      </w:r>
      <w:r>
        <w:rPr>
          <w:rFonts w:cs="Calibri"/>
          <w:b/>
          <w:bCs/>
          <w:shd w:fill="FFFFFF" w:val="clear"/>
          <w:lang w:val="pt-BR"/>
        </w:rPr>
        <w:t>robusta prova documental</w:t>
      </w:r>
      <w:r>
        <w:rPr>
          <w:rFonts w:cs="Calibri"/>
          <w:shd w:fill="FFFFFF" w:val="clear"/>
          <w:lang w:val="pt-BR"/>
        </w:rPr>
        <w:t xml:space="preserve"> acostada aos autos, notadamente a comparação objetiva entre a taxa contratada e a taxa média de mercado divulgada pelo Banco Central do Brasil, resta </w:t>
      </w:r>
      <w:r>
        <w:rPr>
          <w:rFonts w:cs="Calibri"/>
          <w:b/>
          <w:bCs/>
          <w:shd w:fill="FFFFFF" w:val="clear"/>
          <w:lang w:val="pt-BR"/>
        </w:rPr>
        <w:t>induvidosa a abusividade dos juros remuneratórios praticados pelo banco requerido</w:t>
      </w:r>
      <w:r>
        <w:rPr>
          <w:rFonts w:cs="Calibri"/>
          <w:shd w:fill="FFFFFF" w:val="clear"/>
          <w:lang w:val="pt-BR"/>
        </w:rPr>
        <w:t>.</w:t>
      </w:r>
    </w:p>
    <w:p>
      <w:pPr>
        <w:pStyle w:val="Normal"/>
        <w:spacing w:lineRule="auto" w:line="300"/>
        <w:ind w:firstLine="1418" w:end="0"/>
        <w:jc w:val="both"/>
        <w:rPr>
          <w:rFonts w:cs="Calibri"/>
          <w:shd w:fill="FFFFFF" w:val="clear"/>
          <w:lang w:val="pt-BR"/>
        </w:rPr>
      </w:pPr>
      <w:r>
        <w:rPr>
          <w:rFonts w:cs="Calibri"/>
          <w:shd w:fill="FFFFFF" w:val="clear"/>
          <w:lang w:val="pt-BR"/>
        </w:rPr>
      </w:r>
    </w:p>
    <w:p>
      <w:pPr>
        <w:pStyle w:val="Normal"/>
        <w:spacing w:lineRule="auto" w:line="300"/>
        <w:ind w:firstLine="1418" w:end="0"/>
        <w:jc w:val="both"/>
        <w:rPr/>
      </w:pPr>
      <w:r>
        <w:rPr>
          <w:rFonts w:cs="Calibri"/>
          <w:shd w:fill="FFFFFF" w:val="clear"/>
          <w:lang w:val="pt-BR"/>
        </w:rPr>
        <w:t xml:space="preserve">Assim, com fundamento no Código de Defesa do Consumidor, no entendimento consolidado do Superior Tribunal de Justiça e na jurisprudência dominante dos Tribunais Pátrios, </w:t>
      </w:r>
      <w:r>
        <w:rPr>
          <w:rFonts w:cs="Calibri"/>
          <w:b/>
          <w:bCs/>
          <w:shd w:fill="FFFFFF" w:val="clear"/>
          <w:lang w:val="pt-BR"/>
        </w:rPr>
        <w:t>impõe-se a revisão da taxa de juros do contrato em questão</w:t>
      </w:r>
      <w:r>
        <w:rPr>
          <w:rFonts w:cs="Calibri"/>
          <w:shd w:fill="FFFFFF" w:val="clear"/>
          <w:lang w:val="pt-BR"/>
        </w:rPr>
        <w:t xml:space="preserve">, com sua </w:t>
      </w:r>
      <w:r>
        <w:rPr>
          <w:rFonts w:cs="Calibri"/>
          <w:b/>
          <w:bCs/>
          <w:shd w:fill="FFFFFF" w:val="clear"/>
          <w:lang w:val="pt-BR"/>
        </w:rPr>
        <w:t>adequação ao patamar da taxa média de mercado</w:t>
      </w:r>
      <w:r>
        <w:rPr>
          <w:rFonts w:cs="Calibri"/>
          <w:shd w:fill="FFFFFF" w:val="clear"/>
          <w:lang w:val="pt-BR"/>
        </w:rPr>
        <w:t>, como medida necessária à restauração do equilíbrio contratual e à efetiva tutela dos direitos da parte consumidora.</w:t>
      </w:r>
    </w:p>
    <w:p>
      <w:pPr>
        <w:pStyle w:val="Normal"/>
        <w:spacing w:lineRule="auto" w:line="300"/>
        <w:jc w:val="both"/>
        <w:rPr>
          <w:rFonts w:cs="Calibri"/>
          <w:shd w:fill="FFFFFF" w:val="clear"/>
          <w:lang w:val="pt-BR"/>
        </w:rPr>
      </w:pPr>
      <w:r>
        <w:rPr>
          <w:rFonts w:cs="Calibri"/>
          <w:shd w:fill="FFFFFF" w:val="clear"/>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rFonts w:cs="Calibri"/>
          <w:b/>
          <w:bCs/>
          <w:lang w:val="pt-BR" w:eastAsia="pt-BR"/>
        </w:rPr>
      </w:pPr>
      <w:r>
        <w:rPr>
          <w:rFonts w:cs="Calibri"/>
          <w:b/>
          <w:bCs/>
          <w:lang w:val="pt-BR" w:eastAsia="pt-BR"/>
        </w:rPr>
        <w:t>3.5 – DO PEDIDO DE DECLARAÇÃO DE NULIDADE DE CLÁUSULAS CONTRATUAIS ABUSIVAS</w:t>
      </w:r>
    </w:p>
    <w:p>
      <w:pPr>
        <w:pStyle w:val="Normal"/>
        <w:spacing w:lineRule="auto" w:line="300"/>
        <w:jc w:val="both"/>
        <w:rPr>
          <w:rFonts w:cs="Calibri"/>
          <w:b/>
          <w:bCs/>
          <w:lang w:val="pt-BR" w:eastAsia="pt-BR"/>
        </w:rPr>
      </w:pPr>
      <w:r>
        <w:rPr>
          <w:rFonts w:cs="Calibri"/>
          <w:b/>
          <w:bCs/>
          <w:lang w:val="pt-BR" w:eastAsia="pt-BR"/>
        </w:rPr>
      </w:r>
    </w:p>
    <w:p>
      <w:pPr>
        <w:pStyle w:val="BodyText"/>
        <w:spacing w:lineRule="auto" w:line="300" w:before="0" w:after="0"/>
        <w:ind w:firstLine="1418" w:end="240"/>
        <w:jc w:val="both"/>
        <w:rPr/>
      </w:pPr>
      <w:r>
        <w:rPr>
          <w:rFonts w:cs="Calibri"/>
          <w:lang w:val="pt-BR"/>
        </w:rPr>
        <w:t xml:space="preserve">Conforme amplamente demonstrado ao longo da presente exordial, é </w:t>
      </w:r>
      <w:r>
        <w:rPr>
          <w:rFonts w:cs="Calibri"/>
          <w:b/>
          <w:bCs/>
          <w:lang w:val="pt-BR"/>
        </w:rPr>
        <w:t>inequívoca a existência de cláusulas contratuais abusivas</w:t>
      </w:r>
      <w:r>
        <w:rPr>
          <w:rFonts w:cs="Calibri"/>
          <w:lang w:val="pt-BR"/>
        </w:rPr>
        <w:t xml:space="preserve"> no contrato de empréstimo firmado entre as partes, especialmente no que se refere à </w:t>
      </w:r>
      <w:r>
        <w:rPr>
          <w:rFonts w:cs="Calibri"/>
          <w:b/>
          <w:bCs/>
          <w:lang w:val="pt-BR"/>
        </w:rPr>
        <w:t>taxa de juros remuneratórios pactuada</w:t>
      </w:r>
      <w:r>
        <w:rPr>
          <w:rFonts w:cs="Calibri"/>
          <w:lang w:val="pt-BR"/>
        </w:rPr>
        <w:t xml:space="preserve">, fixada em </w:t>
      </w:r>
      <w:r>
        <w:rPr>
          <w:rFonts w:cs="Calibri"/>
          <w:b/>
          <w:bCs/>
          <w:lang w:val="pt-BR"/>
        </w:rPr>
        <w:t>19,15% ao mês</w:t>
      </w:r>
      <w:r>
        <w:rPr>
          <w:rFonts w:cs="Calibri"/>
          <w:lang w:val="pt-BR"/>
        </w:rPr>
        <w:t xml:space="preserve">, correspondente à </w:t>
      </w:r>
      <w:r>
        <w:rPr>
          <w:rFonts w:cs="Calibri"/>
          <w:b/>
          <w:bCs/>
          <w:lang w:val="pt-BR"/>
        </w:rPr>
        <w:t>taxa anual de 718,71%</w:t>
      </w:r>
      <w:r>
        <w:rPr>
          <w:rFonts w:cs="Calibri"/>
          <w:lang w:val="pt-BR"/>
        </w:rPr>
        <w:t>, valores absolutamente dissociados da realidade do mercado financeiro à época da contratação.</w:t>
      </w:r>
    </w:p>
    <w:p>
      <w:pPr>
        <w:pStyle w:val="BodyText"/>
        <w:spacing w:lineRule="auto" w:line="300" w:before="0" w:after="0"/>
        <w:ind w:firstLine="1418" w:end="240"/>
        <w:jc w:val="both"/>
        <w:rPr>
          <w:rFonts w:cs="Calibri"/>
          <w:lang w:val="pt-BR"/>
        </w:rPr>
      </w:pPr>
      <w:r>
        <w:rPr>
          <w:rFonts w:cs="Calibri"/>
          <w:lang w:val="pt-BR"/>
        </w:rPr>
      </w:r>
    </w:p>
    <w:p>
      <w:pPr>
        <w:pStyle w:val="BodyText"/>
        <w:spacing w:lineRule="auto" w:line="300" w:before="0" w:after="0"/>
        <w:ind w:firstLine="1418" w:end="240"/>
        <w:jc w:val="both"/>
        <w:rPr/>
      </w:pPr>
      <w:r>
        <w:rPr>
          <w:rFonts w:cs="Calibri"/>
          <w:lang w:val="pt-BR"/>
        </w:rPr>
        <w:t xml:space="preserve">Tais encargos colocam a parte requerente em </w:t>
      </w:r>
      <w:r>
        <w:rPr>
          <w:rFonts w:cs="Calibri"/>
          <w:b/>
          <w:bCs/>
          <w:lang w:val="pt-BR"/>
        </w:rPr>
        <w:t>manifesta desvantagem exagerada</w:t>
      </w:r>
      <w:r>
        <w:rPr>
          <w:rFonts w:cs="Calibri"/>
          <w:lang w:val="pt-BR"/>
        </w:rPr>
        <w:t xml:space="preserve">, comprometendo o equilíbrio da relação contratual e violando frontalmente os princípios da </w:t>
      </w:r>
      <w:r>
        <w:rPr>
          <w:rFonts w:cs="Calibri"/>
          <w:b/>
          <w:bCs/>
          <w:lang w:val="pt-BR"/>
        </w:rPr>
        <w:t>boa-fé objetiva</w:t>
      </w:r>
      <w:r>
        <w:rPr>
          <w:rFonts w:cs="Calibri"/>
          <w:lang w:val="pt-BR"/>
        </w:rPr>
        <w:t xml:space="preserve">, da </w:t>
      </w:r>
      <w:r>
        <w:rPr>
          <w:rFonts w:cs="Calibri"/>
          <w:b/>
          <w:bCs/>
          <w:lang w:val="pt-BR"/>
        </w:rPr>
        <w:t>equidade</w:t>
      </w:r>
      <w:r>
        <w:rPr>
          <w:rFonts w:cs="Calibri"/>
          <w:lang w:val="pt-BR"/>
        </w:rPr>
        <w:t xml:space="preserve"> e da </w:t>
      </w:r>
      <w:r>
        <w:rPr>
          <w:rFonts w:cs="Calibri"/>
          <w:b/>
          <w:bCs/>
          <w:lang w:val="pt-BR"/>
        </w:rPr>
        <w:t>função social do contrato</w:t>
      </w:r>
      <w:r>
        <w:rPr>
          <w:rFonts w:cs="Calibri"/>
          <w:lang w:val="pt-BR"/>
        </w:rPr>
        <w:t xml:space="preserve">, razão pela qual as cláusulas que os instituem </w:t>
      </w:r>
      <w:r>
        <w:rPr>
          <w:rFonts w:cs="Calibri"/>
          <w:b/>
          <w:bCs/>
          <w:lang w:val="pt-BR"/>
        </w:rPr>
        <w:t>não podem subsistir no ordenamento jurídico</w:t>
      </w:r>
      <w:r>
        <w:rPr>
          <w:rFonts w:cs="Calibri"/>
          <w:lang w:val="pt-BR"/>
        </w:rPr>
        <w:t>.</w:t>
      </w:r>
    </w:p>
    <w:p>
      <w:pPr>
        <w:pStyle w:val="BodyText"/>
        <w:spacing w:lineRule="auto" w:line="300" w:before="0" w:after="0"/>
        <w:ind w:firstLine="1418" w:end="240"/>
        <w:jc w:val="both"/>
        <w:rPr>
          <w:rFonts w:cs="Calibri"/>
          <w:lang w:val="pt-BR"/>
        </w:rPr>
      </w:pPr>
      <w:r>
        <w:rPr>
          <w:rFonts w:cs="Calibri"/>
          <w:lang w:val="pt-BR"/>
        </w:rPr>
      </w:r>
    </w:p>
    <w:p>
      <w:pPr>
        <w:pStyle w:val="BodyText"/>
        <w:spacing w:lineRule="auto" w:line="300" w:before="0" w:after="0"/>
        <w:ind w:firstLine="1418" w:end="240"/>
        <w:jc w:val="both"/>
        <w:rPr/>
      </w:pPr>
      <w:r>
        <w:rPr>
          <w:rFonts w:cs="Calibri"/>
          <w:lang w:val="pt-BR"/>
        </w:rPr>
        <w:t xml:space="preserve">O Código de Defesa do Consumidor é expresso ao vedar a imposição de cláusulas dessa natureza, estabelecendo, em seu art. 51, que são nulas de pleno direito as disposições contratuais que imponham obrigações abusivas ou incompatíveis com o sistema de proteção ao consumidor. Dispõe o referido dispositivo legal, </w:t>
      </w:r>
      <w:r>
        <w:rPr>
          <w:rFonts w:cs="Calibri"/>
          <w:i/>
          <w:iCs/>
          <w:lang w:val="pt-BR"/>
        </w:rPr>
        <w:t>in verbis</w:t>
      </w:r>
      <w:r>
        <w:rPr>
          <w:rFonts w:cs="Calibri"/>
          <w:lang w:val="pt-BR"/>
        </w:rPr>
        <w:t>:</w:t>
      </w:r>
    </w:p>
    <w:p>
      <w:pPr>
        <w:pStyle w:val="BodyText"/>
        <w:spacing w:lineRule="auto" w:line="300" w:before="0" w:after="0"/>
        <w:ind w:firstLine="2835" w:end="240"/>
        <w:rPr>
          <w:rFonts w:cs="Calibri"/>
          <w:lang w:val="pt-BR"/>
        </w:rPr>
      </w:pPr>
      <w:r>
        <w:rPr>
          <w:rFonts w:cs="Calibri"/>
          <w:lang w:val="pt-BR"/>
        </w:rPr>
      </w:r>
    </w:p>
    <w:p>
      <w:pPr>
        <w:pStyle w:val="Default"/>
        <w:ind w:start="2268" w:end="0"/>
        <w:jc w:val="both"/>
        <w:rPr>
          <w:sz w:val="20"/>
          <w:szCs w:val="20"/>
        </w:rPr>
      </w:pPr>
      <w:r>
        <w:rPr>
          <w:sz w:val="20"/>
          <w:szCs w:val="20"/>
        </w:rPr>
        <w:t xml:space="preserve">Art. 51, CDC. São nulas de pleno direito, entre outras, as cláusulas contratuais relativas ao fornecimento de produtos e serviços que: </w:t>
      </w:r>
    </w:p>
    <w:p>
      <w:pPr>
        <w:pStyle w:val="Default"/>
        <w:ind w:start="2268" w:end="0"/>
        <w:jc w:val="both"/>
        <w:rPr>
          <w:sz w:val="20"/>
          <w:szCs w:val="20"/>
        </w:rPr>
      </w:pPr>
      <w:r>
        <w:rPr>
          <w:sz w:val="20"/>
          <w:szCs w:val="20"/>
        </w:rPr>
        <w:t>(...)</w:t>
      </w:r>
    </w:p>
    <w:p>
      <w:pPr>
        <w:pStyle w:val="Default"/>
        <w:ind w:start="2268" w:end="0"/>
        <w:jc w:val="both"/>
        <w:rPr/>
      </w:pPr>
      <w:r>
        <w:rPr>
          <w:sz w:val="20"/>
          <w:szCs w:val="20"/>
        </w:rPr>
        <w:t xml:space="preserve">IV - </w:t>
      </w:r>
      <w:r>
        <w:rPr>
          <w:bCs/>
          <w:sz w:val="20"/>
          <w:szCs w:val="20"/>
        </w:rPr>
        <w:t>estabeleçam obrigações consideradas iníquas, abusivas, que coloquem o consumidor em desvantagem exagerada, ou sejam incompatíveis com a boa-fé ou a equidade</w:t>
      </w:r>
      <w:r>
        <w:rPr>
          <w:sz w:val="20"/>
          <w:szCs w:val="20"/>
        </w:rPr>
        <w:t xml:space="preserve">; </w:t>
      </w:r>
    </w:p>
    <w:p>
      <w:pPr>
        <w:pStyle w:val="Default"/>
        <w:ind w:start="2268" w:end="0"/>
        <w:jc w:val="both"/>
        <w:rPr>
          <w:sz w:val="20"/>
          <w:szCs w:val="20"/>
        </w:rPr>
      </w:pPr>
      <w:r>
        <w:rPr>
          <w:sz w:val="20"/>
          <w:szCs w:val="20"/>
        </w:rPr>
        <w:t>(...)</w:t>
      </w:r>
    </w:p>
    <w:p>
      <w:pPr>
        <w:pStyle w:val="Default"/>
        <w:ind w:start="2268" w:end="0"/>
        <w:jc w:val="both"/>
        <w:rPr>
          <w:sz w:val="20"/>
          <w:szCs w:val="20"/>
        </w:rPr>
      </w:pPr>
      <w:r>
        <w:rPr>
          <w:sz w:val="20"/>
          <w:szCs w:val="20"/>
        </w:rPr>
        <w:t>XV – estejam em desacordo com o sistema de proteção ao consumidor;</w:t>
      </w:r>
    </w:p>
    <w:p>
      <w:pPr>
        <w:pStyle w:val="Default"/>
        <w:ind w:start="2268" w:end="0"/>
        <w:jc w:val="both"/>
        <w:rPr>
          <w:sz w:val="20"/>
          <w:szCs w:val="20"/>
        </w:rPr>
      </w:pPr>
      <w:r>
        <w:rPr>
          <w:sz w:val="20"/>
          <w:szCs w:val="20"/>
        </w:rPr>
        <w:t>(...)</w:t>
      </w:r>
    </w:p>
    <w:p>
      <w:pPr>
        <w:pStyle w:val="Default"/>
        <w:ind w:start="2268" w:end="0"/>
        <w:jc w:val="both"/>
        <w:rPr>
          <w:sz w:val="20"/>
          <w:szCs w:val="20"/>
        </w:rPr>
      </w:pPr>
      <w:r>
        <w:rPr>
          <w:sz w:val="20"/>
          <w:szCs w:val="20"/>
        </w:rPr>
        <w:t xml:space="preserve">§ 1º Presume-se exagerada, entre outros casos, a vontade que: </w:t>
      </w:r>
    </w:p>
    <w:p>
      <w:pPr>
        <w:pStyle w:val="Default"/>
        <w:ind w:start="2268" w:end="0"/>
        <w:jc w:val="both"/>
        <w:rPr>
          <w:sz w:val="20"/>
          <w:szCs w:val="20"/>
        </w:rPr>
      </w:pPr>
      <w:r>
        <w:rPr>
          <w:sz w:val="20"/>
          <w:szCs w:val="20"/>
        </w:rPr>
        <w:t xml:space="preserve">II - restringe direitos ou obrigações fundamentais inerentes à natureza do contrato, de tal modo a ameaçar seu objeto ou equilíbrio contratual; </w:t>
      </w:r>
    </w:p>
    <w:p>
      <w:pPr>
        <w:pStyle w:val="Normal"/>
        <w:spacing w:lineRule="auto" w:line="240"/>
        <w:ind w:start="2268" w:end="0"/>
        <w:jc w:val="both"/>
        <w:rPr>
          <w:rFonts w:cs="Calibri"/>
          <w:sz w:val="20"/>
          <w:szCs w:val="20"/>
          <w:lang w:val="pt-BR"/>
        </w:rPr>
      </w:pPr>
      <w:r>
        <w:rPr>
          <w:rFonts w:cs="Calibri"/>
          <w:sz w:val="20"/>
          <w:szCs w:val="20"/>
          <w:lang w:val="pt-BR"/>
        </w:rPr>
        <w:t>III - se mostra excessivamente onerosa para o consumidor, considerando-se a natureza e conteúdo do contrato, o interesse das partes e outras circunstâncias peculiares ao caso.</w:t>
      </w:r>
    </w:p>
    <w:p>
      <w:pPr>
        <w:pStyle w:val="Normal"/>
        <w:spacing w:lineRule="auto" w:line="300"/>
        <w:ind w:firstLine="2835" w:end="0"/>
        <w:jc w:val="both"/>
        <w:rPr>
          <w:rFonts w:cs="Calibri"/>
          <w:sz w:val="20"/>
          <w:szCs w:val="20"/>
          <w:lang w:val="pt-BR" w:eastAsia="pt-BR"/>
        </w:rPr>
      </w:pPr>
      <w:r>
        <w:rPr>
          <w:rFonts w:cs="Calibri"/>
          <w:sz w:val="20"/>
          <w:szCs w:val="20"/>
          <w:lang w:val="pt-BR" w:eastAsia="pt-BR"/>
        </w:rPr>
      </w:r>
    </w:p>
    <w:p>
      <w:pPr>
        <w:pStyle w:val="Default"/>
        <w:spacing w:lineRule="auto" w:line="300"/>
        <w:ind w:firstLine="1418" w:end="0"/>
        <w:jc w:val="both"/>
        <w:rPr/>
      </w:pPr>
      <w:r>
        <w:rPr>
          <w:sz w:val="22"/>
          <w:szCs w:val="22"/>
        </w:rPr>
        <w:t xml:space="preserve">No caso concreto, a estipulação de juros remuneratórios em patamar </w:t>
      </w:r>
      <w:r>
        <w:rPr>
          <w:b/>
          <w:bCs/>
          <w:sz w:val="22"/>
          <w:szCs w:val="22"/>
        </w:rPr>
        <w:t>muitas vezes superior à taxa média de mercado</w:t>
      </w:r>
      <w:r>
        <w:rPr>
          <w:sz w:val="22"/>
          <w:szCs w:val="22"/>
        </w:rPr>
        <w:t xml:space="preserve">, conforme dados oficiais do Banco Central do Brasil, revela-se </w:t>
      </w:r>
      <w:r>
        <w:rPr>
          <w:b/>
          <w:bCs/>
          <w:sz w:val="22"/>
          <w:szCs w:val="22"/>
        </w:rPr>
        <w:t>excessivamente onerosa</w:t>
      </w:r>
      <w:r>
        <w:rPr>
          <w:sz w:val="22"/>
          <w:szCs w:val="22"/>
        </w:rPr>
        <w:t>, desproporcional e incompatível com a finalidade econômica do contrato, caracterizando verdadeira restrição aos direitos fundamentais do consumidor e comprometendo o equilíbrio contratual.</w:t>
      </w:r>
    </w:p>
    <w:p>
      <w:pPr>
        <w:pStyle w:val="Default"/>
        <w:spacing w:lineRule="auto" w:line="300"/>
        <w:ind w:firstLine="1418" w:end="0"/>
        <w:jc w:val="both"/>
        <w:rPr>
          <w:sz w:val="22"/>
          <w:szCs w:val="22"/>
        </w:rPr>
      </w:pPr>
      <w:r>
        <w:rPr>
          <w:sz w:val="22"/>
          <w:szCs w:val="22"/>
        </w:rPr>
      </w:r>
    </w:p>
    <w:p>
      <w:pPr>
        <w:pStyle w:val="Default"/>
        <w:spacing w:lineRule="auto" w:line="300"/>
        <w:ind w:firstLine="1418" w:end="0"/>
        <w:jc w:val="both"/>
        <w:rPr/>
      </w:pPr>
      <w:r>
        <w:rPr>
          <w:sz w:val="22"/>
          <w:szCs w:val="22"/>
        </w:rPr>
        <w:t xml:space="preserve">Dessa forma, impõe-se a </w:t>
      </w:r>
      <w:r>
        <w:rPr>
          <w:b/>
          <w:bCs/>
          <w:sz w:val="22"/>
          <w:szCs w:val="22"/>
        </w:rPr>
        <w:t>interpretação do contrato à luz das normas protetivas do Código de Defesa do Consumidor</w:t>
      </w:r>
      <w:r>
        <w:rPr>
          <w:sz w:val="22"/>
          <w:szCs w:val="22"/>
        </w:rPr>
        <w:t>, as quais autorizam e determinam a invalidação de cláusulas que imponham obrigações abusivas ou que coloquem o consumidor em posição de inferioridade injustificada.</w:t>
      </w:r>
    </w:p>
    <w:p>
      <w:pPr>
        <w:pStyle w:val="Default"/>
        <w:spacing w:lineRule="auto" w:line="300"/>
        <w:ind w:firstLine="1418" w:end="0"/>
        <w:jc w:val="both"/>
        <w:rPr>
          <w:sz w:val="22"/>
          <w:szCs w:val="22"/>
        </w:rPr>
      </w:pPr>
      <w:r>
        <w:rPr>
          <w:sz w:val="22"/>
          <w:szCs w:val="22"/>
        </w:rPr>
      </w:r>
    </w:p>
    <w:p>
      <w:pPr>
        <w:pStyle w:val="Default"/>
        <w:spacing w:lineRule="auto" w:line="300"/>
        <w:ind w:firstLine="1418" w:end="0"/>
        <w:jc w:val="both"/>
        <w:rPr>
          <w:sz w:val="22"/>
          <w:szCs w:val="22"/>
        </w:rPr>
      </w:pPr>
      <w:r>
        <w:rPr>
          <w:sz w:val="22"/>
          <w:szCs w:val="22"/>
        </w:rPr>
        <w:t xml:space="preserve">Assim, diante de todo o exposto, </w:t>
      </w:r>
      <w:r>
        <w:rPr>
          <w:b/>
          <w:bCs/>
          <w:sz w:val="22"/>
          <w:szCs w:val="22"/>
        </w:rPr>
        <w:t>requer a parte autora que Vossa Excelência se digne a DECLARAR A NULIDADE das cláusulas contratuais abusivas</w:t>
      </w:r>
      <w:r>
        <w:rPr>
          <w:sz w:val="22"/>
          <w:szCs w:val="22"/>
        </w:rPr>
        <w:t>, notadamente aquelas que estabelecem taxa de juros manifestamente excessiva, por colocarem o consumidor em nítida desvantagem exagerada e por serem incompatíveis com os princípios da boa-fé objetiva e da equidade, nos termos do art. 51 e seus incisos do Código de Defesa do Consumidor, com a consequente readequação do contrato aos parâmetros legais.</w:t>
      </w:r>
    </w:p>
    <w:p>
      <w:pPr>
        <w:pStyle w:val="Default"/>
        <w:spacing w:lineRule="auto" w:line="300"/>
        <w:ind w:firstLine="1418" w:end="0"/>
        <w:jc w:val="both"/>
        <w:rPr>
          <w:sz w:val="22"/>
          <w:szCs w:val="22"/>
        </w:rPr>
      </w:pPr>
      <w:r>
        <w:rPr>
          <w:sz w:val="22"/>
          <w:szCs w:val="22"/>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rPr>
          <w:rFonts w:cs="Calibri"/>
          <w:b/>
          <w:bCs/>
          <w:lang w:val="pt-BR" w:eastAsia="pt-BR"/>
        </w:rPr>
      </w:pPr>
      <w:r>
        <w:rPr>
          <w:rFonts w:cs="Calibri"/>
          <w:b/>
          <w:bCs/>
          <w:lang w:val="pt-BR" w:eastAsia="pt-BR"/>
        </w:rPr>
        <w:t>3.6 - DA DESCARACTERIZAÇÃO DA MORA</w:t>
      </w:r>
    </w:p>
    <w:p>
      <w:pPr>
        <w:pStyle w:val="Normal"/>
        <w:spacing w:lineRule="auto" w:line="300"/>
        <w:rPr>
          <w:rFonts w:cs="Calibri"/>
          <w:b/>
          <w:bCs/>
          <w:lang w:val="pt-BR" w:eastAsia="pt-BR"/>
        </w:rPr>
      </w:pPr>
      <w:r>
        <w:rPr>
          <w:rFonts w:cs="Calibri"/>
          <w:b/>
          <w:bCs/>
          <w:lang w:val="pt-BR" w:eastAsia="pt-BR"/>
        </w:rPr>
      </w:r>
    </w:p>
    <w:p>
      <w:pPr>
        <w:pStyle w:val="Normal"/>
        <w:spacing w:lineRule="auto" w:line="300"/>
        <w:ind w:firstLine="1418" w:end="0"/>
        <w:jc w:val="both"/>
        <w:rPr/>
      </w:pPr>
      <w:r>
        <w:rPr>
          <w:rFonts w:cs="Calibri"/>
          <w:lang w:val="pt-BR" w:eastAsia="pt-BR"/>
        </w:rPr>
        <w:t xml:space="preserve">Embora já demonstrada a abusividade na cobrança dos juros remuneratórios incidentes sobre o contrato de empréstimo pessoal não consignado, objeto da presente demanda — circunstância que impôs onerosa e ilegítima vantagem ao fornecedor —, a parte autora, pautada pela boa-fé objetiva e pelo intuito de evitar maiores prejuízos, informa que continuará adimplindo as parcelas nos valores atualmente exigidos, até ulterior recálculo judicial, com o único propósito de afastar qualquer alegação de inadimplência. </w:t>
      </w:r>
    </w:p>
    <w:p>
      <w:pPr>
        <w:pStyle w:val="Normal"/>
        <w:spacing w:lineRule="auto" w:line="300"/>
        <w:ind w:firstLine="1418" w:end="0"/>
        <w:jc w:val="both"/>
        <w:rPr>
          <w:rFonts w:cs="Calibri"/>
          <w:lang w:val="pt-BR" w:eastAsia="pt-BR"/>
        </w:rPr>
      </w:pPr>
      <w:r>
        <w:rPr>
          <w:rFonts w:cs="Calibri"/>
          <w:lang w:val="pt-BR" w:eastAsia="pt-BR"/>
        </w:rPr>
      </w:r>
    </w:p>
    <w:p>
      <w:pPr>
        <w:pStyle w:val="Normal"/>
        <w:spacing w:lineRule="auto" w:line="300"/>
        <w:ind w:firstLine="1418" w:end="0"/>
        <w:jc w:val="both"/>
        <w:rPr>
          <w:rFonts w:cs="Calibri"/>
          <w:lang w:val="pt-BR" w:eastAsia="pt-BR"/>
        </w:rPr>
      </w:pPr>
      <w:r>
        <w:rPr>
          <w:rFonts w:cs="Calibri"/>
          <w:lang w:val="pt-BR" w:eastAsia="pt-BR"/>
        </w:rPr>
        <w:t>Todavia, é imprescindível destacar que, uma vez reconhecida a abusividade dos encargos exigidos durante o período de normalidade contratual, especialmente no que se refere à aplicação de juros remuneratórios em patamar superior à taxa média de mercado, resta juridicamente descaracterizada a mora do consumidor.</w:t>
      </w:r>
    </w:p>
    <w:p>
      <w:pPr>
        <w:pStyle w:val="Normal"/>
        <w:spacing w:lineRule="auto" w:line="300"/>
        <w:ind w:firstLine="1418" w:end="0"/>
        <w:jc w:val="both"/>
        <w:rPr>
          <w:rFonts w:cs="Calibri"/>
          <w:lang w:val="pt-BR" w:eastAsia="pt-BR"/>
        </w:rPr>
      </w:pPr>
      <w:r>
        <w:rPr>
          <w:rFonts w:cs="Calibri"/>
          <w:lang w:val="pt-BR" w:eastAsia="pt-BR"/>
        </w:rPr>
      </w:r>
    </w:p>
    <w:p>
      <w:pPr>
        <w:pStyle w:val="Normal"/>
        <w:spacing w:lineRule="auto" w:line="300"/>
        <w:ind w:firstLine="1418" w:end="0"/>
        <w:jc w:val="both"/>
        <w:rPr/>
      </w:pPr>
      <w:r>
        <w:rPr>
          <w:rFonts w:cs="Calibri"/>
          <w:lang w:val="pt-BR" w:eastAsia="pt-BR"/>
        </w:rPr>
        <w:t>Tal entendimento encontra-se consolidado na jurisprudência do Superior Tribunal de Justiça, notadamente no julgamento do REsp nº 1.061.530/RS, submetido ao rito dos recursos repetitivos, no qual restou firmada a seguinte orientação:</w:t>
      </w:r>
    </w:p>
    <w:p>
      <w:pPr>
        <w:pStyle w:val="Normal"/>
        <w:tabs>
          <w:tab w:val="clear" w:pos="720"/>
          <w:tab w:val="left" w:pos="2835" w:leader="none"/>
        </w:tabs>
        <w:spacing w:lineRule="auto" w:line="300"/>
        <w:jc w:val="both"/>
        <w:rPr>
          <w:rFonts w:cs="Calibri"/>
          <w:color w:val="FF0000"/>
          <w:lang w:val="pt-BR" w:eastAsia="pt-BR"/>
        </w:rPr>
      </w:pPr>
      <w:r>
        <w:rPr>
          <w:rFonts w:cs="Calibri"/>
          <w:color w:val="FF0000"/>
          <w:lang w:val="pt-BR" w:eastAsia="pt-BR"/>
        </w:rPr>
      </w:r>
    </w:p>
    <w:p>
      <w:pPr>
        <w:pStyle w:val="Normal"/>
        <w:spacing w:lineRule="auto" w:line="240"/>
        <w:ind w:start="2268" w:end="0"/>
        <w:jc w:val="both"/>
        <w:rPr/>
      </w:pPr>
      <w:r>
        <w:rPr>
          <w:rFonts w:cs="Calibri"/>
          <w:sz w:val="20"/>
          <w:szCs w:val="20"/>
          <w:lang w:val="pt-BR" w:eastAsia="pt-BR"/>
        </w:rPr>
        <w:t xml:space="preserve">Nos termos da jurisprudência dominante do STJ: </w:t>
      </w:r>
      <w:r>
        <w:rPr>
          <w:rFonts w:eastAsia="CourierNew;MS Mincho" w:cs="Calibri"/>
          <w:sz w:val="20"/>
          <w:szCs w:val="20"/>
          <w:lang w:val="pt-BR" w:eastAsia="pt-BR"/>
        </w:rPr>
        <w:t>“(...) II - JULGAMENTO DO RECURSO REPRESENTATIVO (REsp 1.061.530/RS) (...) verificada a cobrança de encargo abusivo no período da normalidade contratual, resta descaracterizada a mora do devedor. Afastada a mora: i) e ilegal o envio de dados do consumidor para quaisquer cadastros de inadimplência; ii) deve o consumidor permanecer na posse do bem alienado fiduciariamente e iii) não se admite o protesto do título representativo da dívida. (...) Recurso especial parcialmente conhecido e, nesta parte, provido, para declarar a legalidade da cobrança dos juros remuneratórios, como pactuados, e ainda decotar do julgamento as disposições de ofício. Ônus sucumbenciais redistribuídos.” (REsp 1061530/RS, Rel. Min. Nancy Andrighi, 2a SECAO, j. em 22/10/08, DJe 10/03/09).</w:t>
      </w:r>
    </w:p>
    <w:p>
      <w:pPr>
        <w:pStyle w:val="Normal"/>
        <w:spacing w:lineRule="auto" w:line="300"/>
        <w:rPr>
          <w:rFonts w:eastAsia="CourierNew;MS Mincho" w:cs="Calibri"/>
          <w:sz w:val="20"/>
          <w:szCs w:val="20"/>
          <w:lang w:val="pt-BR" w:eastAsia="pt-BR"/>
        </w:rPr>
      </w:pPr>
      <w:r>
        <w:rPr>
          <w:rFonts w:eastAsia="CourierNew;MS Mincho" w:cs="Calibri"/>
          <w:sz w:val="20"/>
          <w:szCs w:val="20"/>
          <w:lang w:val="pt-BR" w:eastAsia="pt-BR"/>
        </w:rPr>
      </w:r>
    </w:p>
    <w:p>
      <w:pPr>
        <w:pStyle w:val="Normal"/>
        <w:spacing w:lineRule="auto" w:line="300"/>
        <w:ind w:firstLine="1418" w:end="0"/>
        <w:jc w:val="both"/>
        <w:rPr/>
      </w:pPr>
      <w:r>
        <w:rPr>
          <w:rFonts w:cs="Calibri"/>
          <w:lang w:val="pt-BR" w:eastAsia="pt-BR"/>
        </w:rPr>
        <w:t xml:space="preserve">O referido precedente estabelece, ainda, importantes </w:t>
      </w:r>
      <w:r>
        <w:rPr>
          <w:rFonts w:cs="Calibri"/>
          <w:b/>
          <w:bCs/>
          <w:lang w:val="pt-BR" w:eastAsia="pt-BR"/>
        </w:rPr>
        <w:t>efeitos jurídicos decorrentes do afastamento da mora</w:t>
      </w:r>
      <w:r>
        <w:rPr>
          <w:rFonts w:cs="Calibri"/>
          <w:lang w:val="pt-BR" w:eastAsia="pt-BR"/>
        </w:rPr>
        <w:t xml:space="preserve">, dentre os quais se destacam: </w:t>
      </w:r>
      <w:r>
        <w:rPr>
          <w:rFonts w:cs="Calibri"/>
          <w:b/>
          <w:bCs/>
          <w:lang w:val="pt-BR" w:eastAsia="pt-BR"/>
        </w:rPr>
        <w:t>(i)</w:t>
      </w:r>
      <w:r>
        <w:rPr>
          <w:rFonts w:cs="Calibri"/>
          <w:lang w:val="pt-BR" w:eastAsia="pt-BR"/>
        </w:rPr>
        <w:t xml:space="preserve"> a impossibilidade de inscrição do nome do consumidor em cadastros de inadimplentes; </w:t>
      </w:r>
      <w:r>
        <w:rPr>
          <w:rFonts w:cs="Calibri"/>
          <w:b/>
          <w:bCs/>
          <w:lang w:val="pt-BR" w:eastAsia="pt-BR"/>
        </w:rPr>
        <w:t>(ii)</w:t>
      </w:r>
      <w:r>
        <w:rPr>
          <w:rFonts w:cs="Calibri"/>
          <w:lang w:val="pt-BR" w:eastAsia="pt-BR"/>
        </w:rPr>
        <w:t xml:space="preserve"> a vedação ao protesto de títulos representativos da dívida e </w:t>
      </w:r>
      <w:r>
        <w:rPr>
          <w:rFonts w:cs="Calibri"/>
          <w:b/>
          <w:bCs/>
          <w:lang w:val="pt-BR" w:eastAsia="pt-BR"/>
        </w:rPr>
        <w:t>(iii)</w:t>
      </w:r>
      <w:r>
        <w:rPr>
          <w:rFonts w:cs="Calibri"/>
          <w:lang w:val="pt-BR" w:eastAsia="pt-BR"/>
        </w:rPr>
        <w:t xml:space="preserve"> a inaplicabilidade de encargos moratórios enquanto perdurar a controvérsia judicial acerca da legalidade dos encargos pactuados.</w:t>
      </w:r>
    </w:p>
    <w:p>
      <w:pPr>
        <w:pStyle w:val="Normal"/>
        <w:spacing w:lineRule="auto" w:line="300"/>
        <w:ind w:firstLine="1418" w:end="0"/>
        <w:jc w:val="both"/>
        <w:rPr>
          <w:rFonts w:cs="Calibri"/>
          <w:lang w:val="pt-BR" w:eastAsia="pt-BR"/>
        </w:rPr>
      </w:pPr>
      <w:r>
        <w:rPr>
          <w:rFonts w:cs="Calibri"/>
          <w:lang w:val="pt-BR" w:eastAsia="pt-BR"/>
        </w:rPr>
      </w:r>
    </w:p>
    <w:p>
      <w:pPr>
        <w:pStyle w:val="Normal"/>
        <w:spacing w:lineRule="auto" w:line="300"/>
        <w:ind w:firstLine="1418" w:end="0"/>
        <w:jc w:val="both"/>
        <w:rPr/>
      </w:pPr>
      <w:r>
        <w:rPr>
          <w:rFonts w:cs="Calibri"/>
          <w:lang w:val="pt-BR" w:eastAsia="pt-BR"/>
        </w:rPr>
        <w:t>No caso concreto, a cobrança de juros manifestamente abusivos, reconhecidamente superiores aos índices médios divulgados pelo Banco Central do Brasil, configura vício ocorrido no período de formação e execução normal do contrato, o que impede que eventual atraso ou inadimplemento seja imputado à parte autora, sob pena de se legitimar prática ilícita perpetrada pelo fornecedor.</w:t>
      </w:r>
    </w:p>
    <w:p>
      <w:pPr>
        <w:pStyle w:val="Normal"/>
        <w:spacing w:lineRule="auto" w:line="300"/>
        <w:ind w:firstLine="1418" w:end="0"/>
        <w:jc w:val="both"/>
        <w:rPr>
          <w:rFonts w:cs="Calibri"/>
          <w:lang w:val="pt-BR" w:eastAsia="pt-BR"/>
        </w:rPr>
      </w:pPr>
      <w:r>
        <w:rPr>
          <w:rFonts w:cs="Calibri"/>
          <w:lang w:val="pt-BR" w:eastAsia="pt-BR"/>
        </w:rPr>
      </w:r>
    </w:p>
    <w:p>
      <w:pPr>
        <w:pStyle w:val="Normal"/>
        <w:spacing w:lineRule="auto" w:line="300"/>
        <w:ind w:firstLine="1418" w:end="0"/>
        <w:jc w:val="both"/>
        <w:rPr/>
      </w:pPr>
      <w:r>
        <w:rPr>
          <w:rFonts w:cs="Calibri"/>
          <w:lang w:val="pt-BR" w:eastAsia="pt-BR"/>
        </w:rPr>
        <w:t xml:space="preserve">Dessa forma, </w:t>
      </w:r>
      <w:r>
        <w:rPr>
          <w:rFonts w:cs="Calibri"/>
          <w:b/>
          <w:bCs/>
          <w:lang w:val="pt-BR" w:eastAsia="pt-BR"/>
        </w:rPr>
        <w:t>deve ser afastada a mora da parte requerente</w:t>
      </w:r>
      <w:r>
        <w:rPr>
          <w:rFonts w:cs="Calibri"/>
          <w:lang w:val="pt-BR" w:eastAsia="pt-BR"/>
        </w:rPr>
        <w:t xml:space="preserve"> em relação ao débito objeto da presente ação revisional, </w:t>
      </w:r>
      <w:r>
        <w:rPr>
          <w:rFonts w:cs="Calibri"/>
          <w:b/>
          <w:bCs/>
          <w:lang w:val="pt-BR" w:eastAsia="pt-BR"/>
        </w:rPr>
        <w:t>até o efetivo recálculo das parcelas conforme os parâmetros legais e jurisprudenciais</w:t>
      </w:r>
      <w:r>
        <w:rPr>
          <w:rFonts w:cs="Calibri"/>
          <w:lang w:val="pt-BR" w:eastAsia="pt-BR"/>
        </w:rPr>
        <w:t>, preservando-se os direitos do consumidor e evitando-se a imposição de penalidades indevidas decorrentes de encargos reconhecidamente ilegais.</w:t>
      </w:r>
    </w:p>
    <w:p>
      <w:pPr>
        <w:pStyle w:val="Default"/>
        <w:spacing w:lineRule="auto" w:line="300"/>
        <w:ind w:firstLine="2835" w:end="0"/>
        <w:jc w:val="both"/>
        <w:rPr>
          <w:rFonts w:cs="Calibri"/>
          <w:sz w:val="22"/>
          <w:szCs w:val="22"/>
          <w:lang w:val="pt-PT" w:eastAsia="pt-BR"/>
        </w:rPr>
      </w:pPr>
      <w:r>
        <w:rPr>
          <w:rFonts w:cs="Calibri"/>
          <w:sz w:val="22"/>
          <w:szCs w:val="22"/>
          <w:lang w:val="pt-PT" w:eastAsia="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rFonts w:cs="Calibri"/>
          <w:b/>
          <w:lang w:val="pt-BR"/>
        </w:rPr>
      </w:pPr>
      <w:r>
        <w:rPr>
          <w:rFonts w:cs="Calibri"/>
          <w:b/>
          <w:lang w:val="pt-BR"/>
        </w:rPr>
        <w:t>3.7 – DO DANO MATERIAL – DA DEVOLUÇÃO DOS VALORES PAGOS INDEVIDAMENTE (REPETIÇÃO DO INDÉBITO)</w:t>
      </w:r>
    </w:p>
    <w:p>
      <w:pPr>
        <w:pStyle w:val="Normal"/>
        <w:spacing w:lineRule="auto" w:line="300"/>
        <w:jc w:val="both"/>
        <w:rPr>
          <w:rFonts w:cs="Calibri"/>
          <w:b/>
          <w:lang w:val="pt-BR"/>
        </w:rPr>
      </w:pPr>
      <w:r>
        <w:rPr>
          <w:rFonts w:cs="Calibri"/>
          <w:b/>
          <w:lang w:val="pt-BR"/>
        </w:rPr>
      </w:r>
    </w:p>
    <w:p>
      <w:pPr>
        <w:pStyle w:val="Normal"/>
        <w:spacing w:lineRule="auto" w:line="300"/>
        <w:ind w:firstLine="1418" w:end="0"/>
        <w:jc w:val="both"/>
        <w:rPr/>
      </w:pPr>
      <w:r>
        <w:rPr>
          <w:rFonts w:cs="Calibri"/>
          <w:lang w:val="pt-BR"/>
        </w:rPr>
        <w:t>Ínclito Julgador, o pedido de restituição dos valores pagos indevidamente encontra pleno respaldo no ordenamento jurídico pátrio e na jurisprudência consolidada do Superior Tribunal de Justiça, que reconhece a possibilidade de compensação e repetição do indébito, ainda que na forma simples, sempre que constatada a cobrança indevida, independentemente da comprovação de erro, sobretudo em contratos bancários de adesão.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No caso em exame, restou amplamente demonstrado que a parte autora suportou cobrança excessiva de juros remuneratórios, decorrente da aplicação de taxa manifestamente abusiva, fundada em cláusula contratual que impôs vantagem exagerada ao fornecedor, em total afronta às normas e princípios que regem o microssistema de proteção ao consumidor.</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Nessas circunstâncias, é medida que se impõe a restituição dos valores pagos a maior, porquanto percebidos pelo banco requerido à custa de encargos ilegais, configurando verdadeiro enriquecimento sem causa, vedado pelo ordenamento jurídico.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 xml:space="preserve">Cumpre destacar que, em contratos de adesão, como o ora analisado, não há que se falar em pagamento voluntário, uma vez que o consumidor não possui margem real de negociação das cláusulas contratuais, razão pela qual não se exige a comprovação de erro para fins de repetição do indébito. Tal entendimento encontra-se pacificado no âmbito do Superior Tribunal de Justiça, conforme dispõe a Súmula nº 322, </w:t>
      </w:r>
      <w:r>
        <w:rPr>
          <w:rFonts w:cs="Calibri"/>
          <w:i/>
          <w:iCs/>
          <w:lang w:val="pt-BR"/>
        </w:rPr>
        <w:t>in verbis</w:t>
      </w:r>
      <w:r>
        <w:rPr>
          <w:rFonts w:cs="Calibri"/>
          <w:lang w:val="pt-BR"/>
        </w:rPr>
        <w:t>:</w:t>
      </w:r>
    </w:p>
    <w:p>
      <w:pPr>
        <w:pStyle w:val="Normal"/>
        <w:spacing w:lineRule="auto" w:line="300"/>
        <w:ind w:firstLine="1418" w:end="0"/>
        <w:jc w:val="both"/>
        <w:rPr>
          <w:rFonts w:cs="Calibri"/>
          <w:lang w:val="pt-BR"/>
        </w:rPr>
      </w:pPr>
      <w:r>
        <w:rPr>
          <w:rFonts w:cs="Calibri"/>
          <w:lang w:val="pt-BR"/>
        </w:rPr>
      </w:r>
    </w:p>
    <w:p>
      <w:pPr>
        <w:pStyle w:val="Normal"/>
        <w:spacing w:lineRule="auto" w:line="240"/>
        <w:ind w:start="2268" w:end="0"/>
        <w:jc w:val="both"/>
        <w:rPr/>
      </w:pPr>
      <w:r>
        <w:rPr>
          <w:rFonts w:cs="Calibri"/>
          <w:b/>
          <w:bCs/>
          <w:sz w:val="20"/>
          <w:szCs w:val="20"/>
          <w:lang w:val="pt-BR"/>
        </w:rPr>
        <w:t>Súmula 322 do STJ</w:t>
      </w:r>
      <w:r>
        <w:rPr>
          <w:rFonts w:cs="Calibri"/>
          <w:sz w:val="20"/>
          <w:szCs w:val="20"/>
          <w:lang w:val="pt-BR"/>
        </w:rPr>
        <w:t xml:space="preserve"> – Para a repetição do indébito, nos contratos de abertura de crédito em conta-corrente, não se exige a prova do erro.</w:t>
      </w:r>
    </w:p>
    <w:p>
      <w:pPr>
        <w:pStyle w:val="Normal"/>
        <w:spacing w:lineRule="auto" w:line="300"/>
        <w:ind w:firstLine="2835" w:end="0"/>
        <w:jc w:val="both"/>
        <w:rPr>
          <w:rFonts w:cs="Calibri"/>
          <w:sz w:val="20"/>
          <w:szCs w:val="20"/>
          <w:lang w:val="pt-BR"/>
        </w:rPr>
      </w:pPr>
      <w:r>
        <w:rPr>
          <w:rFonts w:cs="Calibri"/>
          <w:sz w:val="20"/>
          <w:szCs w:val="20"/>
          <w:lang w:val="pt-BR"/>
        </w:rPr>
      </w:r>
    </w:p>
    <w:p>
      <w:pPr>
        <w:pStyle w:val="Normal"/>
        <w:spacing w:lineRule="auto" w:line="300"/>
        <w:ind w:firstLine="1418" w:end="0"/>
        <w:jc w:val="both"/>
        <w:rPr/>
      </w:pPr>
      <w:r>
        <w:rPr>
          <w:rFonts w:cs="Calibri"/>
          <w:lang w:val="pt-BR"/>
        </w:rPr>
        <w:t>Embora o art. 42, parágrafo único, do Código de Defesa do Consumidor autorize a repetição do indébito em dobro quando inexistente engano justificável, a parte autora, de forma comedida e prudente, requer, neste momento, a restituição na forma simples, reconhecendo a existência de controvérsia jurídica relevante acerca dos encargos exigidos, o que, em tese, pode caracterizar hipótese de engano justificável por parte do requerido.</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lang w:val="pt-BR"/>
        </w:rPr>
      </w:pPr>
      <w:r>
        <w:rPr>
          <w:rFonts w:cs="Calibri"/>
          <w:lang w:val="pt-BR"/>
        </w:rPr>
        <w:t>Admite-se, inclusive, a compensação dos valores a serem restituídos com eventual saldo remanescente que venha a ser apurado em favor da instituição financeira, em estrita observância aos princípios da razoabilidade e da proporcionalidade.</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pPr>
      <w:r>
        <w:rPr>
          <w:rFonts w:cs="Calibri"/>
          <w:lang w:val="pt-BR"/>
        </w:rPr>
        <w:t>A jurisprudência deste Egrégio Tribunal de Justiça do Estado do Amazonas é firme no sentido de que a cobrança de juros remuneratórios acima da média de mercado configura prática abusiva e autoriza a restituição dos valores pagos a maior, conforme se extrai do julgado já colacionado aos autos, o qual reforça a possibilidade de repetição do indébito em hipóteses como a presente.</w:t>
      </w:r>
    </w:p>
    <w:p>
      <w:pPr>
        <w:pStyle w:val="Normal"/>
        <w:spacing w:lineRule="auto" w:line="300"/>
        <w:jc w:val="both"/>
        <w:rPr>
          <w:rFonts w:cs="Calibri"/>
          <w:lang w:val="pt-BR"/>
        </w:rPr>
      </w:pPr>
      <w:r>
        <w:rPr>
          <w:rFonts w:cs="Calibri"/>
          <w:lang w:val="pt-BR"/>
        </w:rPr>
      </w:r>
    </w:p>
    <w:p>
      <w:pPr>
        <w:pStyle w:val="Normal"/>
        <w:spacing w:lineRule="auto" w:line="240"/>
        <w:ind w:start="2268" w:end="0"/>
        <w:jc w:val="both"/>
        <w:rPr/>
      </w:pPr>
      <w:r>
        <w:rPr>
          <w:rFonts w:cs="Calibri"/>
          <w:color w:val="000000"/>
          <w:sz w:val="20"/>
          <w:szCs w:val="20"/>
          <w:shd w:fill="FFFFFF" w:val="clear"/>
          <w:lang w:val="pt-BR"/>
        </w:rPr>
        <w:t xml:space="preserve">Ementa: DIREITO DO CONSUMIDOR. APELAÇÃO CÍVEL. AÇÃO DE REVISÃO CONTRATUAL CUMULADA COM PEDIDO DE INDENIZAÇÃO POR DANOS MORAIS E REPETIÇÃO DE INDÉBITO. </w:t>
      </w:r>
      <w:r>
        <w:rPr>
          <w:rFonts w:cs="Calibri"/>
          <w:b/>
          <w:bCs/>
          <w:color w:val="000000"/>
          <w:sz w:val="20"/>
          <w:szCs w:val="20"/>
          <w:shd w:fill="FFFFFF" w:val="clear"/>
          <w:lang w:val="pt-BR"/>
        </w:rPr>
        <w:t>EMPRÉSTIMO PESSOAL. ALEGAÇÃO DE COBRANÇA DE JUROS ABUSIVOS. SENTENÇA DE PROCEDÊNCIA COM A CONSEQUENTE CONDENAÇÃO DA INSTITUIÇÃO FINANCEIRA A LIMITAR A TAXA DE JUROS ÀQUELA PRATICADA PELO MERCADO À ÉPOCA DA CONTRATAÇÃO. A RESTITUIR EM DOBRO O QUE INDEVIDAMENTE FOI PAGO</w:t>
      </w:r>
      <w:r>
        <w:rPr>
          <w:rFonts w:cs="Calibri"/>
          <w:color w:val="000000"/>
          <w:sz w:val="20"/>
          <w:szCs w:val="20"/>
          <w:shd w:fill="FFFFFF" w:val="clear"/>
          <w:lang w:val="pt-BR"/>
        </w:rPr>
        <w:t xml:space="preserve"> E AO PAGAMENTO DE INDENIZAÇÃO A TÍTULO DE DANO MORAL DA ORDEM DE R$ 5.000,00. INCONFORMISMO DA INSTITUIÇÃO FINANCEIRA, ORA RECORRENTE QUE NÃO MERECE ACOLHIMENTO. RECURSO CONHECIDO E NÃO PROVIDO. </w:t>
      </w:r>
      <w:r>
        <w:rPr>
          <w:rFonts w:cs="Calibri"/>
          <w:b/>
          <w:bCs/>
          <w:color w:val="000000"/>
          <w:sz w:val="20"/>
          <w:szCs w:val="20"/>
          <w:shd w:fill="FFFFFF" w:val="clear"/>
          <w:lang w:val="pt-BR"/>
        </w:rPr>
        <w:t>1. Na hipótese dos autos, restou claro que a instituição bancária, ora apelante impôs a apelada situação de exagerada desvantagem, ao estipular e cobrar juros remuneratórios de forma abusiva, pois em percentual muito acima das taxas médias de mercado praticadas para operações financeiras semelhantes, à época da contratação. 2. Fácil se chegar a essa conclusão pela leitura do contrato acostado às fls. 23/28, nos quais se vê que foram aplicadas, respectivamente, aos empréstimos pessoais ajustados entre as partes, taxas de juros à razão de 22,00% ao mês e 987,22% ao ano. É certo que por destoar em muito da taxa média de mercado, segundo o Bacen, é que a taxa é considerada abusiva e ilegal. O C. Superior Tribunal de Justiça exaustivamente já decidiu que é livre a pactuação da taxa de juros entre os contratantes, salvo nos casos em que há excesso manifestamente comprovado.</w:t>
      </w:r>
      <w:r>
        <w:rPr>
          <w:rFonts w:cs="Calibri"/>
          <w:color w:val="000000"/>
          <w:sz w:val="20"/>
          <w:szCs w:val="20"/>
          <w:shd w:fill="FFFFFF" w:val="clear"/>
          <w:lang w:val="pt-BR"/>
        </w:rPr>
        <w:t xml:space="preserve"> 3. Quanto aos danos morais, o pleito recursal não merece acolhimento, uma vez que mostra-se patente a falha na prestação do serviço, em razão da imposição de juros abusivos ao consumidor, assim, o dano moral configura-se in re ipsa, derivando, inexoravelmente, do próprio fato ofensivo, motivo pelo qual a manutenção da respectiva verba indenizatória é medida que se impõe, qual seja, R$ 5.000,00 (cinco mil reais), valor este que mostra-se adequado a jurisprudência desta Corte de Justiça. (Apelação Cível Nº 0647462-78.2021.8.04.0001; Relator (a): Maria das Graças Pessoa Figueiredo; Comarca: Manaus/AM; Órgão julgador: Primeira Câmara Cível; Data do julgamento: 12/06/2023; Data de registro: 13/06/2023) (grifo nosso)</w:t>
      </w:r>
    </w:p>
    <w:p>
      <w:pPr>
        <w:pStyle w:val="Normal"/>
        <w:spacing w:lineRule="auto" w:line="240"/>
        <w:ind w:start="2268" w:end="0"/>
        <w:jc w:val="both"/>
        <w:rPr>
          <w:rFonts w:cs="Calibri"/>
          <w:color w:val="000000"/>
          <w:sz w:val="20"/>
          <w:szCs w:val="20"/>
          <w:shd w:fill="FFFFFF" w:val="clear"/>
          <w:lang w:val="pt-BR"/>
        </w:rPr>
      </w:pPr>
      <w:r>
        <w:rPr>
          <w:rFonts w:cs="Calibri"/>
          <w:color w:val="000000"/>
          <w:sz w:val="20"/>
          <w:szCs w:val="20"/>
          <w:shd w:fill="FFFFFF" w:val="clear"/>
          <w:lang w:val="pt-BR"/>
        </w:rPr>
      </w:r>
    </w:p>
    <w:p>
      <w:pPr>
        <w:pStyle w:val="Normal"/>
        <w:spacing w:lineRule="auto" w:line="240"/>
        <w:ind w:start="2268" w:end="0"/>
        <w:jc w:val="both"/>
        <w:rPr/>
      </w:pPr>
      <w:r>
        <w:rPr>
          <w:rFonts w:cs="Calibri"/>
          <w:color w:val="000000"/>
          <w:sz w:val="20"/>
          <w:szCs w:val="20"/>
          <w:shd w:fill="FFFFFF" w:val="clear"/>
          <w:lang w:val="pt-BR"/>
        </w:rPr>
        <w:t>Ementa: 1): CONSUMIDOR. APELAÇÃO CÍVEL. AÇÃO DE REVISÃO DE CONTRATO.</w:t>
      </w:r>
      <w:r>
        <w:rPr>
          <w:rFonts w:cs="Calibri"/>
          <w:b/>
          <w:bCs/>
          <w:color w:val="000000"/>
          <w:sz w:val="20"/>
          <w:szCs w:val="20"/>
          <w:shd w:fill="FFFFFF" w:val="clear"/>
          <w:lang w:val="pt-BR"/>
        </w:rPr>
        <w:t xml:space="preserve"> TAXA DE JUROS REMUNERATÓRIOS ABUSIVA. CRÉDITO PESSOAL. NECESSIDADE DE REVISÃO.</w:t>
      </w:r>
      <w:r>
        <w:rPr>
          <w:rFonts w:cs="Calibri"/>
          <w:color w:val="000000"/>
          <w:sz w:val="20"/>
          <w:szCs w:val="20"/>
          <w:shd w:fill="FFFFFF" w:val="clear"/>
          <w:lang w:val="pt-BR"/>
        </w:rPr>
        <w:t xml:space="preserve"> DANO MORAL CONFIGURADO. RECURSO CONHECIDO E NÃO PROVIDO. SENTENÇA MANTIDA. </w:t>
      </w:r>
      <w:r>
        <w:rPr>
          <w:rFonts w:cs="Calibri"/>
          <w:b/>
          <w:bCs/>
          <w:color w:val="000000"/>
          <w:sz w:val="20"/>
          <w:szCs w:val="20"/>
          <w:shd w:fill="FFFFFF" w:val="clear"/>
          <w:lang w:val="pt-BR"/>
        </w:rPr>
        <w:t>1. Incontroversa a ilegalidade da taxa de juros indevidamente cobrada, resta analisar a possibilidade de aplicação da restituição em sua forma dobrada, bem como, a majoração do dano moral. 2. Tratando-se de relação tipicamente de consumo e considerando que tais cobranças foram inseridas nas parcelas do empréstimo pela ré em clara afronta aos deveres anexos à boa-fé contratual, em descaso à transparência e ao dever de informação que devem permear todas as relações contratuais, a repetição dobrada prevista no parágrafo único do artigo 42 do Código de Proteção e Defesa do Consumidor é medida impositiva, uma vez evidenciada a má-fé da contrata;</w:t>
      </w:r>
      <w:r>
        <w:rPr>
          <w:rFonts w:cs="Calibri"/>
          <w:color w:val="000000"/>
          <w:sz w:val="20"/>
          <w:szCs w:val="20"/>
          <w:shd w:fill="FFFFFF" w:val="clear"/>
          <w:lang w:val="pt-BR"/>
        </w:rPr>
        <w:t xml:space="preserve"> 3. Recurso conhecido e não provido. Sentença mantida. Sem intervenção do Ministério Público. EMENTA(2): CONSUMIDOR. APELAÇÃO CÍVEL. AÇÃO DE REVISÃO DE CONTRATO. TAXA DE JUROS ABUSIVA. CRÉDITO PESSOAL. DEVOLUÇÃO EM DOBRO. CABÍVEL. MAJORAÇÃO DE DANO MORAL. NÃO CONFIGURADO. RECURSO CONHECIDO E PARCIALMENTE PROVIDO. Tratando-se de relação tipicamente de consumo e considerando que tais cobranças foram inseridas nas parcelas do empréstimo pela ré em clara afronta aos deveres anexos à boa-fé contratual, em descaso à transparência e ao dever de informação que devem permear todas as relações contratuais, a repetição dobrada prevista no parágrafo único do artigo 42 do Código de Proteção e Defesa do Consumidor é medida impositiva, uma vez evidenciada a má-fé da contrata; No âmbito do "quantum" indenizatório fixado pelo Juízo de origem, o primeiro apelante requer a exclusão ou a minoração do valor estabelecido, alegando que se revela excessivo e ocasiona enriquecimento ilícito e já o segundo Apelante requer a majoração. Diante da reprovável conduta das instituições, consubstanciada na prestação de seus serviços de maneira desidiosa e negligente, como forma de evitar a reincidência dos ofensores em casos semelhantes, entendo que a indenização arbitrada em sentença, no valor de R$ 3.000,00 (três mil reais), está de acordo com os princípios da razoabilidade e proporcionalidade; Recurso conhecido e parcialmente provido. Sentença reformada. Sem intervenção do Ministério Público. (Apelação Cível Nº 0643079-57.2021.8.04.0001; Relator (a): Joana dos Santos Meirelles; Comarca: Manaus/AM; Órgão julgador: Primeira Câmara Cível; Data do julgamento: 24/05/2023; Data de registro: 24/05/2023) (grifo nosso)</w:t>
      </w:r>
    </w:p>
    <w:p>
      <w:pPr>
        <w:pStyle w:val="Normal"/>
        <w:spacing w:lineRule="auto" w:line="240"/>
        <w:ind w:start="2268" w:end="0"/>
        <w:jc w:val="both"/>
        <w:rPr>
          <w:rFonts w:cs="Calibri"/>
          <w:color w:val="000000"/>
          <w:sz w:val="20"/>
          <w:szCs w:val="20"/>
          <w:shd w:fill="FFFFFF" w:val="clear"/>
          <w:lang w:val="pt-BR"/>
        </w:rPr>
      </w:pPr>
      <w:r>
        <w:rPr>
          <w:rFonts w:cs="Calibri"/>
          <w:color w:val="000000"/>
          <w:sz w:val="20"/>
          <w:szCs w:val="20"/>
          <w:shd w:fill="FFFFFF" w:val="clear"/>
          <w:lang w:val="pt-BR"/>
        </w:rPr>
        <w:t xml:space="preserve"> </w:t>
      </w:r>
    </w:p>
    <w:p>
      <w:pPr>
        <w:pStyle w:val="Normal"/>
        <w:spacing w:lineRule="auto" w:line="240"/>
        <w:ind w:start="2268" w:end="0"/>
        <w:jc w:val="both"/>
        <w:rPr>
          <w:rFonts w:cs="Calibri"/>
          <w:sz w:val="20"/>
          <w:szCs w:val="20"/>
          <w:lang w:val="pt-BR"/>
        </w:rPr>
      </w:pPr>
      <w:r>
        <w:rPr>
          <w:rFonts w:cs="Calibri"/>
          <w:color w:val="000000"/>
          <w:sz w:val="20"/>
          <w:szCs w:val="20"/>
          <w:shd w:fill="FFFFFF" w:val="clear"/>
          <w:lang w:val="pt-BR"/>
        </w:rPr>
        <w:t xml:space="preserve">Ementa: APELAÇÃO CÍVEL. </w:t>
      </w:r>
      <w:r>
        <w:rPr>
          <w:rFonts w:cs="Calibri"/>
          <w:b/>
          <w:bCs/>
          <w:color w:val="000000"/>
          <w:sz w:val="20"/>
          <w:szCs w:val="20"/>
          <w:shd w:fill="FFFFFF" w:val="clear"/>
          <w:lang w:val="pt-BR"/>
        </w:rPr>
        <w:t>REVISÃO DE JUROS PRATICADOS EM CONTRATO DE EMPRÉSTIMO. EXCESSO OBSERVADO A PARTIR DA MÉDIA DO BACEN. DESVANTAGEM EXCESSIVA DA CONSUMIDORA. RESTITUIÇÃO EM DOBRO. CONDUTA CONTRÁRIA À BOA-FÉ.</w:t>
      </w:r>
      <w:r>
        <w:rPr>
          <w:rFonts w:cs="Calibri"/>
          <w:color w:val="000000"/>
          <w:sz w:val="20"/>
          <w:szCs w:val="20"/>
          <w:shd w:fill="FFFFFF" w:val="clear"/>
          <w:lang w:val="pt-BR"/>
        </w:rPr>
        <w:t xml:space="preserve"> DANOS MORAIS CONFIGURADOS. ARBITRAMENTO QUE DEVE OBSERVAR OS PARÂMETROS DE RAZOABILIDADE E PROPORCIONALIDADE. RECURSO CONHECIDO E PROVIDO. 1. A despeito das instituições financeiras não estarem adstritas aos limites de juros impostos pela Lei da Usura - Decreto nº 22.626/1.933 – , em caso de abuso a jurisprudência admite que os juros pactuados sejam reduzidos para serem adequados à média de mercado, registrado para o mesmo contexto pelo BACEN. Precedentes. 2. Na esteira da jurisprudência do sodalício Tribunal Cidadão, consideram-se abusivos os juros pactuados quando, em relação de consumo, o percentual fixado seja superior à media de mercado em proporção capaz de colocar o consumidor em desvantagem exagerada, tal como dispõe o art. 51, §1º, do CDC. Precedente do STJ submetido ao rito dos recursos repetitivos (REsp nº 1.061.530/RS). </w:t>
      </w:r>
      <w:r>
        <w:rPr>
          <w:rFonts w:cs="Calibri"/>
          <w:b/>
          <w:bCs/>
          <w:color w:val="000000"/>
          <w:sz w:val="20"/>
          <w:szCs w:val="20"/>
          <w:shd w:fill="FFFFFF" w:val="clear"/>
          <w:lang w:val="pt-BR"/>
        </w:rPr>
        <w:t>3. In casu, os juros anuais superam em mais de 700% a média de mercado praticada à da época da celebração do contrato (setembro de 2015). 4. "A restituição em dobro do indébito (parágrafo único do artigo 42 do CDC) independe da natureza do elemento volitivo do fornecedor que realizou a cobrança indevida, revelando-se cabível quando a referida cobrança consubstanciar conduta contrária à boa-fé objetiva" (EAREsp 676.608/RS, Rel. Ministro OG FERNANDES, CORTE ESPECIAL, julgado em 21/10/2020, DJe 30/03/2021).</w:t>
      </w:r>
      <w:r>
        <w:rPr>
          <w:rFonts w:cs="Calibri"/>
          <w:color w:val="000000"/>
          <w:sz w:val="20"/>
          <w:szCs w:val="20"/>
          <w:shd w:fill="FFFFFF" w:val="clear"/>
          <w:lang w:val="pt-BR"/>
        </w:rPr>
        <w:t xml:space="preserve"> 5. A frustração e a impotência experimentadas pela consumidora diante do exercício arbitrário do poder de negociação da apelada caracterizam um desrespeito que lhe rende claramente danos morais. 6. Diante das peculiaridades do caso concreto, sopesado os parâmetros de razoabilidade e proporcionalidade, deve ser fixado o valor da indenização por danos morais em R$ 5.000,00 (cinco mil reais), importância consentânea com a jurisprudência desta Corte e que alcança a finalidade punitiva/pedagógica dos danos morais, não gerando enriquecimento sem causa do sujeito indenizado. 7. Recurso conhecido e provido. (Apelação Cível Nº 0002607-67.2017.8.04.4701; Relator (a): Maria do Perpétuo Socorro Guedes Moura; Comarca: Manaus/AM; Órgão julgador: Segunda Câmara Cível; Data do julgamento: 17/03/2023; Data de registro: 17/03/2023) (grifo nosso)</w:t>
      </w:r>
    </w:p>
    <w:p>
      <w:pPr>
        <w:pStyle w:val="Normal"/>
        <w:spacing w:lineRule="auto" w:line="300"/>
        <w:jc w:val="both"/>
        <w:rPr>
          <w:rFonts w:cs="Calibri"/>
          <w:sz w:val="20"/>
          <w:szCs w:val="20"/>
          <w:lang w:val="pt-BR"/>
        </w:rPr>
      </w:pPr>
      <w:r>
        <w:rPr>
          <w:rFonts w:cs="Calibri"/>
          <w:sz w:val="20"/>
          <w:szCs w:val="20"/>
          <w:lang w:val="pt-BR"/>
        </w:rPr>
      </w:r>
    </w:p>
    <w:p>
      <w:pPr>
        <w:pStyle w:val="Normal"/>
        <w:spacing w:lineRule="auto" w:line="300"/>
        <w:ind w:firstLine="1418" w:end="0"/>
        <w:jc w:val="both"/>
        <w:rPr/>
      </w:pPr>
      <w:r>
        <w:rPr>
          <w:rFonts w:cs="Calibri"/>
          <w:lang w:val="pt-BR"/>
        </w:rPr>
        <w:t>Dessa forma, comprovada a violação às normas consumeristas aplicáveis à espécie, impõe-se a condenação do banco requerido à devolução dos valores indevidamente cobrados, sob pena de se legitimar conduta incompatível com os princípios da boa-fé objetiva, da equidade e da proteção ao consumidor.</w:t>
      </w:r>
    </w:p>
    <w:p>
      <w:pPr>
        <w:pStyle w:val="Normal"/>
        <w:spacing w:lineRule="auto" w:line="300"/>
        <w:ind w:firstLine="1418" w:end="0"/>
        <w:jc w:val="both"/>
        <w:rPr>
          <w:rFonts w:cs="Calibri"/>
          <w:lang w:val="pt-BR"/>
        </w:rPr>
      </w:pPr>
      <w:r>
        <w:rPr>
          <w:rFonts w:cs="Calibri"/>
          <w:lang w:val="pt-BR"/>
        </w:rPr>
      </w:r>
    </w:p>
    <w:p>
      <w:pPr>
        <w:pStyle w:val="Normal"/>
        <w:tabs>
          <w:tab w:val="left" w:pos="720" w:leader="none"/>
        </w:tabs>
        <w:spacing w:lineRule="auto" w:line="300"/>
        <w:ind w:firstLine="1418" w:end="0"/>
        <w:jc w:val="both"/>
        <w:rPr/>
      </w:pPr>
      <w:r>
        <w:rPr>
          <w:rFonts w:cs="Calibri"/>
          <w:lang w:val="pt-BR"/>
        </w:rPr>
        <w:t>Ante o exposto, requer a parte autora que Vossa Excelência condene o requerido à restituição, na forma simples, dos valores pagos indevidamente no contrato de empréstimo consignado objeto da presente demanda, a serem apurados em fase de liquidação de sentença, acrescidos de correção monetária desde a data do efetivo prejuízo, nos termos da Súmula nº 43 do STJ e juros moratórios de 1% (um por cento) ao mês, a contar do evento danoso, conforme orientação da Súmula nº 54 do STJ, como medida de justiça, equilíbrio contratual e efetiva tutela dos direitos do consumidor.</w:t>
      </w:r>
    </w:p>
    <w:p>
      <w:pPr>
        <w:pStyle w:val="Normal"/>
        <w:spacing w:lineRule="auto" w:line="300"/>
        <w:jc w:val="both"/>
        <w:rPr>
          <w:rFonts w:cs="Calibri"/>
          <w:b/>
          <w:lang w:val="pt-BR"/>
        </w:rPr>
      </w:pPr>
      <w:r>
        <w:rPr>
          <w:rFonts w:cs="Calibri"/>
          <w:b/>
          <w:lang w:val="pt-BR"/>
        </w:rPr>
      </w:r>
    </w:p>
    <w:p>
      <w:pPr>
        <w:pStyle w:val="Normal"/>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jc w:val="both"/>
        <w:rPr>
          <w:rFonts w:cs="Calibri"/>
          <w:b/>
          <w:lang w:val="pt-BR"/>
        </w:rPr>
      </w:pPr>
      <w:r>
        <w:rPr>
          <w:rFonts w:cs="Calibri"/>
          <w:b/>
          <w:lang w:val="pt-BR"/>
        </w:rPr>
        <w:t>3.8 – DO DANO MORAL E DO DEVER DE INDENIZAR</w:t>
      </w:r>
    </w:p>
    <w:p>
      <w:pPr>
        <w:pStyle w:val="Normal"/>
        <w:spacing w:lineRule="auto" w:line="300"/>
        <w:jc w:val="both"/>
        <w:rPr>
          <w:rFonts w:cs="Calibri"/>
          <w:b/>
          <w:u w:val="single"/>
          <w:lang w:val="pt-BR"/>
        </w:rPr>
      </w:pPr>
      <w:r>
        <w:rPr>
          <w:rFonts w:cs="Calibri"/>
          <w:b/>
          <w:u w:val="single"/>
          <w:lang w:val="pt-BR"/>
        </w:rPr>
      </w:r>
    </w:p>
    <w:p>
      <w:pPr>
        <w:pStyle w:val="Normal"/>
        <w:tabs>
          <w:tab w:val="clear" w:pos="720"/>
          <w:tab w:val="left" w:pos="2694" w:leader="none"/>
        </w:tabs>
        <w:spacing w:lineRule="auto" w:line="300"/>
        <w:ind w:firstLine="1418" w:end="0"/>
        <w:jc w:val="both"/>
        <w:rPr>
          <w:rFonts w:cs="Calibri"/>
          <w:lang w:val="pt-BR"/>
        </w:rPr>
      </w:pPr>
      <w:r>
        <w:rPr>
          <w:rFonts w:cs="Calibri"/>
          <w:lang w:val="pt-BR"/>
        </w:rPr>
        <w:t>Inicialmente, cumpre ressaltar que a parte autora, na condição de consumidora vulnerável, é titular dos direitos básicos assegurados pelo art. 6º do Código de Defesa do Consumidor, dentre os quais se destaca a proteção contra práticas abusivas e ilícitas, bem como a efetiva reparação por danos morais e patrimoniais.</w:t>
      </w:r>
    </w:p>
    <w:p>
      <w:pPr>
        <w:pStyle w:val="Normal"/>
        <w:tabs>
          <w:tab w:val="clear" w:pos="720"/>
          <w:tab w:val="left" w:pos="2694" w:leader="none"/>
        </w:tabs>
        <w:spacing w:lineRule="auto" w:line="300"/>
        <w:ind w:firstLine="1418" w:end="0"/>
        <w:jc w:val="both"/>
        <w:rPr>
          <w:rFonts w:cs="Calibri"/>
          <w:lang w:val="pt-BR"/>
        </w:rPr>
      </w:pPr>
      <w:r>
        <w:rPr>
          <w:rFonts w:cs="Calibri"/>
          <w:lang w:val="pt-BR"/>
        </w:rPr>
        <w:t xml:space="preserve"> </w:t>
      </w:r>
    </w:p>
    <w:p>
      <w:pPr>
        <w:pStyle w:val="Normal"/>
        <w:tabs>
          <w:tab w:val="clear" w:pos="720"/>
          <w:tab w:val="left" w:pos="2694" w:leader="none"/>
        </w:tabs>
        <w:spacing w:lineRule="auto" w:line="300"/>
        <w:ind w:firstLine="1418" w:end="0"/>
        <w:jc w:val="both"/>
        <w:rPr/>
      </w:pPr>
      <w:r>
        <w:rPr>
          <w:rFonts w:cs="Calibri"/>
          <w:lang w:val="pt-BR"/>
        </w:rPr>
        <w:t>No caso concreto, restou amplamente comprovada a aplicação de taxa de juros remuneratórios manifestamente abusiva, muito superior à taxa média de mercado divulgada pelo Banco Central do Brasil à época da contratação, circunstância que comprometeu de forma severa o equilíbrio da relação contratual, impondo à parte autora encargos excessivos e desproporcionais.</w:t>
      </w:r>
    </w:p>
    <w:p>
      <w:pPr>
        <w:pStyle w:val="Normal"/>
        <w:tabs>
          <w:tab w:val="clear" w:pos="720"/>
          <w:tab w:val="left" w:pos="2694" w:leader="none"/>
        </w:tabs>
        <w:spacing w:lineRule="auto" w:line="300"/>
        <w:ind w:firstLine="1418" w:end="0"/>
        <w:jc w:val="both"/>
        <w:rPr>
          <w:rFonts w:cs="Calibri"/>
          <w:lang w:val="pt-BR"/>
        </w:rPr>
      </w:pPr>
      <w:r>
        <w:rPr>
          <w:rFonts w:cs="Calibri"/>
          <w:lang w:val="pt-BR"/>
        </w:rPr>
      </w:r>
    </w:p>
    <w:p>
      <w:pPr>
        <w:pStyle w:val="Normal"/>
        <w:tabs>
          <w:tab w:val="clear" w:pos="720"/>
          <w:tab w:val="left" w:pos="2694" w:leader="none"/>
        </w:tabs>
        <w:spacing w:lineRule="auto" w:line="300"/>
        <w:ind w:firstLine="1418" w:end="0"/>
        <w:jc w:val="both"/>
        <w:rPr/>
      </w:pPr>
      <w:r>
        <w:rPr>
          <w:rFonts w:cs="Calibri"/>
          <w:lang w:val="pt-BR"/>
        </w:rPr>
        <w:t>Com efeito, a taxa de juros imposta pelo banco requerido elevou de maneira exponencial o débito da parte autora, gerando ônus financeiro incompatível com a realidade econômica da consumidora, em flagrante ofensa aos princípios da boa-fé objetiva, da transparência e da equidade, especialmente por se tratar de contrato de adesão de refinanciamento consignado, no qual inexiste paridade de forças entre as partes.</w:t>
      </w:r>
    </w:p>
    <w:p>
      <w:pPr>
        <w:pStyle w:val="Normal"/>
        <w:tabs>
          <w:tab w:val="clear" w:pos="720"/>
          <w:tab w:val="left" w:pos="2694" w:leader="none"/>
        </w:tabs>
        <w:spacing w:lineRule="auto" w:line="300"/>
        <w:ind w:firstLine="1418" w:end="0"/>
        <w:jc w:val="both"/>
        <w:rPr>
          <w:rFonts w:cs="Calibri"/>
          <w:lang w:val="pt-BR"/>
        </w:rPr>
      </w:pPr>
      <w:r>
        <w:rPr>
          <w:rFonts w:cs="Calibri"/>
          <w:lang w:val="pt-BR"/>
        </w:rPr>
      </w:r>
    </w:p>
    <w:p>
      <w:pPr>
        <w:pStyle w:val="Normal"/>
        <w:tabs>
          <w:tab w:val="clear" w:pos="720"/>
          <w:tab w:val="left" w:pos="2694" w:leader="none"/>
        </w:tabs>
        <w:spacing w:lineRule="auto" w:line="300"/>
        <w:ind w:firstLine="1418" w:end="0"/>
        <w:jc w:val="both"/>
        <w:rPr/>
      </w:pPr>
      <w:r>
        <w:rPr>
          <w:rFonts w:cs="Calibri"/>
          <w:lang w:val="pt-BR"/>
        </w:rPr>
        <w:t>É indubitável que a parte autora foi vítima de prática abusiva, estando claramente demonstrado o nexo de causalidade entre a conduta ilícita do requerido — consubstanciada na cobrança de juros exorbitantes e dissociados dos parâmetros de mercado — e os prejuízos experimentados pela consumidora. Tal circunstância é suficiente para caracterizar a responsabilidade civil do fornecedor, nos termos da legislação vigente.</w:t>
      </w:r>
    </w:p>
    <w:p>
      <w:pPr>
        <w:pStyle w:val="Normal"/>
        <w:tabs>
          <w:tab w:val="clear" w:pos="720"/>
          <w:tab w:val="left" w:pos="2694" w:leader="none"/>
        </w:tabs>
        <w:spacing w:lineRule="auto" w:line="300"/>
        <w:ind w:firstLine="1418" w:end="0"/>
        <w:jc w:val="both"/>
        <w:rPr>
          <w:rFonts w:cs="Calibri"/>
          <w:lang w:val="pt-BR"/>
        </w:rPr>
      </w:pPr>
      <w:r>
        <w:rPr>
          <w:rFonts w:cs="Calibri"/>
          <w:lang w:val="pt-BR"/>
        </w:rPr>
      </w:r>
    </w:p>
    <w:p>
      <w:pPr>
        <w:pStyle w:val="Normal"/>
        <w:tabs>
          <w:tab w:val="clear" w:pos="720"/>
          <w:tab w:val="left" w:pos="2694" w:leader="none"/>
        </w:tabs>
        <w:spacing w:lineRule="auto" w:line="300"/>
        <w:ind w:firstLine="1418" w:end="0"/>
        <w:jc w:val="both"/>
        <w:rPr/>
      </w:pPr>
      <w:r>
        <w:rPr>
          <w:rFonts w:cs="Calibri"/>
          <w:lang w:val="pt-BR"/>
        </w:rPr>
        <w:t>A submissão da parte autora ao pagamento de encargos financeiros excessivos, fundados em cláusulas reconhecidamente abusivas, ultrapassa o mero dissabor cotidiano, atingindo direitos da personalidade, ao gerar angústia, frustração, insegurança, sensação de engano e impotência, especialmente diante da impossibilidade de negociação das cláusulas contratuais, configurando, assim, dano moral indenizável.</w:t>
      </w:r>
    </w:p>
    <w:p>
      <w:pPr>
        <w:pStyle w:val="Normal"/>
        <w:tabs>
          <w:tab w:val="clear" w:pos="720"/>
          <w:tab w:val="left" w:pos="2694" w:leader="none"/>
        </w:tabs>
        <w:spacing w:lineRule="auto" w:line="300"/>
        <w:ind w:firstLine="1418" w:end="0"/>
        <w:jc w:val="both"/>
        <w:rPr>
          <w:rFonts w:cs="Calibri"/>
          <w:lang w:val="pt-BR"/>
        </w:rPr>
      </w:pPr>
      <w:r>
        <w:rPr>
          <w:rFonts w:cs="Calibri"/>
          <w:lang w:val="pt-BR"/>
        </w:rPr>
      </w:r>
    </w:p>
    <w:p>
      <w:pPr>
        <w:pStyle w:val="Normal"/>
        <w:tabs>
          <w:tab w:val="clear" w:pos="720"/>
          <w:tab w:val="left" w:pos="2694" w:leader="none"/>
        </w:tabs>
        <w:spacing w:lineRule="auto" w:line="300"/>
        <w:ind w:firstLine="1418" w:end="0"/>
        <w:jc w:val="both"/>
        <w:rPr>
          <w:rFonts w:cs="Calibri"/>
          <w:lang w:val="pt-BR"/>
        </w:rPr>
      </w:pPr>
      <w:r>
        <w:rPr>
          <w:rFonts w:cs="Calibri"/>
          <w:lang w:val="pt-BR"/>
        </w:rPr>
        <w:t>Nesse contexto, encontra-se plenamente caracterizada a responsabilidade do banco requerido, com fundamento nos arts. 5º, incisos V e X, da Constituição Federal, no art. 6º, inciso VI, do Código de Defesa do Consumidor, bem como nos arts. 186 e 927, parágrafo único, do Código Civil, os quais asseguram a reparação integral dos danos morais decorrentes de atos ilícitos, inclusive nas hipóteses de responsabilidade objetiva.</w:t>
      </w:r>
    </w:p>
    <w:p>
      <w:pPr>
        <w:pStyle w:val="Normal"/>
        <w:tabs>
          <w:tab w:val="clear" w:pos="720"/>
          <w:tab w:val="left" w:pos="2694" w:leader="none"/>
        </w:tabs>
        <w:spacing w:lineRule="auto" w:line="300"/>
        <w:ind w:firstLine="1418" w:end="0"/>
        <w:jc w:val="both"/>
        <w:rPr>
          <w:rFonts w:cs="Calibri"/>
          <w:lang w:val="pt-BR"/>
        </w:rPr>
      </w:pPr>
      <w:r>
        <w:rPr>
          <w:rFonts w:cs="Calibri"/>
          <w:lang w:val="pt-BR"/>
        </w:rPr>
      </w:r>
    </w:p>
    <w:p>
      <w:pPr>
        <w:pStyle w:val="Normal"/>
        <w:tabs>
          <w:tab w:val="clear" w:pos="720"/>
          <w:tab w:val="left" w:pos="2694" w:leader="none"/>
        </w:tabs>
        <w:spacing w:lineRule="auto" w:line="300"/>
        <w:ind w:firstLine="1418" w:end="0"/>
        <w:jc w:val="both"/>
        <w:rPr/>
      </w:pPr>
      <w:r>
        <w:rPr>
          <w:rFonts w:cs="Calibri"/>
          <w:lang w:val="pt-BR"/>
        </w:rPr>
        <w:t>Dispõem os referidos dispositivos legais:</w:t>
      </w:r>
    </w:p>
    <w:p>
      <w:pPr>
        <w:pStyle w:val="Normal"/>
        <w:tabs>
          <w:tab w:val="clear" w:pos="720"/>
          <w:tab w:val="left" w:pos="2694" w:leader="none"/>
        </w:tabs>
        <w:spacing w:lineRule="auto" w:line="300"/>
        <w:ind w:firstLine="1418" w:end="0"/>
        <w:jc w:val="both"/>
        <w:rPr>
          <w:rFonts w:cs="Calibri"/>
          <w:lang w:val="pt-BR"/>
        </w:rPr>
      </w:pPr>
      <w:r>
        <w:rPr>
          <w:rFonts w:cs="Calibri"/>
          <w:lang w:val="pt-BR"/>
        </w:rPr>
      </w:r>
    </w:p>
    <w:p>
      <w:pPr>
        <w:pStyle w:val="Normal"/>
        <w:spacing w:lineRule="auto" w:line="240"/>
        <w:ind w:start="2268" w:end="0"/>
        <w:jc w:val="both"/>
        <w:rPr>
          <w:rFonts w:cs="Calibri"/>
          <w:bCs/>
          <w:iCs/>
          <w:sz w:val="20"/>
          <w:szCs w:val="20"/>
          <w:lang w:val="pt-BR" w:eastAsia="pt-BR"/>
        </w:rPr>
      </w:pPr>
      <w:r>
        <w:rPr>
          <w:rFonts w:cs="Calibri"/>
          <w:bCs/>
          <w:iCs/>
          <w:sz w:val="20"/>
          <w:szCs w:val="20"/>
          <w:lang w:val="pt-BR" w:eastAsia="pt-BR"/>
        </w:rPr>
        <w:t>Artigo 5º - (...)</w:t>
      </w:r>
    </w:p>
    <w:p>
      <w:pPr>
        <w:pStyle w:val="Normal"/>
        <w:spacing w:lineRule="auto" w:line="240"/>
        <w:ind w:start="2268" w:end="0"/>
        <w:jc w:val="both"/>
        <w:rPr>
          <w:rFonts w:cs="Calibri"/>
          <w:bCs/>
          <w:iCs/>
          <w:sz w:val="20"/>
          <w:szCs w:val="20"/>
          <w:lang w:val="pt-BR" w:eastAsia="pt-BR"/>
        </w:rPr>
      </w:pPr>
      <w:r>
        <w:rPr>
          <w:rFonts w:cs="Calibri"/>
          <w:bCs/>
          <w:iCs/>
          <w:sz w:val="20"/>
          <w:szCs w:val="20"/>
          <w:lang w:val="pt-BR" w:eastAsia="pt-BR"/>
        </w:rPr>
        <w:t>V – É assegurado o direito de resposta, proporcional ao agravo, além da indenização por dano material, moral ou à imagem;</w:t>
      </w:r>
    </w:p>
    <w:p>
      <w:pPr>
        <w:pStyle w:val="Normal"/>
        <w:spacing w:lineRule="auto" w:line="240"/>
        <w:ind w:start="2268" w:end="0"/>
        <w:jc w:val="both"/>
        <w:rPr>
          <w:rFonts w:cs="Calibri"/>
          <w:bCs/>
          <w:iCs/>
          <w:sz w:val="20"/>
          <w:szCs w:val="20"/>
          <w:lang w:val="pt-BR" w:eastAsia="pt-BR"/>
        </w:rPr>
      </w:pPr>
      <w:r>
        <w:rPr>
          <w:rFonts w:cs="Calibri"/>
          <w:bCs/>
          <w:iCs/>
          <w:sz w:val="20"/>
          <w:szCs w:val="20"/>
          <w:lang w:val="pt-BR" w:eastAsia="pt-BR"/>
        </w:rPr>
        <w:t xml:space="preserve">(...) </w:t>
      </w:r>
    </w:p>
    <w:p>
      <w:pPr>
        <w:pStyle w:val="Normal"/>
        <w:spacing w:lineRule="auto" w:line="240"/>
        <w:ind w:start="2268" w:end="0"/>
        <w:jc w:val="both"/>
        <w:rPr>
          <w:rFonts w:cs="Calibri"/>
          <w:sz w:val="20"/>
          <w:szCs w:val="20"/>
          <w:lang w:val="pt-BR"/>
        </w:rPr>
      </w:pPr>
      <w:r>
        <w:rPr>
          <w:rFonts w:cs="Calibri"/>
          <w:bCs/>
          <w:iCs/>
          <w:sz w:val="20"/>
          <w:szCs w:val="20"/>
          <w:lang w:val="pt-BR" w:eastAsia="pt-BR"/>
        </w:rPr>
        <w:t>X – São invioláveis a intimidade, a vida privada, a honra e a imagem das pessoas, assegurado o direito à indenização pelo dano material ou moral decorrente de sua violação;</w:t>
      </w:r>
    </w:p>
    <w:p>
      <w:pPr>
        <w:pStyle w:val="Normal"/>
        <w:tabs>
          <w:tab w:val="clear" w:pos="720"/>
          <w:tab w:val="left" w:pos="2694" w:leader="none"/>
        </w:tabs>
        <w:spacing w:lineRule="auto" w:line="240"/>
        <w:ind w:start="2268" w:end="0"/>
        <w:jc w:val="both"/>
        <w:rPr>
          <w:rFonts w:cs="Calibri"/>
          <w:sz w:val="20"/>
          <w:szCs w:val="20"/>
          <w:lang w:val="pt-BR"/>
        </w:rPr>
      </w:pPr>
      <w:r>
        <w:rPr>
          <w:rFonts w:cs="Calibri"/>
          <w:sz w:val="20"/>
          <w:szCs w:val="20"/>
          <w:lang w:val="pt-BR"/>
        </w:rPr>
        <w:t xml:space="preserve"> </w:t>
      </w:r>
    </w:p>
    <w:p>
      <w:pPr>
        <w:pStyle w:val="Normal"/>
        <w:tabs>
          <w:tab w:val="clear" w:pos="720"/>
          <w:tab w:val="left" w:pos="2694" w:leader="none"/>
        </w:tabs>
        <w:spacing w:lineRule="auto" w:line="240"/>
        <w:ind w:start="2268" w:end="0"/>
        <w:jc w:val="both"/>
        <w:rPr>
          <w:rFonts w:cs="Calibri"/>
          <w:sz w:val="20"/>
          <w:szCs w:val="20"/>
          <w:lang w:val="pt-BR"/>
        </w:rPr>
      </w:pPr>
      <w:r>
        <w:rPr>
          <w:rFonts w:cs="Calibri"/>
          <w:sz w:val="20"/>
          <w:szCs w:val="20"/>
          <w:lang w:val="pt-BR"/>
        </w:rPr>
        <w:t>Artigo 6° - (...)</w:t>
      </w:r>
    </w:p>
    <w:p>
      <w:pPr>
        <w:pStyle w:val="Normal"/>
        <w:tabs>
          <w:tab w:val="clear" w:pos="720"/>
          <w:tab w:val="left" w:pos="2694" w:leader="none"/>
        </w:tabs>
        <w:spacing w:lineRule="auto" w:line="240"/>
        <w:ind w:start="2268" w:end="0"/>
        <w:jc w:val="both"/>
        <w:rPr>
          <w:rFonts w:cs="Calibri"/>
          <w:sz w:val="20"/>
          <w:szCs w:val="20"/>
          <w:lang w:val="pt-BR"/>
        </w:rPr>
      </w:pPr>
      <w:r>
        <w:rPr>
          <w:rFonts w:cs="Calibri"/>
          <w:sz w:val="20"/>
          <w:szCs w:val="20"/>
          <w:lang w:val="pt-BR"/>
        </w:rPr>
        <w:t>VI – a efetiva prevenção e reparação de danos patrimoniais e morais, individuais, coletivos e difusos;</w:t>
      </w:r>
    </w:p>
    <w:p>
      <w:pPr>
        <w:pStyle w:val="Normal"/>
        <w:tabs>
          <w:tab w:val="clear" w:pos="720"/>
          <w:tab w:val="left" w:pos="2694" w:leader="none"/>
        </w:tabs>
        <w:spacing w:lineRule="auto" w:line="240"/>
        <w:ind w:start="2268" w:end="0"/>
        <w:jc w:val="both"/>
        <w:rPr>
          <w:rFonts w:cs="Calibri"/>
          <w:sz w:val="20"/>
          <w:szCs w:val="20"/>
          <w:lang w:val="pt-BR"/>
        </w:rPr>
      </w:pPr>
      <w:r>
        <w:rPr>
          <w:rFonts w:cs="Calibri"/>
          <w:sz w:val="20"/>
          <w:szCs w:val="20"/>
          <w:lang w:val="pt-BR"/>
        </w:rPr>
        <w:t xml:space="preserve"> </w:t>
      </w:r>
    </w:p>
    <w:p>
      <w:pPr>
        <w:pStyle w:val="Normal"/>
        <w:spacing w:lineRule="auto" w:line="240"/>
        <w:ind w:start="2268" w:end="0"/>
        <w:jc w:val="both"/>
        <w:rPr/>
      </w:pPr>
      <w:r>
        <w:rPr>
          <w:rFonts w:cs="Calibri"/>
          <w:sz w:val="20"/>
          <w:szCs w:val="20"/>
          <w:lang w:val="pt-BR" w:eastAsia="pt-BR"/>
        </w:rPr>
        <w:t>Artigo 186 – Aquele que, por ação ou omissão voluntária, negligência ou imprudência, violar direito e causar dano a outrem, ainda que exclusivamente moral, comete ato ilícito.</w:t>
      </w:r>
    </w:p>
    <w:p>
      <w:pPr>
        <w:pStyle w:val="Normal"/>
        <w:spacing w:lineRule="auto" w:line="240"/>
        <w:ind w:start="2268" w:end="0"/>
        <w:jc w:val="both"/>
        <w:rPr>
          <w:rFonts w:cs="Calibri"/>
          <w:sz w:val="20"/>
          <w:szCs w:val="20"/>
          <w:lang w:val="pt-BR" w:eastAsia="pt-BR"/>
        </w:rPr>
      </w:pPr>
      <w:r>
        <w:rPr>
          <w:rFonts w:cs="Calibri"/>
          <w:sz w:val="20"/>
          <w:szCs w:val="20"/>
          <w:lang w:val="pt-BR" w:eastAsia="pt-BR"/>
        </w:rPr>
      </w:r>
    </w:p>
    <w:p>
      <w:pPr>
        <w:pStyle w:val="Normal"/>
        <w:spacing w:lineRule="auto" w:line="240"/>
        <w:ind w:start="2268" w:end="0"/>
        <w:jc w:val="both"/>
        <w:rPr>
          <w:rFonts w:cs="Calibri"/>
          <w:sz w:val="20"/>
          <w:szCs w:val="20"/>
          <w:lang w:val="pt-BR" w:eastAsia="pt-BR"/>
        </w:rPr>
      </w:pPr>
      <w:r>
        <w:rPr>
          <w:rFonts w:cs="Calibri"/>
          <w:sz w:val="20"/>
          <w:szCs w:val="20"/>
          <w:lang w:val="pt-BR" w:eastAsia="pt-BR"/>
        </w:rPr>
        <w:t>Artigo 927 – Aquele que, por ato ilícito (arts. 186 e 187), causar dano a outrem, fica obrigado a repará-lo.</w:t>
      </w:r>
    </w:p>
    <w:p>
      <w:pPr>
        <w:pStyle w:val="Normal"/>
        <w:spacing w:lineRule="auto" w:line="240"/>
        <w:ind w:start="2268" w:end="0"/>
        <w:jc w:val="both"/>
        <w:rPr>
          <w:rFonts w:cs="Calibri"/>
          <w:sz w:val="20"/>
          <w:szCs w:val="20"/>
          <w:lang w:val="pt-BR" w:eastAsia="pt-BR"/>
        </w:rPr>
      </w:pPr>
      <w:r>
        <w:rPr>
          <w:rFonts w:cs="Calibri"/>
          <w:sz w:val="20"/>
          <w:szCs w:val="20"/>
          <w:lang w:val="pt-BR" w:eastAsia="pt-BR"/>
        </w:rPr>
      </w:r>
    </w:p>
    <w:p>
      <w:pPr>
        <w:pStyle w:val="Normal"/>
        <w:spacing w:lineRule="auto" w:line="240"/>
        <w:ind w:start="2268" w:end="0"/>
        <w:jc w:val="both"/>
        <w:rPr>
          <w:rFonts w:cs="Calibri"/>
          <w:sz w:val="20"/>
          <w:szCs w:val="20"/>
          <w:lang w:val="pt-BR"/>
        </w:rPr>
      </w:pPr>
      <w:r>
        <w:rPr>
          <w:rFonts w:cs="Calibri"/>
          <w:sz w:val="20"/>
          <w:szCs w:val="20"/>
          <w:lang w:val="pt-BR" w:eastAsia="pt-BR"/>
        </w:rPr>
        <w:t>Parágrafo Único – haverá obrigação de reparar o dano, independentemente de culpa, nos casos especificados em lei, ou quando a atividade normalmente desenvolvida pelo autor do dano implicar, por sua natureza, risco para os direitos de outrem.</w:t>
      </w:r>
    </w:p>
    <w:p>
      <w:pPr>
        <w:pStyle w:val="Normal"/>
        <w:tabs>
          <w:tab w:val="clear" w:pos="720"/>
          <w:tab w:val="left" w:pos="2694" w:leader="none"/>
        </w:tabs>
        <w:spacing w:lineRule="auto" w:line="300"/>
        <w:ind w:firstLine="2835" w:end="0"/>
        <w:jc w:val="both"/>
        <w:rPr>
          <w:rFonts w:cs="Calibri"/>
          <w:sz w:val="20"/>
          <w:szCs w:val="20"/>
          <w:lang w:val="pt-BR"/>
        </w:rPr>
      </w:pPr>
      <w:r>
        <w:rPr>
          <w:rFonts w:cs="Calibri"/>
          <w:sz w:val="20"/>
          <w:szCs w:val="20"/>
          <w:lang w:val="pt-BR"/>
        </w:rPr>
      </w:r>
    </w:p>
    <w:p>
      <w:pPr>
        <w:pStyle w:val="NormalWeb"/>
        <w:spacing w:lineRule="auto" w:line="300" w:before="0" w:after="0"/>
        <w:ind w:firstLine="1418" w:end="0"/>
        <w:jc w:val="both"/>
        <w:rPr>
          <w:rFonts w:ascii="Calibri" w:hAnsi="Calibri" w:cs="Calibri"/>
          <w:color w:val="000000"/>
          <w:sz w:val="22"/>
          <w:szCs w:val="22"/>
        </w:rPr>
      </w:pPr>
      <w:r>
        <w:rPr>
          <w:rFonts w:cs="Calibri" w:ascii="Calibri" w:hAnsi="Calibri"/>
          <w:color w:val="000000"/>
          <w:sz w:val="22"/>
          <w:szCs w:val="22"/>
        </w:rPr>
        <w:t xml:space="preserve">A jurisprudência deste Egrégio Tribunal de Justiça do Estado do Amazonas é firme no reconhecimento do </w:t>
      </w:r>
      <w:r>
        <w:rPr>
          <w:rFonts w:cs="Calibri" w:ascii="Calibri" w:hAnsi="Calibri"/>
          <w:b/>
          <w:bCs/>
          <w:color w:val="000000"/>
          <w:sz w:val="22"/>
          <w:szCs w:val="22"/>
        </w:rPr>
        <w:t>dano moral decorrente da cobrança abusiva de juros em contratos bancários</w:t>
      </w:r>
      <w:r>
        <w:rPr>
          <w:rFonts w:cs="Calibri" w:ascii="Calibri" w:hAnsi="Calibri"/>
          <w:color w:val="000000"/>
          <w:sz w:val="22"/>
          <w:szCs w:val="22"/>
        </w:rPr>
        <w:t>, especialmente quando evidenciada a discrepância em relação à taxa média de mercado divulgada pelo BACEN, conforme reiteradamente decidido em casos análogos, como nos julgados já colacionados aos autos.</w:t>
      </w:r>
    </w:p>
    <w:p>
      <w:pPr>
        <w:pStyle w:val="NormalWeb"/>
        <w:spacing w:lineRule="auto" w:line="300" w:before="0" w:after="0"/>
        <w:ind w:firstLine="1418" w:end="0"/>
        <w:jc w:val="both"/>
        <w:rPr>
          <w:rFonts w:ascii="Calibri" w:hAnsi="Calibri" w:cs="Calibri"/>
          <w:color w:val="000000"/>
          <w:sz w:val="22"/>
          <w:szCs w:val="22"/>
        </w:rPr>
      </w:pPr>
      <w:r>
        <w:rPr>
          <w:rFonts w:cs="Calibri" w:ascii="Calibri" w:hAnsi="Calibri"/>
          <w:color w:val="000000"/>
          <w:sz w:val="22"/>
          <w:szCs w:val="22"/>
        </w:rPr>
      </w:r>
    </w:p>
    <w:p>
      <w:pPr>
        <w:pStyle w:val="Normal"/>
        <w:spacing w:lineRule="auto" w:line="240"/>
        <w:ind w:start="2268" w:end="0"/>
        <w:jc w:val="both"/>
        <w:rPr>
          <w:rFonts w:eastAsia="Times New Roman" w:cs="Calibri"/>
          <w:sz w:val="20"/>
          <w:szCs w:val="20"/>
          <w:lang w:val="pt-BR" w:eastAsia="pt-BR"/>
        </w:rPr>
      </w:pPr>
      <w:r>
        <w:rPr>
          <w:rFonts w:eastAsia="Times New Roman" w:cs="Calibri"/>
          <w:sz w:val="20"/>
          <w:szCs w:val="20"/>
          <w:lang w:val="pt-BR" w:eastAsia="pt-BR"/>
        </w:rPr>
        <w:t xml:space="preserve">0002497-68.2017.8.04.4701 - Apelação Cível - Ementa: APELAÇÃO CÍVEL. AÇÃO REPARATÓRIA E INDENIZATÓRIA. </w:t>
      </w:r>
      <w:r>
        <w:rPr>
          <w:rFonts w:eastAsia="Times New Roman" w:cs="Calibri"/>
          <w:b/>
          <w:bCs/>
          <w:sz w:val="20"/>
          <w:szCs w:val="20"/>
          <w:lang w:val="pt-BR" w:eastAsia="pt-BR"/>
        </w:rPr>
        <w:t>ABUSIVIDADE CONFIGURADA. DISCREPÂNCIA DA TAXA DE JUROS CONTRATADA EM RELAÇÃO AOS PARÂMETROS DIVULGADOS PELO BANCO CENTRAL. PRECEDENTES DO STJ. RESP 1061530/RS.</w:t>
      </w:r>
      <w:r>
        <w:rPr>
          <w:rFonts w:eastAsia="Times New Roman" w:cs="Calibri"/>
          <w:sz w:val="20"/>
          <w:szCs w:val="20"/>
          <w:lang w:val="pt-BR" w:eastAsia="pt-BR"/>
        </w:rPr>
        <w:t xml:space="preserve"> MINORAÇÃO DO DANO MORAL. POSSIBILIDADE. RECURSO CONHECIDO E, NO MÉRITO, PARCIALMENTE PROVIDO PROVIDO. SENTENÇA PARCIALMENTE REFORMADA. - O Tribunal da Cidadania entendeu pela possibilidade de utilizar a taxa média de mercado como parâmetro para aferir a potencial existência de abusividade nos juros remuneratórios estipulados. Em verdade, a colenda Turma inferiu, assim como já destaquei em julgados anteriores, que o citado parâmetro não é uma barreira absoluta, admitindo-se uma discrepância razoável, sob pena de se considerar como valor fixo uma simples média. - </w:t>
      </w:r>
      <w:r>
        <w:rPr>
          <w:rFonts w:eastAsia="Times New Roman" w:cs="Calibri"/>
          <w:b/>
          <w:bCs/>
          <w:sz w:val="20"/>
          <w:szCs w:val="20"/>
          <w:lang w:val="pt-BR" w:eastAsia="pt-BR"/>
        </w:rPr>
        <w:t>O percentual aplicado pelo Apelante destoa-se dos padrões estipulados pelo mercado financeiro.</w:t>
      </w:r>
      <w:r>
        <w:rPr>
          <w:rFonts w:eastAsia="Times New Roman" w:cs="Calibri"/>
          <w:sz w:val="20"/>
          <w:szCs w:val="20"/>
          <w:lang w:val="pt-BR" w:eastAsia="pt-BR"/>
        </w:rPr>
        <w:t xml:space="preserve"> </w:t>
      </w:r>
      <w:r>
        <w:rPr>
          <w:rFonts w:eastAsia="Times New Roman" w:cs="Calibri"/>
          <w:b/>
          <w:sz w:val="20"/>
          <w:szCs w:val="20"/>
          <w:lang w:val="pt-BR" w:eastAsia="pt-BR"/>
        </w:rPr>
        <w:t>Nesse sentido, tal panorama claramente revela abusividade e não flutuação comercial dentro do espectro da média, como quer fazer crer o Recorrente, de modo que a r. Sentença deve ser mantida neste ponto.</w:t>
      </w:r>
      <w:r>
        <w:rPr>
          <w:rFonts w:eastAsia="Times New Roman" w:cs="Calibri"/>
          <w:sz w:val="20"/>
          <w:szCs w:val="20"/>
          <w:lang w:val="pt-BR" w:eastAsia="pt-BR"/>
        </w:rPr>
        <w:t xml:space="preserve"> - Embora a taxa de juros anunciada pelo BC sirva tão somente como parâmetro para constatação de potencial abusividade das taxas praticadas pelas Instituições Financeiras e não como categórica regra a ser aplicada em todo e qualquer contrato submetido à apreciação judicial que dele destoe, ainda que minimamente, tal afirmação não pode ser levada a cabo em todas as hipóteses. Isso porque no caso dos autos, os índices praticados pela ré em desfavor do consumidor no momento da pactuação são inegavelmente excessivos e por demais dispendiosos, uma vez que atingem percentuais superiores à média de mercado para operações financeiras de mesma categoria. - </w:t>
      </w:r>
      <w:r>
        <w:rPr>
          <w:rFonts w:eastAsia="Times New Roman" w:cs="Calibri"/>
          <w:b/>
          <w:bCs/>
          <w:sz w:val="20"/>
          <w:szCs w:val="20"/>
          <w:lang w:val="pt-BR" w:eastAsia="pt-BR"/>
        </w:rPr>
        <w:t>Quanto ao valor da indenização, sabe-se que deve ser determinado pelo julgador de forma equitativa, de modo que não seja alto a ponto de implicar enriquecimento sem causa da vítima, nem baixo o suficiente para não produzir no causador do dano a sensação de reprimenda que o leve a deixar de praticar o ato. Assim, devem-se considerar as condições econômicas dos envolvidos, a culpa do ofensor e a extensão do dano causado ao ofendido. No caso dos autos, no entanto, entendo que necessita reparo somente o quantum arbitrado pelo juízo de piso. Isso porque, como dito, a condenação deve analisar os parâmetros de razoabilidade e proporcionalidade, de modo que a quantia de R$ 10.000,00 (dez mil reais) mostra-se excessiva. Nesse sentido, diante da conjuntura fática do presente caso, constato que o montante de R$ 5.000,00 (cinco mil reais) encontra-se suficiente a punir o ofensor, bem como a desestimular a continuidade da adoção de procedimentos falhos e inseguros, razão pela qual, reformo, somente neste ponto, a r. Sentença recorrida.</w:t>
      </w:r>
      <w:r>
        <w:rPr>
          <w:rFonts w:eastAsia="Times New Roman" w:cs="Calibri"/>
          <w:sz w:val="20"/>
          <w:szCs w:val="20"/>
          <w:lang w:val="pt-BR" w:eastAsia="pt-BR"/>
        </w:rPr>
        <w:t xml:space="preserve"> - Recurso conhecido e, no mérito, parcialmente provido. Sentença parcialmente reformada. (Relator (a): Anselmo Chíxaro; Comarca: Manaus/AM; Órgão julgador: Primeira Câmara Cível; Data do julgamento: 26/08/2021; Data de registro: 26/08/2021) (grifo nosso)</w:t>
      </w:r>
    </w:p>
    <w:p>
      <w:pPr>
        <w:pStyle w:val="NormalWeb"/>
        <w:spacing w:before="0" w:after="0"/>
        <w:ind w:start="2268" w:end="0"/>
        <w:jc w:val="both"/>
        <w:rPr>
          <w:rFonts w:ascii="Calibri" w:hAnsi="Calibri" w:eastAsia="Times New Roman" w:cs="Calibri"/>
          <w:color w:val="000000"/>
          <w:sz w:val="20"/>
          <w:szCs w:val="20"/>
          <w:lang w:val="pt-BR" w:eastAsia="pt-BR"/>
        </w:rPr>
      </w:pPr>
      <w:r>
        <w:rPr>
          <w:rFonts w:eastAsia="Times New Roman" w:cs="Calibri" w:ascii="Calibri" w:hAnsi="Calibri"/>
          <w:color w:val="000000"/>
          <w:sz w:val="20"/>
          <w:szCs w:val="20"/>
          <w:lang w:val="pt-BR" w:eastAsia="pt-BR"/>
        </w:rPr>
      </w:r>
    </w:p>
    <w:p>
      <w:pPr>
        <w:pStyle w:val="Normal"/>
        <w:spacing w:lineRule="auto" w:line="240"/>
        <w:ind w:start="2268" w:end="0"/>
        <w:jc w:val="both"/>
        <w:rPr/>
      </w:pPr>
      <w:r>
        <w:rPr>
          <w:rFonts w:eastAsia="Times New Roman" w:cs="Calibri"/>
          <w:sz w:val="20"/>
          <w:szCs w:val="20"/>
          <w:lang w:val="pt-BR" w:eastAsia="pt-BR"/>
        </w:rPr>
        <w:t xml:space="preserve">0635935-03.2019.8.04.0001 - Apelação Cível - Ementa: APELAÇÃO CÍVEL. AÇÃO REVISIONAL C/C INDENIZATÓRIA POR DANOS MORAIS E MATERIAIS. ABUSIVIDADE DE TAXA DE JUROS REMUNERATÓRIOS EM CONTRATO BANCÁRIO. </w:t>
      </w:r>
      <w:r>
        <w:rPr>
          <w:rFonts w:eastAsia="Times New Roman" w:cs="Calibri"/>
          <w:b/>
          <w:bCs/>
          <w:sz w:val="20"/>
          <w:szCs w:val="20"/>
          <w:lang w:val="pt-BR" w:eastAsia="pt-BR"/>
        </w:rPr>
        <w:t>DANO MORAL. OCORRÊNCIA</w:t>
      </w:r>
      <w:r>
        <w:rPr>
          <w:rFonts w:eastAsia="Times New Roman" w:cs="Calibri"/>
          <w:sz w:val="20"/>
          <w:szCs w:val="20"/>
          <w:lang w:val="pt-BR" w:eastAsia="pt-BR"/>
        </w:rPr>
        <w:t xml:space="preserve">. 1. O Código de Defesa do Consumidor é aplicável aos contratos bancários ainda que por equiparação nos termos da Súmula 297 STJ; 2. </w:t>
      </w:r>
      <w:r>
        <w:rPr>
          <w:rFonts w:eastAsia="Times New Roman" w:cs="Calibri"/>
          <w:b/>
          <w:bCs/>
          <w:sz w:val="20"/>
          <w:szCs w:val="20"/>
          <w:lang w:val="pt-BR" w:eastAsia="pt-BR"/>
        </w:rPr>
        <w:t>Incontroverso nos autos a abusividade na taxa de juros aplicada pela instituição bancária e os prejuízos enfrentados pela autora quanto o pagamento de valores a maiores, constata-se a ocorrência do dano moral;</w:t>
      </w:r>
      <w:r>
        <w:rPr>
          <w:rFonts w:eastAsia="Times New Roman" w:cs="Calibri"/>
          <w:sz w:val="20"/>
          <w:szCs w:val="20"/>
          <w:lang w:val="pt-BR" w:eastAsia="pt-BR"/>
        </w:rPr>
        <w:t xml:space="preserve"> 3. Recurso conhecido e provido. (Relator (a): Airton Luís Corrêa Gentil; Comarca: Manaus/AM; Órgão julgador: Terceira Câmara Cível; Data do julgamento: 04/03/2021; Data de registro: 04/03/2021) (grifo nosso)</w:t>
      </w:r>
    </w:p>
    <w:p>
      <w:pPr>
        <w:pStyle w:val="NormalWeb"/>
        <w:spacing w:before="0" w:after="0"/>
        <w:ind w:start="2268" w:end="0"/>
        <w:jc w:val="both"/>
        <w:rPr>
          <w:rFonts w:ascii="Calibri" w:hAnsi="Calibri" w:eastAsia="Times New Roman" w:cs="Calibri"/>
          <w:color w:val="000000"/>
          <w:sz w:val="20"/>
          <w:szCs w:val="20"/>
          <w:lang w:val="pt-BR" w:eastAsia="pt-BR"/>
        </w:rPr>
      </w:pPr>
      <w:r>
        <w:rPr>
          <w:rFonts w:eastAsia="Times New Roman" w:cs="Calibri" w:ascii="Calibri" w:hAnsi="Calibri"/>
          <w:color w:val="000000"/>
          <w:sz w:val="20"/>
          <w:szCs w:val="20"/>
          <w:lang w:val="pt-BR" w:eastAsia="pt-BR"/>
        </w:rPr>
      </w:r>
    </w:p>
    <w:p>
      <w:pPr>
        <w:pStyle w:val="Normal"/>
        <w:spacing w:lineRule="auto" w:line="240"/>
        <w:ind w:start="2268" w:end="0"/>
        <w:jc w:val="both"/>
        <w:rPr/>
      </w:pPr>
      <w:r>
        <w:rPr>
          <w:rFonts w:eastAsia="Times New Roman" w:cs="Calibri"/>
          <w:sz w:val="20"/>
          <w:szCs w:val="20"/>
          <w:lang w:val="pt-BR" w:eastAsia="pt-BR"/>
        </w:rPr>
        <w:t xml:space="preserve">0002450-94.2017.8.04.4701 - Apelação Cível - Ementa: APELAÇÃO CÍVEL. REVISÃO DE JUROS PRATICADOS EM CONTRATO DE EMPRÉSTIMO. </w:t>
      </w:r>
      <w:r>
        <w:rPr>
          <w:rFonts w:eastAsia="Times New Roman" w:cs="Calibri"/>
          <w:b/>
          <w:bCs/>
          <w:sz w:val="20"/>
          <w:szCs w:val="20"/>
          <w:lang w:val="pt-BR" w:eastAsia="pt-BR"/>
        </w:rPr>
        <w:t>EXCESSO OBSERVADO A PARTIR DA MÉDIA DO BACEN. DANOS MORAIS CONFIGURADOS.</w:t>
      </w:r>
      <w:r>
        <w:rPr>
          <w:rFonts w:eastAsia="Times New Roman" w:cs="Calibri"/>
          <w:sz w:val="20"/>
          <w:szCs w:val="20"/>
          <w:lang w:val="pt-BR" w:eastAsia="pt-BR"/>
        </w:rPr>
        <w:t xml:space="preserve"> REDUÇÃO DA INDENIZAÇÃO. RECURSO CONHECIDO E PARCIALMENTE PROVIDO. 1. A jurisprudência admite que, apesar das instituições financeiras não se sujeitarem a limites de juros remuneratórios aprioristicamente fixados, sejam estes reduzidos caso praticados em patamares que superem, significativamente, a média de mercado registrado para o mesmo contexto pelo BACEN. Precedentes. </w:t>
      </w:r>
      <w:r>
        <w:rPr>
          <w:rFonts w:eastAsia="Times New Roman" w:cs="Calibri"/>
          <w:b/>
          <w:bCs/>
          <w:sz w:val="20"/>
          <w:szCs w:val="20"/>
          <w:lang w:val="pt-BR" w:eastAsia="pt-BR"/>
        </w:rPr>
        <w:t>2. Considerando que, na espécie, a taxa mensal praticada supera o triplo da média de mercado, é imperioso o reconhecimento da abusividade e, por conseguinte, a redução dos juros, conforme operado na origem.</w:t>
      </w:r>
      <w:r>
        <w:rPr>
          <w:rFonts w:eastAsia="Times New Roman" w:cs="Calibri"/>
          <w:sz w:val="20"/>
          <w:szCs w:val="20"/>
          <w:lang w:val="pt-BR" w:eastAsia="pt-BR"/>
        </w:rPr>
        <w:t xml:space="preserve"> 3. É certo que casos específicos, envolvendo, por exemplo, tomadores de crédito com histórico de inadimplência, podem justificar taxas superiores à média, todavia, tendo a jurisprudência admitido como parâmetro a taxa média do BACEN, caberia à instituição financeira, na inteligência do art. 373, II, do CPC, o ônus de demonstrar a especificidade da situação concreta e a consequente necessidade de aplicação de juros superiores, de sorte que, em não o tendo feito, deve suportar a respectiva sucumbência. </w:t>
      </w:r>
      <w:r>
        <w:rPr>
          <w:rFonts w:eastAsia="Times New Roman" w:cs="Calibri"/>
          <w:b/>
          <w:bCs/>
          <w:sz w:val="20"/>
          <w:szCs w:val="20"/>
          <w:lang w:val="pt-BR" w:eastAsia="pt-BR"/>
        </w:rPr>
        <w:t>4. A frustração e a impotência experimentadas pelo consumidor diante do exercício arbitrário do poder de negociação da Recorrente caracterizam um desrespeito que lhe rende claros danos imateriais.</w:t>
      </w:r>
      <w:r>
        <w:rPr>
          <w:rFonts w:eastAsia="Times New Roman" w:cs="Calibri"/>
          <w:sz w:val="20"/>
          <w:szCs w:val="20"/>
          <w:lang w:val="pt-BR" w:eastAsia="pt-BR"/>
        </w:rPr>
        <w:t xml:space="preserve"> 5. Sopesando os critérios de fixação da indenização por danos morais traçados pelos arts. 944 e 945, do CC, isto é, extensão do dano e condições das partes, assiste razão à pretensão recursal de redução do montante estabelecido na sentença, razão pela qual deve ser minorado de R$10.000,00 (dez mil reais) para R$5.000,00 (cinco mil reais), importância consentânea com a jurisprudência desta Corte e que tanto alcança a finalidade punitiva/pedagógica dos danos morais, quanto não gera enriquecimento sem causa do sujeito indenizado. 6. Recurso conhecido e parcialmente provido. (Relator (a): Maria do Perpétuo Socorro Guedes Moura; Comarca: Manaus/AM; Órgão julgador: Segunda Câmara Cível; Data do julgamento: 08/02/2021; Data de registro: 24/02/2021) (grifo nosso)</w:t>
      </w:r>
    </w:p>
    <w:p>
      <w:pPr>
        <w:pStyle w:val="NormalWeb"/>
        <w:spacing w:lineRule="auto" w:line="300" w:before="0" w:after="0"/>
        <w:ind w:firstLine="1418" w:end="0"/>
        <w:jc w:val="both"/>
        <w:rPr>
          <w:rFonts w:ascii="Calibri" w:hAnsi="Calibri" w:eastAsia="Times New Roman" w:cs="Calibri"/>
          <w:color w:val="000000"/>
          <w:sz w:val="22"/>
          <w:szCs w:val="22"/>
          <w:lang w:val="pt-BR" w:eastAsia="pt-BR"/>
        </w:rPr>
      </w:pPr>
      <w:r>
        <w:rPr>
          <w:rFonts w:eastAsia="Times New Roman" w:cs="Calibri" w:ascii="Calibri" w:hAnsi="Calibri"/>
          <w:color w:val="000000"/>
          <w:sz w:val="22"/>
          <w:szCs w:val="22"/>
          <w:lang w:val="pt-BR" w:eastAsia="pt-BR"/>
        </w:rPr>
      </w:r>
    </w:p>
    <w:p>
      <w:pPr>
        <w:pStyle w:val="NormalWeb"/>
        <w:spacing w:lineRule="auto" w:line="300" w:before="0" w:after="0"/>
        <w:ind w:firstLine="1418" w:end="0"/>
        <w:jc w:val="both"/>
        <w:rPr>
          <w:rFonts w:ascii="Calibri" w:hAnsi="Calibri" w:cs="Calibri"/>
          <w:color w:val="000000"/>
          <w:sz w:val="22"/>
          <w:szCs w:val="22"/>
          <w:shd w:fill="FFFFFF" w:val="clear"/>
        </w:rPr>
      </w:pPr>
      <w:r>
        <w:rPr>
          <w:rFonts w:cs="Calibri" w:ascii="Calibri" w:hAnsi="Calibri"/>
          <w:color w:val="000000"/>
          <w:sz w:val="22"/>
          <w:szCs w:val="22"/>
          <w:shd w:fill="FFFFFF" w:val="clear"/>
        </w:rPr>
        <w:t xml:space="preserve">A doutrina também é pacífica ao reconhecer que o dano moral prescinde de prova direta, tratando-se de lesão de natureza imaterial. Nesse sentido, leciona Sérgio Cavalieri Filho que o dano moral se configura </w:t>
      </w:r>
      <w:r>
        <w:rPr>
          <w:rFonts w:cs="Calibri" w:ascii="Calibri" w:hAnsi="Calibri"/>
          <w:i/>
          <w:iCs/>
          <w:color w:val="000000"/>
          <w:sz w:val="22"/>
          <w:szCs w:val="22"/>
          <w:shd w:fill="FFFFFF" w:val="clear"/>
        </w:rPr>
        <w:t>in re ipsa</w:t>
      </w:r>
      <w:r>
        <w:rPr>
          <w:rFonts w:cs="Calibri" w:ascii="Calibri" w:hAnsi="Calibri"/>
          <w:color w:val="000000"/>
          <w:sz w:val="22"/>
          <w:szCs w:val="22"/>
          <w:shd w:fill="FFFFFF" w:val="clear"/>
        </w:rPr>
        <w:t>, sendo suficiente a demonstração do fato lesivo para que surja o dever de indenizar, dispensando-se a comprovação do sofrimento psicológico experimentado pela vítima.</w:t>
      </w:r>
    </w:p>
    <w:p>
      <w:pPr>
        <w:pStyle w:val="NormalWeb"/>
        <w:spacing w:lineRule="auto" w:line="300" w:before="0" w:after="0"/>
        <w:ind w:firstLine="1418" w:end="0"/>
        <w:jc w:val="both"/>
        <w:rPr>
          <w:rFonts w:ascii="Calibri" w:hAnsi="Calibri" w:cs="Calibri"/>
          <w:color w:val="000000"/>
          <w:sz w:val="22"/>
          <w:szCs w:val="22"/>
          <w:shd w:fill="FFFFFF" w:val="clear"/>
        </w:rPr>
      </w:pPr>
      <w:r>
        <w:rPr>
          <w:rFonts w:cs="Calibri" w:ascii="Calibri" w:hAnsi="Calibri"/>
          <w:color w:val="000000"/>
          <w:sz w:val="22"/>
          <w:szCs w:val="22"/>
          <w:shd w:fill="FFFFFF" w:val="clear"/>
        </w:rPr>
      </w:r>
    </w:p>
    <w:p>
      <w:pPr>
        <w:pStyle w:val="Normal"/>
        <w:spacing w:lineRule="auto" w:line="240"/>
        <w:ind w:start="2268" w:end="0"/>
        <w:jc w:val="both"/>
        <w:rPr/>
      </w:pPr>
      <w:r>
        <w:rPr>
          <w:rFonts w:cs="Calibri"/>
          <w:sz w:val="20"/>
          <w:szCs w:val="20"/>
          <w:lang w:val="pt-BR"/>
        </w:rPr>
        <w:t>“... por se tratar de algo imaterial ou ideal a prova do dano moral não pode ser feita através dos mesmos meios utilizados para a comprovação do dano material. Seria uma demasia, alto até impossível, exigir que a vítima comprove a dor, a tristeza ou a humilhação através de depoimentos, documentos ou perícia; não teria ela como demonstrar o descrédito, o repúdio ou o desprestígio através dos meios probatórios tradicionais, o que acabaria por ensejar o retorno à fase da irreparabilidade do dano moral em razão de fatores instrumentais.”</w:t>
      </w:r>
    </w:p>
    <w:p>
      <w:pPr>
        <w:pStyle w:val="NormalWeb"/>
        <w:spacing w:lineRule="auto" w:line="300" w:before="0" w:after="0"/>
        <w:ind w:firstLine="1418" w:end="0"/>
        <w:jc w:val="both"/>
        <w:rPr>
          <w:rFonts w:ascii="Calibri" w:hAnsi="Calibri" w:cs="Calibri"/>
          <w:color w:val="000000"/>
          <w:sz w:val="22"/>
          <w:szCs w:val="22"/>
          <w:shd w:fill="FFFFFF" w:val="clear"/>
          <w:lang w:val="pt-BR"/>
        </w:rPr>
      </w:pPr>
      <w:r>
        <w:rPr>
          <w:rFonts w:cs="Calibri" w:ascii="Calibri" w:hAnsi="Calibri"/>
          <w:color w:val="000000"/>
          <w:sz w:val="22"/>
          <w:szCs w:val="22"/>
          <w:shd w:fill="FFFFFF" w:val="clear"/>
          <w:lang w:val="pt-BR"/>
        </w:rPr>
      </w:r>
    </w:p>
    <w:p>
      <w:pPr>
        <w:pStyle w:val="NormalWeb"/>
        <w:spacing w:lineRule="auto" w:line="300" w:before="0" w:after="0"/>
        <w:ind w:firstLine="1418" w:end="0"/>
        <w:jc w:val="both"/>
        <w:rPr/>
      </w:pPr>
      <w:r>
        <w:rPr>
          <w:rFonts w:cs="Calibri" w:ascii="Calibri" w:hAnsi="Calibri"/>
          <w:color w:val="000000"/>
          <w:sz w:val="22"/>
          <w:szCs w:val="22"/>
          <w:shd w:fill="FFFFFF" w:val="clear"/>
        </w:rPr>
        <w:t xml:space="preserve">No tocante ao </w:t>
      </w:r>
      <w:r>
        <w:rPr>
          <w:rFonts w:cs="Calibri" w:ascii="Calibri" w:hAnsi="Calibri"/>
          <w:i/>
          <w:iCs/>
          <w:color w:val="000000"/>
          <w:sz w:val="22"/>
          <w:szCs w:val="22"/>
          <w:shd w:fill="FFFFFF" w:val="clear"/>
        </w:rPr>
        <w:t>quantum</w:t>
      </w:r>
      <w:r>
        <w:rPr>
          <w:rFonts w:cs="Calibri" w:ascii="Calibri" w:hAnsi="Calibri"/>
          <w:color w:val="000000"/>
          <w:sz w:val="22"/>
          <w:szCs w:val="22"/>
          <w:shd w:fill="FFFFFF" w:val="clear"/>
        </w:rPr>
        <w:t xml:space="preserve"> indenizatório, este deve ser fixado segundo o prudente arbítrio do magistrado, observando-se os critérios da razoabilidade e proporcionalidade, considerando-se a gravidade da ofensa, a extensão do dano, a condição econômica das partes e o caráter pedagógico e punitivo da indenização, de modo a compensar a vítima e desestimular a reiteração da conduta ilícita.</w:t>
      </w:r>
    </w:p>
    <w:p>
      <w:pPr>
        <w:pStyle w:val="NormalWeb"/>
        <w:spacing w:lineRule="auto" w:line="300" w:before="0" w:after="0"/>
        <w:ind w:firstLine="1418" w:end="0"/>
        <w:jc w:val="both"/>
        <w:rPr>
          <w:rFonts w:ascii="Calibri" w:hAnsi="Calibri" w:cs="Calibri"/>
          <w:color w:val="000000"/>
          <w:sz w:val="20"/>
          <w:szCs w:val="20"/>
          <w:shd w:fill="FFFFFF" w:val="clear"/>
        </w:rPr>
      </w:pPr>
      <w:r>
        <w:rPr>
          <w:rFonts w:cs="Calibri" w:ascii="Calibri" w:hAnsi="Calibri"/>
          <w:color w:val="000000"/>
          <w:sz w:val="20"/>
          <w:szCs w:val="20"/>
          <w:shd w:fill="FFFFFF" w:val="clear"/>
        </w:rPr>
      </w:r>
    </w:p>
    <w:p>
      <w:pPr>
        <w:pStyle w:val="NormalWeb"/>
        <w:spacing w:lineRule="auto" w:line="300" w:before="0" w:after="0"/>
        <w:ind w:firstLine="1418" w:end="0"/>
        <w:jc w:val="both"/>
        <w:rPr>
          <w:rFonts w:ascii="Calibri" w:hAnsi="Calibri" w:cs="Calibri"/>
          <w:color w:val="000000"/>
          <w:sz w:val="22"/>
          <w:szCs w:val="22"/>
          <w:shd w:fill="FFFFFF" w:val="clear"/>
        </w:rPr>
      </w:pPr>
      <w:r>
        <w:rPr>
          <w:rFonts w:cs="Calibri" w:ascii="Calibri" w:hAnsi="Calibri"/>
          <w:color w:val="000000"/>
          <w:sz w:val="22"/>
          <w:szCs w:val="22"/>
          <w:shd w:fill="FFFFFF" w:val="clear"/>
        </w:rPr>
        <w:t xml:space="preserve">Diante da gravidade da conduta do requerido, da expressiva disparidade econômica entre as partes e da necessidade de repressão eficaz às práticas abusivas no mercado de consumo, revela-se justo, adequado e proporcional o arbitramento da indenização por danos morais no valor de </w:t>
      </w:r>
      <w:r>
        <w:rPr>
          <w:rFonts w:cs="Calibri" w:ascii="Calibri" w:hAnsi="Calibri"/>
          <w:b/>
          <w:bCs/>
          <w:color w:val="000000"/>
          <w:sz w:val="22"/>
          <w:szCs w:val="22"/>
          <w:shd w:fill="FFFFFF" w:val="clear"/>
        </w:rPr>
        <w:t>R$ 10.000,00 (dez mil reais)</w:t>
      </w:r>
      <w:r>
        <w:rPr>
          <w:rFonts w:cs="Calibri" w:ascii="Calibri" w:hAnsi="Calibri"/>
          <w:color w:val="000000"/>
          <w:sz w:val="22"/>
          <w:szCs w:val="22"/>
          <w:shd w:fill="FFFFFF" w:val="clear"/>
        </w:rPr>
        <w:t>.</w:t>
      </w:r>
    </w:p>
    <w:p>
      <w:pPr>
        <w:pStyle w:val="NormalWeb"/>
        <w:spacing w:lineRule="auto" w:line="300" w:before="0" w:after="0"/>
        <w:ind w:firstLine="1418" w:end="0"/>
        <w:jc w:val="both"/>
        <w:rPr>
          <w:rFonts w:ascii="Calibri" w:hAnsi="Calibri" w:cs="Calibri"/>
          <w:color w:val="000000"/>
          <w:sz w:val="22"/>
          <w:szCs w:val="22"/>
          <w:shd w:fill="FFFFFF" w:val="clear"/>
        </w:rPr>
      </w:pPr>
      <w:r>
        <w:rPr>
          <w:rFonts w:cs="Calibri" w:ascii="Calibri" w:hAnsi="Calibri"/>
          <w:color w:val="000000"/>
          <w:sz w:val="22"/>
          <w:szCs w:val="22"/>
          <w:shd w:fill="FFFFFF" w:val="clear"/>
        </w:rPr>
      </w:r>
    </w:p>
    <w:p>
      <w:pPr>
        <w:pStyle w:val="NormalWeb"/>
        <w:spacing w:lineRule="auto" w:line="300" w:before="0" w:after="0"/>
        <w:ind w:firstLine="1418" w:end="0"/>
        <w:jc w:val="both"/>
        <w:rPr/>
      </w:pPr>
      <w:r>
        <w:rPr>
          <w:rFonts w:cs="Calibri" w:ascii="Calibri" w:hAnsi="Calibri"/>
          <w:color w:val="000000"/>
          <w:sz w:val="22"/>
          <w:szCs w:val="22"/>
          <w:shd w:fill="FFFFFF" w:val="clear"/>
        </w:rPr>
        <w:t xml:space="preserve">Assim, diante de todo o exposto, pugna a parte autora pela condenação do banco requerido ao pagamento de </w:t>
      </w:r>
      <w:r>
        <w:rPr>
          <w:rFonts w:cs="Calibri" w:ascii="Calibri" w:hAnsi="Calibri"/>
          <w:b/>
          <w:bCs/>
          <w:color w:val="000000"/>
          <w:sz w:val="22"/>
          <w:szCs w:val="22"/>
          <w:shd w:fill="FFFFFF" w:val="clear"/>
        </w:rPr>
        <w:t>indenização por danos morais no valor de R$ 10.000,00</w:t>
      </w:r>
      <w:r>
        <w:rPr>
          <w:rFonts w:cs="Calibri" w:ascii="Calibri" w:hAnsi="Calibri"/>
          <w:color w:val="000000"/>
          <w:sz w:val="22"/>
          <w:szCs w:val="22"/>
          <w:shd w:fill="FFFFFF" w:val="clear"/>
        </w:rPr>
        <w:t>, acrescida de correção monetária a partir da data do arbitramento, nos termos da Súmula nº 362 do STJ e juros moratórios de 1% (um por cento) ao mês, a contar do evento danoso, conforme orientação da Súmula nº 54 do STJ, como medida de justiça, compensação e efetiva tutela dos direitos da consumidora.</w:t>
      </w:r>
    </w:p>
    <w:p>
      <w:pPr>
        <w:pStyle w:val="Normal"/>
        <w:spacing w:lineRule="auto" w:line="300"/>
        <w:jc w:val="both"/>
        <w:rPr>
          <w:rFonts w:ascii="Calibri" w:hAnsi="Calibri" w:cs="Calibri"/>
          <w:color w:val="FF0000"/>
          <w:sz w:val="22"/>
          <w:szCs w:val="22"/>
          <w:shd w:fill="FFFFFF" w:val="clear"/>
          <w:lang w:val="pt-BR"/>
        </w:rPr>
      </w:pPr>
      <w:r>
        <w:rPr>
          <w:rFonts w:cs="Calibri"/>
          <w:color w:val="FF0000"/>
          <w:sz w:val="22"/>
          <w:szCs w:val="22"/>
          <w:shd w:fill="FFFFFF" w:val="clear"/>
          <w:lang w:val="pt-BR"/>
        </w:rPr>
      </w:r>
    </w:p>
    <w:p>
      <w:pPr>
        <w:pStyle w:val="PargrafodaLista"/>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before="0" w:after="0"/>
        <w:ind w:start="0" w:end="0"/>
        <w:contextualSpacing/>
        <w:jc w:val="center"/>
        <w:rPr>
          <w:rFonts w:cs="Calibri"/>
          <w:b/>
        </w:rPr>
      </w:pPr>
      <w:r>
        <w:rPr>
          <w:rFonts w:cs="Calibri"/>
          <w:b/>
        </w:rPr>
        <w:t>4 - DA INVERSÃO DO ÔNUS DA PROVA</w:t>
      </w:r>
    </w:p>
    <w:p>
      <w:pPr>
        <w:pStyle w:val="Normal"/>
        <w:spacing w:lineRule="auto" w:line="300"/>
        <w:ind w:firstLine="1416" w:end="0"/>
        <w:jc w:val="both"/>
        <w:textAlignment w:val="top"/>
        <w:rPr>
          <w:rFonts w:cs="Calibri"/>
          <w:b/>
          <w:lang w:val="pt-BR"/>
        </w:rPr>
      </w:pPr>
      <w:r>
        <w:rPr>
          <w:rFonts w:cs="Calibri"/>
          <w:b/>
          <w:lang w:val="pt-BR"/>
        </w:rPr>
      </w:r>
    </w:p>
    <w:p>
      <w:pPr>
        <w:pStyle w:val="Normal"/>
        <w:spacing w:lineRule="auto" w:line="300"/>
        <w:ind w:firstLine="1418" w:end="0"/>
        <w:jc w:val="both"/>
        <w:textAlignment w:val="top"/>
        <w:rPr>
          <w:rFonts w:cs="Calibri"/>
          <w:lang w:val="pt-BR"/>
        </w:rPr>
      </w:pPr>
      <w:r>
        <w:rPr>
          <w:rFonts w:cs="Calibri"/>
          <w:lang w:val="pt-BR"/>
        </w:rPr>
        <w:t>A disciplina do ônus da prova possui especial relevância no processo civil, sobretudo nas demandas que envolvem relações de consumo, uma vez que sua inadequada distribuição pode acarretar severo prejuízo à parte hipossuficiente, esvaziando a efetividade da tutela jurisdicional.</w:t>
      </w:r>
    </w:p>
    <w:p>
      <w:pPr>
        <w:pStyle w:val="Normal"/>
        <w:spacing w:lineRule="auto" w:line="300"/>
        <w:ind w:firstLine="1418" w:end="0"/>
        <w:jc w:val="both"/>
        <w:textAlignment w:val="top"/>
        <w:rPr>
          <w:rFonts w:cs="Calibri"/>
          <w:lang w:val="pt-BR"/>
        </w:rPr>
      </w:pPr>
      <w:r>
        <w:rPr>
          <w:rFonts w:cs="Calibri"/>
          <w:lang w:val="pt-BR"/>
        </w:rPr>
      </w:r>
    </w:p>
    <w:p>
      <w:pPr>
        <w:pStyle w:val="Normal"/>
        <w:spacing w:lineRule="auto" w:line="300"/>
        <w:ind w:firstLine="1418" w:end="0"/>
        <w:jc w:val="both"/>
        <w:textAlignment w:val="top"/>
        <w:rPr/>
      </w:pPr>
      <w:r>
        <w:rPr>
          <w:rFonts w:cs="Calibri"/>
          <w:lang w:val="pt-BR"/>
        </w:rPr>
        <w:t>Nos termos da regra geral estabelecida pelo art. 373, incisos I e II, do Código de Processo Civil, incumbe à parte autora a prova dos fatos constitutivos de seu direito, competindo à parte ré a demonstração de fatos impeditivos, modificativos ou extintivos. Todavia, tal sistemática não se revela suficiente para assegurar a igualdade material entre as partes nas relações consumeristas, marcadas por evidente assimetria técnica, econômica e informacional.</w:t>
      </w:r>
    </w:p>
    <w:p>
      <w:pPr>
        <w:pStyle w:val="Normal"/>
        <w:spacing w:lineRule="auto" w:line="300"/>
        <w:ind w:firstLine="1418" w:end="0"/>
        <w:jc w:val="both"/>
        <w:textAlignment w:val="top"/>
        <w:rPr>
          <w:rFonts w:cs="Calibri"/>
          <w:lang w:val="pt-BR"/>
        </w:rPr>
      </w:pPr>
      <w:r>
        <w:rPr>
          <w:rFonts w:cs="Calibri"/>
          <w:lang w:val="pt-BR"/>
        </w:rPr>
      </w:r>
    </w:p>
    <w:p>
      <w:pPr>
        <w:pStyle w:val="Normal"/>
        <w:spacing w:lineRule="auto" w:line="300"/>
        <w:ind w:firstLine="1418" w:end="0"/>
        <w:jc w:val="both"/>
        <w:textAlignment w:val="top"/>
        <w:rPr/>
      </w:pPr>
      <w:r>
        <w:rPr>
          <w:rFonts w:cs="Calibri"/>
          <w:lang w:val="pt-BR"/>
        </w:rPr>
        <w:t>Com o escopo de mitigar essa desigualdade, o Código de Defesa do Consumidor, enquanto microssistema protetivo, instituiu tratamento diferenciado ao consumidor, reconhecendo-lhe a condição de parte vulnerável na relação jurídica, especialmente diante das instituições financeiras, que detêm domínio técnico, documental e informacional sobre os serviços prestados.</w:t>
      </w:r>
    </w:p>
    <w:p>
      <w:pPr>
        <w:pStyle w:val="Normal"/>
        <w:spacing w:lineRule="auto" w:line="300"/>
        <w:ind w:firstLine="1418" w:end="0"/>
        <w:jc w:val="both"/>
        <w:textAlignment w:val="top"/>
        <w:rPr>
          <w:rFonts w:cs="Calibri"/>
          <w:lang w:val="pt-BR"/>
        </w:rPr>
      </w:pPr>
      <w:r>
        <w:rPr>
          <w:rFonts w:cs="Calibri"/>
          <w:lang w:val="pt-BR"/>
        </w:rPr>
      </w:r>
    </w:p>
    <w:p>
      <w:pPr>
        <w:pStyle w:val="Normal"/>
        <w:spacing w:lineRule="auto" w:line="300"/>
        <w:ind w:firstLine="1418" w:end="0"/>
        <w:jc w:val="both"/>
        <w:textAlignment w:val="top"/>
        <w:rPr>
          <w:rFonts w:cs="Calibri"/>
          <w:lang w:val="pt-BR"/>
        </w:rPr>
      </w:pPr>
      <w:r>
        <w:rPr>
          <w:rFonts w:cs="Calibri"/>
          <w:lang w:val="pt-BR"/>
        </w:rPr>
        <w:t>Nesse contexto, o art. 6º, inciso VIII, do CDC consagrou a inversão do ônus da prova como direito básico do consumidor, ao dispor que:</w:t>
      </w:r>
    </w:p>
    <w:p>
      <w:pPr>
        <w:pStyle w:val="Normal"/>
        <w:spacing w:lineRule="auto" w:line="300"/>
        <w:ind w:firstLine="2835" w:end="0"/>
        <w:jc w:val="both"/>
        <w:textAlignment w:val="top"/>
        <w:rPr>
          <w:rFonts w:cs="Calibri"/>
          <w:lang w:val="pt-BR"/>
        </w:rPr>
      </w:pPr>
      <w:r>
        <w:rPr>
          <w:rFonts w:cs="Calibri"/>
          <w:lang w:val="pt-BR"/>
        </w:rPr>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Art. 6º, VIII – São direitos básicos do consumidor:</w:t>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w:t>
      </w:r>
    </w:p>
    <w:p>
      <w:pPr>
        <w:pStyle w:val="Normal"/>
        <w:spacing w:lineRule="auto" w:line="240"/>
        <w:ind w:start="2268" w:end="0"/>
        <w:jc w:val="both"/>
        <w:rPr>
          <w:rFonts w:cs="Calibri"/>
          <w:color w:val="000000"/>
          <w:sz w:val="20"/>
          <w:szCs w:val="20"/>
          <w:lang w:val="pt-BR"/>
        </w:rPr>
      </w:pPr>
      <w:r>
        <w:rPr>
          <w:rFonts w:cs="Calibri"/>
          <w:color w:val="000000"/>
          <w:sz w:val="20"/>
          <w:szCs w:val="20"/>
          <w:lang w:val="pt-BR"/>
        </w:rPr>
        <w:t>VIII - a facilitação da defesa de seus direitos, inclusive com a inversão do ônus da prova, a seu favor, no processo civil, quando, a critério do juiz, for verossímil a alegação ou quando for ele hipossuficiente, segundo as regras ordinárias de experiências.</w:t>
      </w:r>
    </w:p>
    <w:p>
      <w:pPr>
        <w:pStyle w:val="Normal"/>
        <w:spacing w:lineRule="auto" w:line="300"/>
        <w:ind w:firstLine="2835" w:end="0"/>
        <w:jc w:val="both"/>
        <w:textAlignment w:val="top"/>
        <w:rPr>
          <w:rFonts w:cs="Calibri"/>
          <w:color w:val="000000"/>
          <w:sz w:val="20"/>
          <w:szCs w:val="20"/>
          <w:lang w:val="pt-BR"/>
        </w:rPr>
      </w:pPr>
      <w:r>
        <w:rPr>
          <w:rFonts w:cs="Calibri"/>
          <w:color w:val="000000"/>
          <w:sz w:val="20"/>
          <w:szCs w:val="20"/>
          <w:lang w:val="pt-BR"/>
        </w:rPr>
      </w:r>
    </w:p>
    <w:p>
      <w:pPr>
        <w:pStyle w:val="Normal"/>
        <w:spacing w:lineRule="auto" w:line="300"/>
        <w:ind w:firstLine="1418" w:end="0"/>
        <w:jc w:val="both"/>
        <w:textAlignment w:val="top"/>
        <w:rPr>
          <w:rFonts w:cs="Calibri"/>
          <w:lang w:val="pt-BR"/>
        </w:rPr>
      </w:pPr>
      <w:r>
        <w:rPr>
          <w:rFonts w:cs="Calibri"/>
          <w:lang w:val="pt-BR"/>
        </w:rPr>
        <w:t>Da exegese do referido dispositivo legal, extrai-se que a inversão do ônus probatório pode ser concedida sempre que presente, alternativamente, a verossimilhança das alegações ou a hipossuficiência do consumidor, sendo certo que ambos os requisitos se encontram devidamente configurados no caso concreto.</w:t>
      </w:r>
    </w:p>
    <w:p>
      <w:pPr>
        <w:pStyle w:val="Normal"/>
        <w:spacing w:lineRule="auto" w:line="300"/>
        <w:ind w:firstLine="1418" w:end="0"/>
        <w:jc w:val="both"/>
        <w:textAlignment w:val="top"/>
        <w:rPr>
          <w:rFonts w:cs="Calibri"/>
          <w:lang w:val="pt-BR"/>
        </w:rPr>
      </w:pPr>
      <w:r>
        <w:rPr>
          <w:rFonts w:cs="Calibri"/>
          <w:lang w:val="pt-BR"/>
        </w:rPr>
      </w:r>
    </w:p>
    <w:p>
      <w:pPr>
        <w:pStyle w:val="Normal"/>
        <w:spacing w:lineRule="auto" w:line="300"/>
        <w:ind w:firstLine="1418" w:end="0"/>
        <w:jc w:val="both"/>
        <w:textAlignment w:val="top"/>
        <w:rPr/>
      </w:pPr>
      <w:r>
        <w:rPr>
          <w:rFonts w:cs="Calibri"/>
          <w:lang w:val="pt-BR"/>
        </w:rPr>
        <w:t>No presente feito, a verossimilhança das alegações da parte autora está comprovada por meio da documentação juntada aos autos, notadamente o contrato de refinanciamento consignado e a comparação objetiva entre a taxa de juros pactuada e a taxa média praticada no mercado, conforme dados oficiais do Banco Central do Brasil, evidenciando, de forma clara, a cobrança de juros abusivos.</w:t>
      </w:r>
    </w:p>
    <w:p>
      <w:pPr>
        <w:pStyle w:val="Normal"/>
        <w:spacing w:lineRule="auto" w:line="300"/>
        <w:ind w:firstLine="1418" w:end="0"/>
        <w:jc w:val="both"/>
        <w:textAlignment w:val="top"/>
        <w:rPr>
          <w:rFonts w:cs="Calibri"/>
          <w:lang w:val="pt-BR"/>
        </w:rPr>
      </w:pPr>
      <w:r>
        <w:rPr>
          <w:rFonts w:cs="Calibri"/>
          <w:lang w:val="pt-BR"/>
        </w:rPr>
      </w:r>
    </w:p>
    <w:p>
      <w:pPr>
        <w:pStyle w:val="Normal"/>
        <w:spacing w:lineRule="auto" w:line="300"/>
        <w:ind w:firstLine="1418" w:end="0"/>
        <w:jc w:val="both"/>
        <w:textAlignment w:val="top"/>
        <w:rPr/>
      </w:pPr>
      <w:r>
        <w:rPr>
          <w:rFonts w:cs="Calibri"/>
          <w:lang w:val="pt-BR"/>
        </w:rPr>
        <w:t xml:space="preserve">De igual modo, mostra-se patente a hipossuficiência técnica e informacional da parte autora, que não detém acesso aos meios internos de cálculo, aos critérios de formação do </w:t>
      </w:r>
      <w:r>
        <w:rPr>
          <w:rFonts w:cs="Calibri"/>
          <w:i/>
          <w:iCs/>
          <w:lang w:val="pt-BR"/>
        </w:rPr>
        <w:t>spread</w:t>
      </w:r>
      <w:r>
        <w:rPr>
          <w:rFonts w:cs="Calibri"/>
          <w:lang w:val="pt-BR"/>
        </w:rPr>
        <w:t xml:space="preserve"> bancário, às metodologias de precificação do crédito nem aos sistemas utilizados pelo banco requerido para definição da taxa de juros aplicada, elementos estes exclusivamente sob domínio da instituição financeira.</w:t>
      </w:r>
    </w:p>
    <w:p>
      <w:pPr>
        <w:pStyle w:val="Normal"/>
        <w:spacing w:lineRule="auto" w:line="300"/>
        <w:ind w:firstLine="1418" w:end="0"/>
        <w:jc w:val="both"/>
        <w:textAlignment w:val="top"/>
        <w:rPr>
          <w:rFonts w:cs="Calibri"/>
          <w:lang w:val="pt-BR"/>
        </w:rPr>
      </w:pPr>
      <w:r>
        <w:rPr>
          <w:rFonts w:cs="Calibri"/>
          <w:lang w:val="pt-BR"/>
        </w:rPr>
      </w:r>
    </w:p>
    <w:p>
      <w:pPr>
        <w:pStyle w:val="Normal"/>
        <w:spacing w:lineRule="auto" w:line="300"/>
        <w:ind w:firstLine="1418" w:end="0"/>
        <w:jc w:val="both"/>
        <w:textAlignment w:val="top"/>
        <w:rPr>
          <w:rFonts w:cs="Calibri"/>
          <w:lang w:val="pt-BR"/>
        </w:rPr>
      </w:pPr>
      <w:r>
        <w:rPr>
          <w:rFonts w:cs="Calibri"/>
          <w:lang w:val="pt-BR"/>
        </w:rPr>
        <w:t>Dessa forma, a ausência de inversão do ônus da prova importaria em indevida transferência ao consumidor de encargo probatório impossível ou excessivamente oneroso, comprometendo o próprio direito de defesa e afrontando os princípios da isonomia material, da boa-fé objetiva e do acesso efetivo à justiça.</w:t>
      </w:r>
    </w:p>
    <w:p>
      <w:pPr>
        <w:pStyle w:val="Normal"/>
        <w:spacing w:lineRule="auto" w:line="300"/>
        <w:ind w:firstLine="1418" w:end="0"/>
        <w:jc w:val="both"/>
        <w:textAlignment w:val="top"/>
        <w:rPr>
          <w:rFonts w:cs="Calibri"/>
          <w:lang w:val="pt-BR"/>
        </w:rPr>
      </w:pPr>
      <w:r>
        <w:rPr>
          <w:rFonts w:cs="Calibri"/>
          <w:lang w:val="pt-BR"/>
        </w:rPr>
      </w:r>
    </w:p>
    <w:p>
      <w:pPr>
        <w:pStyle w:val="Normal"/>
        <w:spacing w:lineRule="auto" w:line="300"/>
        <w:ind w:firstLine="1418" w:end="0"/>
        <w:jc w:val="both"/>
        <w:textAlignment w:val="top"/>
        <w:rPr/>
      </w:pPr>
      <w:r>
        <w:rPr>
          <w:rFonts w:cs="Calibri"/>
          <w:lang w:val="pt-BR"/>
        </w:rPr>
        <w:t xml:space="preserve">Assim, diante da comprovada relação de consumo, da verossimilhança das alegações e da hipossuficiência da parte requerente, é medida que se impõe a </w:t>
      </w:r>
      <w:r>
        <w:rPr>
          <w:rFonts w:cs="Calibri"/>
          <w:b/>
          <w:bCs/>
          <w:lang w:val="pt-BR"/>
        </w:rPr>
        <w:t>INVERSÃO DO ÔNUS DA PROVA</w:t>
      </w:r>
      <w:r>
        <w:rPr>
          <w:rFonts w:cs="Calibri"/>
          <w:lang w:val="pt-BR"/>
        </w:rPr>
        <w:t>, nos termos do art. 6º, inciso VIII, do Código de Defesa do Consumidor, determinando-se que o banco requerido comprove a regularidade da taxa de juros aplicada, a adequação dos encargos financeiros e a inexistência de abusividade, ônus do qual, no caso concreto, não pode se furtar.</w:t>
      </w:r>
    </w:p>
    <w:p>
      <w:pPr>
        <w:pStyle w:val="Normal"/>
        <w:spacing w:lineRule="auto" w:line="300"/>
        <w:jc w:val="both"/>
        <w:textAlignment w:val="top"/>
        <w:rPr>
          <w:rFonts w:cs="Calibri"/>
          <w:lang w:val="pt-BR"/>
        </w:rPr>
      </w:pPr>
      <w:r>
        <w:rPr>
          <w:rFonts w:cs="Calibri"/>
          <w:lang w:val="pt-BR"/>
        </w:rPr>
      </w:r>
    </w:p>
    <w:p>
      <w:pPr>
        <w:pStyle w:val="Normal"/>
        <w:numPr>
          <w:ilvl w:val="0"/>
          <w:numId w:val="3"/>
        </w:numPr>
        <w:pBdr>
          <w:top w:val="single" w:sz="12" w:space="1" w:color="000000" w:shadow="1"/>
          <w:left w:val="single" w:sz="12" w:space="4" w:color="000000" w:shadow="1"/>
          <w:bottom w:val="single" w:sz="12" w:space="1" w:color="000000" w:shadow="1"/>
          <w:right w:val="single" w:sz="12" w:space="4" w:color="000000" w:shadow="1"/>
        </w:pBdr>
        <w:shd w:fill="F2F2F2" w:val="clear"/>
        <w:spacing w:lineRule="auto" w:line="300"/>
        <w:ind w:hanging="142" w:start="142" w:end="0"/>
        <w:jc w:val="center"/>
        <w:textAlignment w:val="top"/>
        <w:rPr>
          <w:rFonts w:cs="Calibri"/>
          <w:b/>
          <w:bCs/>
          <w:lang w:val="pt-BR"/>
        </w:rPr>
      </w:pPr>
      <w:r>
        <w:rPr>
          <w:rFonts w:cs="Calibri"/>
          <w:b/>
          <w:bCs/>
          <w:lang w:val="pt-BR"/>
        </w:rPr>
        <w:t>– DOS PEDIDOS</w:t>
      </w:r>
    </w:p>
    <w:p>
      <w:pPr>
        <w:pStyle w:val="Normal"/>
        <w:spacing w:lineRule="auto" w:line="300"/>
        <w:ind w:start="360" w:end="0"/>
        <w:jc w:val="both"/>
        <w:textAlignment w:val="top"/>
        <w:rPr>
          <w:rFonts w:cs="Calibri"/>
          <w:b/>
          <w:bCs/>
          <w:lang w:val="pt-BR"/>
        </w:rPr>
      </w:pPr>
      <w:r>
        <w:rPr>
          <w:rFonts w:cs="Calibri"/>
          <w:b/>
          <w:bCs/>
          <w:lang w:val="pt-BR"/>
        </w:rPr>
      </w:r>
    </w:p>
    <w:p>
      <w:pPr>
        <w:pStyle w:val="PargrafodaLista"/>
        <w:spacing w:lineRule="auto" w:line="300" w:before="0" w:after="0"/>
        <w:ind w:firstLine="1418" w:start="0" w:end="0"/>
        <w:contextualSpacing/>
        <w:jc w:val="both"/>
        <w:rPr>
          <w:rFonts w:cs="Calibri"/>
        </w:rPr>
      </w:pPr>
      <w:r>
        <w:rPr>
          <w:rFonts w:cs="Calibri"/>
        </w:rPr>
        <w:t>Diante de todo o exposto, requer a parte autora a Vossa Excelência que se digne a:</w:t>
      </w:r>
    </w:p>
    <w:p>
      <w:pPr>
        <w:pStyle w:val="PargrafodaLista"/>
        <w:spacing w:lineRule="auto" w:line="300" w:before="0" w:after="0"/>
        <w:ind w:firstLine="1418" w:start="0" w:end="0"/>
        <w:contextualSpacing/>
        <w:jc w:val="both"/>
        <w:rPr>
          <w:rFonts w:cs="Calibri"/>
          <w:b/>
          <w:bCs/>
        </w:rPr>
      </w:pPr>
      <w:r>
        <w:rPr>
          <w:rFonts w:cs="Calibri"/>
          <w:b/>
          <w:bCs/>
        </w:rPr>
      </w:r>
    </w:p>
    <w:p>
      <w:pPr>
        <w:pStyle w:val="PargrafodaLista"/>
        <w:numPr>
          <w:ilvl w:val="0"/>
          <w:numId w:val="6"/>
        </w:numPr>
        <w:spacing w:lineRule="auto" w:line="300" w:before="0" w:after="0"/>
        <w:ind w:firstLine="1418" w:start="0" w:end="0"/>
        <w:contextualSpacing/>
        <w:jc w:val="both"/>
        <w:rPr>
          <w:rFonts w:cs="Calibri"/>
        </w:rPr>
      </w:pPr>
      <w:r>
        <w:rPr>
          <w:rFonts w:cs="Calibri"/>
        </w:rPr>
        <w:t>Determinar a citação do requerido, no endereço informado nos autos, na pessoa de seu representante legal, para, querendo, comparecer à audiência de conciliação, instrução e julgamento, bem como apresentar contestação no prazo legal, sob pena de revelia e confissão quanto à matéria de fato, nos termos dos arts. 246 e 344 do CPC;</w:t>
      </w:r>
    </w:p>
    <w:p>
      <w:pPr>
        <w:pStyle w:val="PargrafodaLista"/>
        <w:spacing w:before="0" w:after="0"/>
        <w:contextualSpacing/>
        <w:rPr>
          <w:rFonts w:cs="Calibri"/>
        </w:rPr>
      </w:pPr>
      <w:r>
        <w:rPr>
          <w:rFonts w:cs="Calibri"/>
        </w:rPr>
      </w:r>
    </w:p>
    <w:p>
      <w:pPr>
        <w:pStyle w:val="PargrafodaLista"/>
        <w:numPr>
          <w:ilvl w:val="0"/>
          <w:numId w:val="6"/>
        </w:numPr>
        <w:spacing w:lineRule="auto" w:line="300" w:before="0" w:after="0"/>
        <w:ind w:firstLine="1418" w:start="0" w:end="0"/>
        <w:contextualSpacing/>
        <w:jc w:val="both"/>
        <w:rPr>
          <w:rFonts w:ascii="Aptos" w:hAnsi="Aptos" w:cs="Aptos"/>
          <w:color w:val="000000"/>
        </w:rPr>
      </w:pPr>
      <w:r>
        <w:rPr>
          <w:rFonts w:cs="Calibri"/>
        </w:rPr>
        <w:t>Reconhecer a aplicabilidade do Código de Defesa do Consumidor ao caso concreto, declarando-se a responsabilidade objetiva do requerido;</w:t>
      </w:r>
    </w:p>
    <w:p>
      <w:pPr>
        <w:pStyle w:val="PargrafodaLista"/>
        <w:spacing w:before="0" w:after="0"/>
        <w:contextualSpacing/>
        <w:rPr>
          <w:rFonts w:ascii="Aptos" w:hAnsi="Aptos" w:cs="Calibri"/>
          <w:color w:val="000000"/>
        </w:rPr>
      </w:pPr>
      <w:r>
        <w:rPr>
          <w:rFonts w:cs="Calibri" w:ascii="Aptos" w:hAnsi="Aptos"/>
          <w:color w:val="000000"/>
        </w:rPr>
      </w:r>
    </w:p>
    <w:p>
      <w:pPr>
        <w:pStyle w:val="PargrafodaLista"/>
        <w:numPr>
          <w:ilvl w:val="0"/>
          <w:numId w:val="6"/>
        </w:numPr>
        <w:spacing w:lineRule="auto" w:line="300" w:before="0" w:after="0"/>
        <w:ind w:firstLine="1418" w:start="0" w:end="0"/>
        <w:contextualSpacing/>
        <w:jc w:val="both"/>
        <w:rPr>
          <w:rFonts w:ascii="Aptos" w:hAnsi="Aptos" w:cs="Aptos"/>
          <w:color w:val="000000"/>
        </w:rPr>
      </w:pPr>
      <w:r>
        <w:rPr>
          <w:rFonts w:cs="Calibri"/>
        </w:rPr>
        <w:t xml:space="preserve">Determinar a </w:t>
      </w:r>
      <w:r>
        <w:rPr>
          <w:rFonts w:cs="Calibri"/>
          <w:b/>
          <w:bCs/>
        </w:rPr>
        <w:t>inversão do ônus da prova</w:t>
      </w:r>
      <w:r>
        <w:rPr>
          <w:rFonts w:cs="Calibri"/>
        </w:rPr>
        <w:t>, em favor da parte autora, nos termos do art. 6º, inciso VIII, do CDC, diante da verossimilhança das alegações e da hipossuficiência técnica e informacional do consumidor;</w:t>
      </w:r>
    </w:p>
    <w:p>
      <w:pPr>
        <w:pStyle w:val="PargrafodaLista"/>
        <w:spacing w:before="0" w:after="0"/>
        <w:contextualSpacing/>
        <w:rPr>
          <w:rFonts w:ascii="Aptos" w:hAnsi="Aptos" w:cs="Calibri"/>
          <w:color w:val="000000"/>
        </w:rPr>
      </w:pPr>
      <w:r>
        <w:rPr>
          <w:rFonts w:cs="Calibri" w:ascii="Aptos" w:hAnsi="Aptos"/>
          <w:color w:val="000000"/>
        </w:rPr>
      </w:r>
    </w:p>
    <w:p>
      <w:pPr>
        <w:pStyle w:val="PargrafodaLista"/>
        <w:numPr>
          <w:ilvl w:val="0"/>
          <w:numId w:val="6"/>
        </w:numPr>
        <w:spacing w:lineRule="auto" w:line="300" w:before="0" w:after="0"/>
        <w:ind w:firstLine="1418" w:start="0" w:end="0"/>
        <w:contextualSpacing/>
        <w:jc w:val="both"/>
        <w:rPr>
          <w:rFonts w:cs="Calibri"/>
        </w:rPr>
      </w:pPr>
      <w:r>
        <w:rPr>
          <w:rFonts w:cs="Calibri"/>
        </w:rPr>
        <w:t xml:space="preserve">Determinar a </w:t>
      </w:r>
      <w:r>
        <w:rPr>
          <w:rFonts w:cs="Calibri"/>
          <w:b/>
          <w:bCs/>
        </w:rPr>
        <w:t>tramitação do feito sob a modalidade do Juízo 100% Digital</w:t>
      </w:r>
      <w:r>
        <w:rPr>
          <w:rFonts w:cs="Calibri"/>
        </w:rPr>
        <w:t>, nos termos da Resolução nº 345/2020 do CNJ e da Portaria nº 2.330/2020 do TJAM, caso não haja oposição das partes;</w:t>
      </w:r>
    </w:p>
    <w:p>
      <w:pPr>
        <w:pStyle w:val="PargrafodaLista"/>
        <w:spacing w:before="0" w:after="0"/>
        <w:contextualSpacing/>
        <w:rPr>
          <w:rFonts w:cs="Calibri"/>
        </w:rPr>
      </w:pPr>
      <w:r>
        <w:rPr>
          <w:rFonts w:cs="Calibri"/>
        </w:rPr>
      </w:r>
    </w:p>
    <w:p>
      <w:pPr>
        <w:pStyle w:val="PargrafodaLista"/>
        <w:numPr>
          <w:ilvl w:val="0"/>
          <w:numId w:val="6"/>
        </w:numPr>
        <w:spacing w:lineRule="auto" w:line="300" w:before="0" w:after="0"/>
        <w:ind w:firstLine="1418" w:start="0" w:end="0"/>
        <w:contextualSpacing/>
        <w:jc w:val="both"/>
        <w:rPr>
          <w:rFonts w:cs="Calibri"/>
        </w:rPr>
      </w:pPr>
      <w:r>
        <w:rPr>
          <w:rFonts w:cs="Calibri"/>
        </w:rPr>
        <w:t xml:space="preserve">Conceder à parte autora os </w:t>
      </w:r>
      <w:r>
        <w:rPr>
          <w:rFonts w:cs="Calibri"/>
          <w:b/>
          <w:bCs/>
        </w:rPr>
        <w:t>benefícios da justiça gratuita</w:t>
      </w:r>
      <w:r>
        <w:rPr>
          <w:rFonts w:cs="Calibri"/>
        </w:rPr>
        <w:t>, nos termos do art. 98 do CPC, c/c art. 9º, I, da Constituição do Estado do Amazonas, por ser pessoa hipossuficiente na forma da lei;</w:t>
      </w:r>
    </w:p>
    <w:p>
      <w:pPr>
        <w:pStyle w:val="PargrafodaLista"/>
        <w:spacing w:before="0" w:after="0"/>
        <w:contextualSpacing/>
        <w:rPr>
          <w:rFonts w:cs="Calibri"/>
        </w:rPr>
      </w:pPr>
      <w:r>
        <w:rPr>
          <w:rFonts w:cs="Calibri"/>
        </w:rPr>
      </w:r>
    </w:p>
    <w:p>
      <w:pPr>
        <w:pStyle w:val="PargrafodaLista"/>
        <w:numPr>
          <w:ilvl w:val="0"/>
          <w:numId w:val="6"/>
        </w:numPr>
        <w:spacing w:lineRule="auto" w:line="300" w:before="0" w:after="0"/>
        <w:ind w:firstLine="1418" w:start="0" w:end="0"/>
        <w:contextualSpacing/>
        <w:jc w:val="both"/>
        <w:rPr>
          <w:rFonts w:cs="Calibri"/>
        </w:rPr>
      </w:pPr>
      <w:r>
        <w:rPr>
          <w:rFonts w:cs="Calibri"/>
        </w:rPr>
        <w:t xml:space="preserve">Ao final, </w:t>
      </w:r>
      <w:r>
        <w:rPr>
          <w:rFonts w:cs="Calibri"/>
          <w:b/>
          <w:bCs/>
        </w:rPr>
        <w:t>julgar TOTALMENTE PROCEDENTES os pedidos</w:t>
      </w:r>
      <w:r>
        <w:rPr>
          <w:rFonts w:cs="Calibri"/>
        </w:rPr>
        <w:t>, para:</w:t>
      </w:r>
    </w:p>
    <w:p>
      <w:pPr>
        <w:pStyle w:val="PargrafodaLista"/>
        <w:spacing w:lineRule="auto" w:line="300" w:before="0" w:after="0"/>
        <w:ind w:firstLine="1418" w:start="0" w:end="0"/>
        <w:contextualSpacing/>
        <w:jc w:val="both"/>
        <w:rPr>
          <w:rFonts w:cs="Calibri"/>
          <w:b/>
          <w:bCs/>
        </w:rPr>
      </w:pPr>
      <w:r>
        <w:rPr>
          <w:rFonts w:cs="Calibri"/>
          <w:b/>
          <w:bCs/>
        </w:rPr>
      </w:r>
    </w:p>
    <w:p>
      <w:pPr>
        <w:pStyle w:val="PargrafodaLista"/>
        <w:spacing w:lineRule="auto" w:line="300" w:before="0" w:after="0"/>
        <w:ind w:firstLine="1418" w:start="0" w:end="0"/>
        <w:contextualSpacing/>
        <w:jc w:val="both"/>
        <w:rPr>
          <w:rFonts w:cs="Calibri"/>
          <w:b/>
          <w:bCs/>
        </w:rPr>
      </w:pPr>
      <w:r>
        <w:rPr>
          <w:rFonts w:cs="Calibri"/>
        </w:rPr>
        <w:t xml:space="preserve">f.1) </w:t>
      </w:r>
      <w:r>
        <w:rPr>
          <w:rFonts w:cs="Calibri"/>
          <w:b/>
          <w:bCs/>
        </w:rPr>
        <w:t>Reconhecer a abusividade da taxa de juros remuneratórios</w:t>
      </w:r>
      <w:r>
        <w:rPr>
          <w:rFonts w:cs="Calibri"/>
        </w:rPr>
        <w:t xml:space="preserve"> aplicada pelo requerido no contrato de empréstimo consignado, declarando nulas as cláusulas abusivas e determinando a revisão contratual, com a </w:t>
      </w:r>
      <w:r>
        <w:rPr>
          <w:rFonts w:cs="Calibri"/>
          <w:b/>
          <w:bCs/>
        </w:rPr>
        <w:t>redução da taxa de juros ao patamar da taxa média de mercado divulgada pelo Banco Central do Brasil à época da contratação (novembro/2025), qual seja, 6,44% ao mês e 111,49% ao ano</w:t>
      </w:r>
      <w:r>
        <w:rPr>
          <w:rFonts w:cs="Calibri"/>
        </w:rPr>
        <w:t xml:space="preserve">, substituindo-se a taxa originalmente aplicada de </w:t>
      </w:r>
      <w:r>
        <w:rPr>
          <w:rFonts w:cs="Calibri"/>
          <w:b/>
          <w:bCs/>
        </w:rPr>
        <w:t>19,15% a.m. e 718,71% a.a.</w:t>
      </w:r>
      <w:r>
        <w:rPr>
          <w:rFonts w:cs="Calibri"/>
        </w:rPr>
        <w:t>;</w:t>
      </w:r>
    </w:p>
    <w:p>
      <w:pPr>
        <w:pStyle w:val="PargrafodaLista"/>
        <w:spacing w:lineRule="auto" w:line="300" w:before="0" w:after="0"/>
        <w:ind w:firstLine="1418" w:start="0" w:end="0"/>
        <w:contextualSpacing/>
        <w:jc w:val="both"/>
        <w:rPr>
          <w:rFonts w:cs="Calibri"/>
          <w:b/>
          <w:bCs/>
        </w:rPr>
      </w:pPr>
      <w:r>
        <w:rPr>
          <w:rFonts w:cs="Calibri"/>
          <w:b/>
          <w:bCs/>
        </w:rPr>
      </w:r>
    </w:p>
    <w:p>
      <w:pPr>
        <w:pStyle w:val="PargrafodaLista"/>
        <w:spacing w:lineRule="auto" w:line="300" w:before="0" w:after="0"/>
        <w:ind w:firstLine="1418" w:start="0" w:end="0"/>
        <w:contextualSpacing/>
        <w:jc w:val="both"/>
        <w:rPr>
          <w:rFonts w:cs="Calibri"/>
        </w:rPr>
      </w:pPr>
      <w:r>
        <w:rPr>
          <w:rFonts w:cs="Calibri"/>
        </w:rPr>
        <w:t>f.2) Em sendo julgada procedente a revisão da taxa de juros, condenar o banco requerido à restituição, na forma simples, dos valores pagos indevidamente a maior, nos termos do art. 42, parágrafo único, do CDC, a serem apurados em liquidação de sentença, acrescidos de correção monetária a partir da data do efetivo prejuízo (Súmula 43 do STJ) e de juros moratórios de 1% ao mês, a contar do evento danoso (Súmula 54 do STJ);</w:t>
      </w:r>
    </w:p>
    <w:p>
      <w:pPr>
        <w:pStyle w:val="PargrafodaLista"/>
        <w:spacing w:lineRule="auto" w:line="300" w:before="0" w:after="0"/>
        <w:ind w:firstLine="1418" w:start="0" w:end="0"/>
        <w:contextualSpacing/>
        <w:jc w:val="both"/>
        <w:rPr>
          <w:rFonts w:cs="Calibri"/>
        </w:rPr>
      </w:pPr>
      <w:r>
        <w:rPr>
          <w:rFonts w:cs="Calibri"/>
        </w:rPr>
      </w:r>
    </w:p>
    <w:p>
      <w:pPr>
        <w:pStyle w:val="PargrafodaLista"/>
        <w:spacing w:lineRule="auto" w:line="300" w:before="0" w:after="0"/>
        <w:ind w:firstLine="1418" w:start="0" w:end="0"/>
        <w:contextualSpacing/>
        <w:jc w:val="both"/>
        <w:rPr>
          <w:rFonts w:cs="Calibri"/>
        </w:rPr>
      </w:pPr>
      <w:r>
        <w:rPr>
          <w:rFonts w:cs="Calibri"/>
        </w:rPr>
        <w:t xml:space="preserve">f.3) Condenar o requerido ao pagamento de indenização por danos morais, nos termos dos arts. 5º, incisos V e X, da Constituição Federal, art. 6º, inciso VI, do CDC, e arts. 186 e 927 do Código Civil, em valor não inferior a </w:t>
      </w:r>
      <w:r>
        <w:rPr>
          <w:rFonts w:cs="Calibri"/>
          <w:b/>
          <w:bCs/>
        </w:rPr>
        <w:t>R$ 10.000,00 (dez mil reais)</w:t>
      </w:r>
      <w:r>
        <w:rPr>
          <w:rFonts w:cs="Calibri"/>
        </w:rPr>
        <w:t xml:space="preserve"> — ou outro montante que Vossa Excelência entender adequado —, acrescido de correção monetária desde a data do arbitramento (Súmula 362 do STJ) e de juros moratórios de 1% ao mês, a contar do evento danoso (Súmula 54 do STJ);</w:t>
      </w:r>
    </w:p>
    <w:p>
      <w:pPr>
        <w:pStyle w:val="PargrafodaLista"/>
        <w:spacing w:lineRule="auto" w:line="300" w:before="0" w:after="0"/>
        <w:ind w:firstLine="1418" w:start="0" w:end="0"/>
        <w:contextualSpacing/>
        <w:jc w:val="both"/>
        <w:rPr>
          <w:rFonts w:cs="Calibri"/>
        </w:rPr>
      </w:pPr>
      <w:r>
        <w:rPr>
          <w:rFonts w:cs="Calibri"/>
        </w:rPr>
      </w:r>
    </w:p>
    <w:p>
      <w:pPr>
        <w:pStyle w:val="PargrafodaLista"/>
        <w:numPr>
          <w:ilvl w:val="0"/>
          <w:numId w:val="4"/>
        </w:numPr>
        <w:spacing w:lineRule="auto" w:line="300" w:before="0" w:after="0"/>
        <w:ind w:firstLine="1418" w:start="0" w:end="0"/>
        <w:contextualSpacing/>
        <w:jc w:val="both"/>
        <w:rPr>
          <w:rFonts w:cs="Calibri"/>
        </w:rPr>
      </w:pPr>
      <w:r>
        <w:rPr>
          <w:rFonts w:cs="Calibri"/>
        </w:rPr>
        <w:t>Condenar o banco requerido ao pagamento das custas processuais e honorários advocatícios, estes fixados em 20% (vinte por cento) sobre o valor da condenação ou do proveito econômico obtido, nos termos do art. 85, §§ 2º e 11, do CPC;</w:t>
      </w:r>
    </w:p>
    <w:p>
      <w:pPr>
        <w:pStyle w:val="Normal"/>
        <w:spacing w:lineRule="auto" w:line="300"/>
        <w:jc w:val="both"/>
        <w:rPr>
          <w:rFonts w:cs="Calibri"/>
          <w:lang w:val="pt-BR"/>
        </w:rPr>
      </w:pPr>
      <w:r>
        <w:rPr>
          <w:rFonts w:cs="Calibri"/>
          <w:lang w:val="pt-BR"/>
        </w:rPr>
      </w:r>
    </w:p>
    <w:p>
      <w:pPr>
        <w:pStyle w:val="PargrafodaLista"/>
        <w:numPr>
          <w:ilvl w:val="0"/>
          <w:numId w:val="4"/>
        </w:numPr>
        <w:spacing w:lineRule="auto" w:line="300" w:before="0" w:after="0"/>
        <w:ind w:firstLine="1418" w:start="0" w:end="0"/>
        <w:contextualSpacing/>
        <w:jc w:val="both"/>
        <w:rPr>
          <w:rFonts w:cs="Calibri"/>
        </w:rPr>
      </w:pPr>
      <w:r>
        <w:rPr>
          <w:rFonts w:cs="Calibri"/>
        </w:rPr>
        <w:t xml:space="preserve">Determinar que todas as publicações e intimações referente ao presente feito sejam realizadas </w:t>
      </w:r>
      <w:r>
        <w:rPr>
          <w:rFonts w:cs="Calibri"/>
          <w:b/>
          <w:bCs/>
        </w:rPr>
        <w:t>CONJUNTAMENTE</w:t>
      </w:r>
      <w:r>
        <w:rPr>
          <w:rFonts w:cs="Calibri"/>
        </w:rPr>
        <w:t xml:space="preserve"> em nome dos advogados</w:t>
      </w:r>
      <w:r>
        <w:rPr>
          <w:rFonts w:cs="Calibri"/>
          <w:b/>
        </w:rPr>
        <w:t xml:space="preserve"> ANDREY AUGUSTO BENTES RAMOS – OAB/AM 7.526 e GUSTAVO DA SILVA GRILLO – OAB/AM 7.883, sob pena de nulidade, nos termos do art. 272, §5˚, do CPC</w:t>
      </w:r>
      <w:r>
        <w:rPr>
          <w:rFonts w:cs="Calibri"/>
        </w:rPr>
        <w:t>.</w:t>
      </w:r>
    </w:p>
    <w:p>
      <w:pPr>
        <w:pStyle w:val="Normal"/>
        <w:spacing w:lineRule="auto" w:line="300"/>
        <w:ind w:start="2835" w:end="0"/>
        <w:jc w:val="both"/>
        <w:rPr>
          <w:rFonts w:cs="Calibri"/>
          <w:lang w:val="pt-BR"/>
        </w:rPr>
      </w:pPr>
      <w:r>
        <w:rPr>
          <w:rFonts w:cs="Calibri"/>
          <w:lang w:val="pt-BR"/>
        </w:rPr>
      </w:r>
    </w:p>
    <w:p>
      <w:pPr>
        <w:pStyle w:val="Normal"/>
        <w:spacing w:lineRule="auto" w:line="300"/>
        <w:ind w:firstLine="1418" w:end="0"/>
        <w:jc w:val="both"/>
        <w:rPr/>
      </w:pPr>
      <w:r>
        <w:rPr>
          <w:rFonts w:cs="Calibri"/>
          <w:lang w:val="pt-BR"/>
        </w:rPr>
        <w:t>A parte requerente pugna pela produção de todas as provas em direito admitidas, em especial o depoimento pessoal do representante legal do requerido, bem como, prova testemunhal, documental, e de todas outras que façam necessárias ao curso da instrução processual.</w:t>
      </w:r>
    </w:p>
    <w:p>
      <w:pPr>
        <w:pStyle w:val="Normal"/>
        <w:spacing w:lineRule="auto" w:line="300"/>
        <w:ind w:firstLine="1418" w:end="0"/>
        <w:jc w:val="both"/>
        <w:rPr>
          <w:rFonts w:cs="Calibri"/>
          <w:lang w:val="pt-BR"/>
        </w:rPr>
      </w:pPr>
      <w:r>
        <w:rPr>
          <w:rFonts w:cs="Calibri"/>
          <w:lang w:val="pt-BR"/>
        </w:rPr>
      </w:r>
    </w:p>
    <w:p>
      <w:pPr>
        <w:pStyle w:val="Normal"/>
        <w:spacing w:lineRule="auto" w:line="300"/>
        <w:ind w:firstLine="1418" w:end="0"/>
        <w:jc w:val="both"/>
        <w:rPr>
          <w:rFonts w:cs="Calibri"/>
          <w:b/>
          <w:lang w:val="pt-BR"/>
        </w:rPr>
      </w:pPr>
      <w:r>
        <w:rPr>
          <w:rFonts w:cs="Calibri"/>
          <w:lang w:val="pt-BR"/>
        </w:rPr>
        <w:t xml:space="preserve">Dá-se àcausa o valor de </w:t>
      </w:r>
      <w:r>
        <w:rPr>
          <w:rFonts w:cs="Calibri"/>
          <w:b/>
          <w:lang w:val="pt-BR"/>
        </w:rPr>
        <w:t>R$ 30.000,00 (trinta mil reais).</w:t>
      </w:r>
    </w:p>
    <w:p>
      <w:pPr>
        <w:pStyle w:val="Normal"/>
        <w:tabs>
          <w:tab w:val="clear" w:pos="720"/>
          <w:tab w:val="left" w:pos="2835" w:leader="none"/>
        </w:tabs>
        <w:spacing w:lineRule="auto" w:line="300"/>
        <w:ind w:firstLine="1418" w:end="0"/>
        <w:jc w:val="both"/>
        <w:rPr>
          <w:rFonts w:cs="Calibri"/>
          <w:b/>
          <w:lang w:val="pt-BR"/>
        </w:rPr>
      </w:pPr>
      <w:r>
        <w:rPr>
          <w:rFonts w:cs="Calibri"/>
          <w:b/>
          <w:lang w:val="pt-BR"/>
        </w:rPr>
      </w:r>
    </w:p>
    <w:p>
      <w:pPr>
        <w:pStyle w:val="Normal"/>
        <w:spacing w:lineRule="auto" w:line="300"/>
        <w:ind w:firstLine="1418" w:end="0"/>
        <w:jc w:val="both"/>
        <w:rPr>
          <w:rFonts w:cs="Calibri"/>
          <w:lang w:val="pt-BR"/>
        </w:rPr>
      </w:pPr>
      <w:r>
        <w:rPr>
          <w:rFonts w:cs="Calibri"/>
          <w:lang w:val="pt-BR"/>
        </w:rPr>
        <w:t>Nestes termos,</w:t>
      </w:r>
    </w:p>
    <w:p>
      <w:pPr>
        <w:pStyle w:val="Normal"/>
        <w:spacing w:lineRule="auto" w:line="300"/>
        <w:ind w:firstLine="1418" w:end="0"/>
        <w:jc w:val="both"/>
        <w:rPr/>
      </w:pPr>
      <w:r>
        <w:rPr>
          <w:rFonts w:cs="Calibri"/>
          <w:lang w:val="pt-BR"/>
        </w:rPr>
        <w:t>pede deferimento.</w:t>
      </w:r>
    </w:p>
    <w:p>
      <w:pPr>
        <w:pStyle w:val="Normal"/>
        <w:spacing w:lineRule="auto" w:line="300"/>
        <w:ind w:firstLine="1418" w:end="0"/>
        <w:jc w:val="both"/>
        <w:rPr>
          <w:rFonts w:cs="Calibri"/>
          <w:sz w:val="16"/>
          <w:szCs w:val="16"/>
          <w:lang w:val="pt-BR"/>
        </w:rPr>
      </w:pPr>
      <w:r>
        <w:rPr>
          <w:rFonts w:cs="Calibri"/>
          <w:sz w:val="16"/>
          <w:szCs w:val="16"/>
          <w:lang w:val="pt-BR"/>
        </w:rPr>
      </w:r>
    </w:p>
    <w:p>
      <w:pPr>
        <w:pStyle w:val="Normal"/>
        <w:spacing w:lineRule="auto" w:line="300"/>
        <w:ind w:firstLine="1418" w:end="0"/>
        <w:jc w:val="both"/>
        <w:rPr/>
      </w:pPr>
      <w:r>
        <w:rPr>
          <w:rFonts w:cs="Calibri"/>
          <w:lang w:val="pt-BR"/>
        </w:rPr>
        <w:t>Manaus/AM, 02 de março de 2026.</w:t>
      </w:r>
    </w:p>
    <w:p>
      <w:pPr>
        <w:pStyle w:val="Normal"/>
        <w:spacing w:lineRule="auto" w:line="300"/>
        <w:ind w:firstLine="2835" w:end="0"/>
        <w:jc w:val="both"/>
        <w:rPr>
          <w:rFonts w:cs="Calibri"/>
          <w:lang w:val="pt-BR"/>
        </w:rPr>
      </w:pPr>
      <w:r>
        <w:rPr>
          <w:rFonts w:cs="Calibri"/>
          <w:lang w:val="pt-BR"/>
        </w:rPr>
      </w:r>
    </w:p>
    <w:p>
      <w:pPr>
        <w:pStyle w:val="Normal"/>
        <w:spacing w:lineRule="auto" w:line="300"/>
        <w:ind w:firstLine="2835" w:end="0"/>
        <w:jc w:val="both"/>
        <w:rPr>
          <w:rFonts w:cs="Calibri"/>
          <w:lang w:val="pt-BR"/>
        </w:rPr>
      </w:pPr>
      <w:r>
        <w:rPr>
          <w:rFonts w:cs="Calibri"/>
          <w:lang w:val="pt-BR"/>
        </w:rPr>
      </w:r>
    </w:p>
    <w:p>
      <w:pPr>
        <w:pStyle w:val="Normal"/>
        <w:spacing w:lineRule="auto" w:line="300"/>
        <w:jc w:val="center"/>
        <w:rPr>
          <w:rFonts w:cs="Calibri"/>
          <w:lang w:val="pt-BR"/>
        </w:rPr>
      </w:pPr>
      <w:r>
        <w:rPr>
          <w:rFonts w:cs="Calibri"/>
          <w:b/>
          <w:lang w:val="pt-BR"/>
        </w:rPr>
        <w:t>- ASSINADO ELETRONICAMENTE –</w:t>
      </w:r>
    </w:p>
    <w:p>
      <w:pPr>
        <w:pStyle w:val="Normal"/>
        <w:spacing w:lineRule="auto" w:line="300"/>
        <w:jc w:val="center"/>
        <w:rPr>
          <w:rFonts w:cs="Calibri"/>
          <w:b/>
          <w:lang w:val="pt-BR"/>
        </w:rPr>
      </w:pPr>
      <w:r>
        <w:rPr>
          <w:rFonts w:cs="Calibri"/>
          <w:b/>
          <w:lang w:val="pt-BR"/>
        </w:rPr>
        <w:t>ANDREY AUGUSTO BENTES RAMOS</w:t>
      </w:r>
    </w:p>
    <w:p>
      <w:pPr>
        <w:pStyle w:val="Normal"/>
        <w:spacing w:lineRule="auto" w:line="300"/>
        <w:jc w:val="center"/>
        <w:rPr>
          <w:rFonts w:cs="Calibri"/>
          <w:b/>
          <w:lang w:val="pt-BR"/>
        </w:rPr>
      </w:pPr>
      <w:r>
        <w:rPr>
          <w:rFonts w:cs="Calibri"/>
          <w:b/>
          <w:lang w:val="pt-BR"/>
        </w:rPr>
        <w:t>OAB/AM 7.526</w:t>
      </w:r>
    </w:p>
    <w:p>
      <w:pPr>
        <w:pStyle w:val="Normal"/>
        <w:spacing w:lineRule="auto" w:line="300"/>
        <w:jc w:val="both"/>
        <w:rPr>
          <w:rFonts w:cs="Calibri"/>
          <w:b/>
          <w:bCs/>
          <w:lang w:val="pt-BR"/>
        </w:rPr>
      </w:pPr>
      <w:r>
        <w:rPr>
          <w:rFonts w:cs="Calibri"/>
          <w:b/>
          <w:bCs/>
          <w:lang w:val="pt-BR"/>
        </w:rPr>
      </w:r>
    </w:p>
    <w:p>
      <w:pPr>
        <w:pStyle w:val="Normal"/>
        <w:spacing w:lineRule="auto" w:line="300"/>
        <w:rPr>
          <w:rFonts w:cs="Calibri"/>
          <w:bCs/>
          <w:lang w:val="pt-BR"/>
        </w:rPr>
      </w:pPr>
      <w:r>
        <w:rPr>
          <w:rFonts w:cs="Calibri"/>
          <w:bCs/>
          <w:lang w:val="pt-BR"/>
        </w:rPr>
      </w:r>
    </w:p>
    <w:p>
      <w:pPr>
        <w:pStyle w:val="Normal"/>
        <w:spacing w:lineRule="auto" w:line="300"/>
        <w:rPr>
          <w:rFonts w:cs="Calibri"/>
        </w:rPr>
      </w:pPr>
      <w:r>
        <w:rPr>
          <w:rFonts w:cs="Calibri"/>
        </w:rPr>
      </w:r>
    </w:p>
    <w:sectPr>
      <w:headerReference w:type="default" r:id="rId5"/>
      <w:footerReference w:type="default" r:id="rId6"/>
      <w:type w:val="nextPage"/>
      <w:pgSz w:w="11906" w:h="16838"/>
      <w:pgMar w:left="1440" w:right="1275" w:gutter="0" w:header="284" w:top="1440" w:footer="29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0" w:characterSet="windows-1252"/>
    <w:family w:val="swiss"/>
    <w:pitch w:val="variable"/>
  </w:font>
  <w:font w:name="Calibri Light">
    <w:charset w:val="00" w:characterSet="windows-1252"/>
    <w:family w:val="swiss"/>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Antique Olive">
    <w:charset w:val="00" w:characterSet="windows-1252"/>
    <w:family w:val="swiss"/>
    <w:pitch w:val="variable"/>
  </w:font>
  <w:font w:name="Liberation Sans">
    <w:altName w:val="Arial"/>
    <w:charset w:val="01" w:characterSet="utf-8"/>
    <w:family w:val="swiss"/>
    <w:pitch w:val="variable"/>
  </w:font>
  <w:font w:name="Helvetica">
    <w:altName w:val="Arial"/>
    <w:charset w:val="00" w:characterSet="windows-1252"/>
    <w:family w:val="swiss"/>
    <w:pitch w:val="variable"/>
  </w:font>
  <w:font w:name="Bookman Old Style">
    <w:charset w:val="00" w:characterSet="windows-1252"/>
    <w:family w:val="roman"/>
    <w:pitch w:val="variable"/>
  </w:font>
  <w:font w:name="Aptos">
    <w:charset w:val="00" w:characterSet="windows-1252"/>
    <w:family w:val="swiss"/>
    <w:pitch w:val="variable"/>
  </w:font>
  <w:font w:name="Segoe UI Emoji">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p>
    <w:pPr>
      <w:pStyle w:val="Normal"/>
      <w:spacing w:lineRule="auto" w:line="240"/>
      <w:jc w:val="both"/>
      <w:rPr>
        <w:sz w:val="14"/>
        <w:szCs w:val="14"/>
        <w:lang w:val="pt-BR"/>
      </w:rPr>
    </w:pPr>
    <w:r>
      <w:rPr>
        <w:rFonts w:cs="Segoe UI Emoji" w:ascii="Segoe UI Emoji" w:hAnsi="Segoe UI Emoji"/>
        <w:sz w:val="14"/>
        <w:szCs w:val="14"/>
      </w:rPr>
      <w:t>🏛️</w:t>
    </w:r>
    <w:r>
      <w:rPr>
        <w:rFonts w:cs="Calibri"/>
        <w:sz w:val="14"/>
        <w:szCs w:val="14"/>
        <w:lang w:val="pt-BR"/>
      </w:rPr>
      <w:t xml:space="preserve"> </w:t>
    </w:r>
    <w:r>
      <w:rPr>
        <w:b/>
        <w:bCs/>
        <w:sz w:val="14"/>
        <w:szCs w:val="14"/>
        <w:lang w:val="pt-BR"/>
      </w:rPr>
      <w:t>BENTES RAMOS ADVOCACIA E CONSULTORIA JURÍDICA</w:t>
    </w:r>
  </w:p>
  <w:p>
    <w:pPr>
      <w:pStyle w:val="Normal"/>
      <w:spacing w:lineRule="auto" w:line="240"/>
      <w:jc w:val="both"/>
      <w:rPr/>
    </w:pPr>
    <w:r>
      <w:rPr>
        <w:rFonts w:cs="Segoe UI Emoji" w:ascii="Segoe UI Emoji" w:hAnsi="Segoe UI Emoji"/>
        <w:sz w:val="14"/>
        <w:szCs w:val="14"/>
      </w:rPr>
      <w:t>📍</w:t>
    </w:r>
    <w:r>
      <w:rPr>
        <w:rFonts w:cs="Calibri"/>
        <w:sz w:val="14"/>
        <w:szCs w:val="14"/>
        <w:lang w:val="pt-BR"/>
      </w:rPr>
      <w:t xml:space="preserve"> </w:t>
    </w:r>
    <w:r>
      <w:rPr>
        <w:sz w:val="14"/>
        <w:szCs w:val="14"/>
        <w:lang w:val="pt-BR"/>
      </w:rPr>
      <w:t>Rua Salvador, 120, Sala 708 – Vieiralves Business Center – Adrianópolis, Manaus/AM – CEP 69057-040</w:t>
    </w:r>
  </w:p>
  <w:p>
    <w:pPr>
      <w:pStyle w:val="Normal"/>
      <w:spacing w:lineRule="auto" w:line="240"/>
      <w:jc w:val="both"/>
      <w:rPr>
        <w:sz w:val="14"/>
        <w:szCs w:val="14"/>
        <w:lang w:val="pt-BR"/>
      </w:rPr>
    </w:pPr>
    <w:r>
      <w:rPr>
        <w:rFonts w:cs="Segoe UI Emoji" w:ascii="Segoe UI Emoji" w:hAnsi="Segoe UI Emoji"/>
        <w:sz w:val="14"/>
        <w:szCs w:val="14"/>
      </w:rPr>
      <w:t>📞</w:t>
    </w:r>
    <w:r>
      <w:rPr>
        <w:rFonts w:cs="Calibri"/>
        <w:sz w:val="14"/>
        <w:szCs w:val="14"/>
        <w:lang w:val="pt-BR"/>
      </w:rPr>
      <w:t xml:space="preserve"> </w:t>
    </w:r>
    <w:r>
      <w:rPr>
        <w:sz w:val="14"/>
        <w:szCs w:val="14"/>
        <w:lang w:val="pt-BR"/>
      </w:rPr>
      <w:t xml:space="preserve">(92) 3343-6173   |   </w:t>
    </w:r>
    <w:r>
      <w:rPr>
        <w:rFonts w:cs="Segoe UI Emoji" w:ascii="Segoe UI Emoji" w:hAnsi="Segoe UI Emoji"/>
        <w:sz w:val="14"/>
        <w:szCs w:val="14"/>
      </w:rPr>
      <w:t>📱</w:t>
    </w:r>
    <w:r>
      <w:rPr>
        <w:sz w:val="14"/>
        <w:szCs w:val="14"/>
        <w:lang w:val="pt-BR"/>
      </w:rPr>
      <w:t xml:space="preserve"> (92) 98223-7330 / (92) 99160-4348 / 98588-8190</w:t>
    </w:r>
  </w:p>
  <w:p>
    <w:pPr>
      <w:pStyle w:val="Footer"/>
      <w:jc w:val="both"/>
      <w:rPr/>
    </w:pPr>
    <w:r>
      <w:rPr>
        <w:rFonts w:cs="Segoe UI Emoji" w:ascii="Segoe UI Emoji" w:hAnsi="Segoe UI Emoji"/>
        <w:sz w:val="14"/>
        <w:szCs w:val="14"/>
        <w:lang w:val="pt-BR"/>
      </w:rPr>
      <w:t>✉</w:t>
    </w:r>
    <w:r>
      <w:rPr>
        <w:rFonts w:cs="Segoe UI Emoji" w:ascii="Segoe UI Emoji" w:hAnsi="Segoe UI Emoji"/>
        <w:sz w:val="14"/>
        <w:szCs w:val="14"/>
      </w:rPr>
      <w:t>️</w:t>
    </w:r>
    <w:r>
      <w:rPr>
        <w:rFonts w:cs="Calibri"/>
        <w:sz w:val="14"/>
        <w:szCs w:val="14"/>
        <w:lang w:val="pt-BR"/>
      </w:rPr>
      <w:t xml:space="preserve"> </w:t>
    </w:r>
    <w:r>
      <w:rPr>
        <w:sz w:val="14"/>
        <w:szCs w:val="14"/>
        <w:lang w:val="pt-BR"/>
      </w:rPr>
      <w:t xml:space="preserve">juridico@bentesramos.adv.br   |   </w:t>
    </w:r>
    <w:r>
      <w:rPr>
        <w:rFonts w:cs="Segoe UI Emoji" w:ascii="Segoe UI Emoji" w:hAnsi="Segoe UI Emoji"/>
        <w:sz w:val="14"/>
        <w:szCs w:val="14"/>
      </w:rPr>
      <w:t>🌐</w:t>
    </w:r>
    <w:r>
      <w:rPr>
        <w:sz w:val="14"/>
        <w:szCs w:val="14"/>
        <w:lang w:val="pt-BR"/>
      </w:rPr>
      <w:t xml:space="preserve"> www.bentesramos.com.br</w:t>
      <w:tab/>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lang w:val="pt-BR"/>
      </w:rPr>
    </w:pPr>
    <w:r>
      <w:rPr>
        <w:lang w:val="pt-BR"/>
      </w:rPr>
      <w:drawing>
        <wp:inline distT="0" distB="0" distL="0" distR="0">
          <wp:extent cx="1837690" cy="998220"/>
          <wp:effectExtent l="0" t="0" r="0" b="0"/>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1"/>
                  <a:srcRect l="-7" t="-13" r="-7" b="-13"/>
                  <a:stretch>
                    <a:fillRect/>
                  </a:stretch>
                </pic:blipFill>
                <pic:spPr bwMode="auto">
                  <a:xfrm>
                    <a:off x="0" y="0"/>
                    <a:ext cx="1837690" cy="998220"/>
                  </a:xfrm>
                  <a:prstGeom prst="rect">
                    <a:avLst/>
                  </a:prstGeom>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3"/>
      <w:numFmt w:val="decimal"/>
      <w:lvlText w:val="%1"/>
      <w:lvlJc w:val="start"/>
      <w:pPr>
        <w:tabs>
          <w:tab w:val="num" w:pos="0"/>
        </w:tabs>
        <w:ind w:start="360" w:hanging="360"/>
      </w:pPr>
      <w:rPr>
        <w:b/>
      </w:rPr>
    </w:lvl>
    <w:lvl w:ilvl="1">
      <w:start w:val="3"/>
      <w:numFmt w:val="decimal"/>
      <w:lvlText w:val="%1.%2"/>
      <w:lvlJc w:val="start"/>
      <w:pPr>
        <w:tabs>
          <w:tab w:val="num" w:pos="0"/>
        </w:tabs>
        <w:ind w:start="450" w:hanging="360"/>
      </w:pPr>
      <w:rPr>
        <w:b/>
      </w:rPr>
    </w:lvl>
    <w:lvl w:ilvl="2">
      <w:start w:val="1"/>
      <w:numFmt w:val="decimal"/>
      <w:lvlText w:val="%1.%2.%3"/>
      <w:lvlJc w:val="start"/>
      <w:pPr>
        <w:tabs>
          <w:tab w:val="num" w:pos="0"/>
        </w:tabs>
        <w:ind w:start="900" w:hanging="720"/>
      </w:pPr>
      <w:rPr>
        <w:b/>
      </w:rPr>
    </w:lvl>
    <w:lvl w:ilvl="3">
      <w:start w:val="1"/>
      <w:numFmt w:val="decimal"/>
      <w:lvlText w:val="%1.%2.%3.%4"/>
      <w:lvlJc w:val="start"/>
      <w:pPr>
        <w:tabs>
          <w:tab w:val="num" w:pos="0"/>
        </w:tabs>
        <w:ind w:start="990" w:hanging="720"/>
      </w:pPr>
      <w:rPr>
        <w:b/>
      </w:rPr>
    </w:lvl>
    <w:lvl w:ilvl="4">
      <w:start w:val="1"/>
      <w:numFmt w:val="decimal"/>
      <w:lvlText w:val="%1.%2.%3.%4.%5"/>
      <w:lvlJc w:val="start"/>
      <w:pPr>
        <w:tabs>
          <w:tab w:val="num" w:pos="0"/>
        </w:tabs>
        <w:ind w:start="1440" w:hanging="1080"/>
      </w:pPr>
      <w:rPr>
        <w:b/>
      </w:rPr>
    </w:lvl>
    <w:lvl w:ilvl="5">
      <w:start w:val="1"/>
      <w:numFmt w:val="decimal"/>
      <w:lvlText w:val="%1.%2.%3.%4.%5.%6"/>
      <w:lvlJc w:val="start"/>
      <w:pPr>
        <w:tabs>
          <w:tab w:val="num" w:pos="0"/>
        </w:tabs>
        <w:ind w:start="1530" w:hanging="1080"/>
      </w:pPr>
      <w:rPr>
        <w:b/>
      </w:rPr>
    </w:lvl>
    <w:lvl w:ilvl="6">
      <w:start w:val="1"/>
      <w:numFmt w:val="decimal"/>
      <w:lvlText w:val="%1.%2.%3.%4.%5.%6.%7"/>
      <w:lvlJc w:val="start"/>
      <w:pPr>
        <w:tabs>
          <w:tab w:val="num" w:pos="0"/>
        </w:tabs>
        <w:ind w:start="1980" w:hanging="1440"/>
      </w:pPr>
      <w:rPr>
        <w:b/>
      </w:rPr>
    </w:lvl>
    <w:lvl w:ilvl="7">
      <w:start w:val="1"/>
      <w:numFmt w:val="decimal"/>
      <w:lvlText w:val="%1.%2.%3.%4.%5.%6.%7.%8"/>
      <w:lvlJc w:val="start"/>
      <w:pPr>
        <w:tabs>
          <w:tab w:val="num" w:pos="0"/>
        </w:tabs>
        <w:ind w:start="2070" w:hanging="1440"/>
      </w:pPr>
      <w:rPr>
        <w:b/>
      </w:rPr>
    </w:lvl>
    <w:lvl w:ilvl="8">
      <w:start w:val="1"/>
      <w:numFmt w:val="decimal"/>
      <w:lvlText w:val="%1.%2.%3.%4.%5.%6.%7.%8.%9"/>
      <w:lvlJc w:val="start"/>
      <w:pPr>
        <w:tabs>
          <w:tab w:val="num" w:pos="0"/>
        </w:tabs>
        <w:ind w:start="2160" w:hanging="1440"/>
      </w:pPr>
      <w:rPr>
        <w:b/>
      </w:rPr>
    </w:lvl>
  </w:abstractNum>
  <w:abstractNum w:abstractNumId="3">
    <w:lvl w:ilvl="0">
      <w:start w:val="5"/>
      <w:numFmt w:val="decimal"/>
      <w:lvlText w:val="%1"/>
      <w:lvlJc w:val="start"/>
      <w:pPr>
        <w:tabs>
          <w:tab w:val="num" w:pos="0"/>
        </w:tabs>
        <w:ind w:start="720" w:hanging="360"/>
      </w:pPr>
      <w:rPr/>
    </w:lvl>
  </w:abstractNum>
  <w:abstractNum w:abstractNumId="4">
    <w:lvl w:ilvl="0">
      <w:start w:val="8"/>
      <w:numFmt w:val="lowerLetter"/>
      <w:lvlText w:val="%1)"/>
      <w:lvlJc w:val="start"/>
      <w:pPr>
        <w:tabs>
          <w:tab w:val="num" w:pos="0"/>
        </w:tabs>
        <w:ind w:start="720" w:hanging="360"/>
      </w:pPr>
      <w:rPr/>
    </w:lvl>
  </w:abstractNum>
  <w:abstractNum w:abstractNumId="5">
    <w:lvl w:ilvl="0">
      <w:start w:val="1"/>
      <w:numFmt w:val="decimal"/>
      <w:lvlText w:val="%1"/>
      <w:lvlJc w:val="start"/>
      <w:pPr>
        <w:tabs>
          <w:tab w:val="num" w:pos="0"/>
        </w:tabs>
        <w:ind w:start="720" w:hanging="360"/>
      </w:pPr>
      <w:rPr/>
    </w:lvl>
  </w:abstractNum>
  <w:abstractNum w:abstractNumId="6">
    <w:lvl w:ilvl="0">
      <w:start w:val="1"/>
      <w:numFmt w:val="lowerLetter"/>
      <w:lvlText w:val="%1)"/>
      <w:lvlJc w:val="start"/>
      <w:pPr>
        <w:tabs>
          <w:tab w:val="num" w:pos="0"/>
        </w:tabs>
        <w:ind w:start="720" w:hanging="360"/>
      </w:pPr>
      <w:rPr>
        <w:rFonts w:ascii="Calibri" w:hAnsi="Calibri" w:cs="Calibri"/>
        <w:color w:val="000000"/>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3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76"/>
    </w:pPr>
    <w:rPr>
      <w:rFonts w:ascii="Calibri" w:hAnsi="Calibri" w:eastAsia="Calibri" w:cs="Times New Roman"/>
      <w:color w:val="auto"/>
      <w:sz w:val="22"/>
      <w:szCs w:val="22"/>
      <w:lang w:val="en-US" w:bidi="ar-SA" w:eastAsia="zh-CN"/>
    </w:rPr>
  </w:style>
  <w:style w:type="paragraph" w:styleId="Heading1">
    <w:name w:val="Heading 1"/>
    <w:basedOn w:val="Normal"/>
    <w:next w:val="Normal"/>
    <w:qFormat/>
    <w:pPr>
      <w:keepNext w:val="true"/>
      <w:keepLines/>
      <w:numPr>
        <w:ilvl w:val="0"/>
        <w:numId w:val="1"/>
      </w:numPr>
      <w:spacing w:lineRule="auto" w:line="240" w:before="480" w:after="0"/>
      <w:outlineLvl w:val="0"/>
    </w:pPr>
    <w:rPr>
      <w:rFonts w:ascii="Calibri Light" w:hAnsi="Calibri Light" w:eastAsia="Times New Roman" w:cs="Calibri Light"/>
      <w:b/>
      <w:bCs/>
      <w:color w:val="2E74B5"/>
      <w:sz w:val="28"/>
      <w:szCs w:val="28"/>
    </w:rPr>
  </w:style>
  <w:style w:type="paragraph" w:styleId="Heading2">
    <w:name w:val="Heading 2"/>
    <w:basedOn w:val="Normal"/>
    <w:next w:val="BodyText"/>
    <w:qFormat/>
    <w:pPr>
      <w:numPr>
        <w:ilvl w:val="1"/>
        <w:numId w:val="1"/>
      </w:numPr>
      <w:spacing w:lineRule="auto" w:line="240" w:before="280" w:after="280"/>
      <w:outlineLvl w:val="1"/>
    </w:pPr>
    <w:rPr>
      <w:rFonts w:ascii="Times New Roman" w:hAnsi="Times New Roman" w:eastAsia="Times New Roman" w:cs="Times New Roman"/>
      <w:b/>
      <w:bCs/>
      <w:sz w:val="36"/>
      <w:szCs w:val="36"/>
    </w:rPr>
  </w:style>
  <w:style w:type="character" w:styleId="WW8Num2z0">
    <w:name w:val="WW8Num2z0"/>
    <w:qFormat/>
    <w:rPr>
      <w:b/>
    </w:rPr>
  </w:style>
  <w:style w:type="character" w:styleId="WW8Num3z0">
    <w:name w:val="WW8Num3z0"/>
    <w:qFormat/>
    <w:rPr/>
  </w:style>
  <w:style w:type="character" w:styleId="WW8Num4z0">
    <w:name w:val="WW8Num4z0"/>
    <w:qFormat/>
    <w:rPr/>
  </w:style>
  <w:style w:type="character" w:styleId="WW8Num5z0">
    <w:name w:val="WW8Num5z0"/>
    <w:qFormat/>
    <w:rPr>
      <w:b w:val="false"/>
      <w:bCs w:val="false"/>
      <w:sz w:val="22"/>
      <w:szCs w:val="22"/>
    </w:rPr>
  </w:style>
  <w:style w:type="character" w:styleId="WW8Num6z0">
    <w:name w:val="WW8Num6z0"/>
    <w:qFormat/>
    <w:rPr/>
  </w:style>
  <w:style w:type="character" w:styleId="WW8Num7z0">
    <w:name w:val="WW8Num7z0"/>
    <w:qFormat/>
    <w:rPr/>
  </w:style>
  <w:style w:type="character" w:styleId="WW8Num8z0">
    <w:name w:val="WW8Num8z0"/>
    <w:qFormat/>
    <w:rPr/>
  </w:style>
  <w:style w:type="character" w:styleId="WW8Num9z0">
    <w:name w:val="WW8Num9z0"/>
    <w:qFormat/>
    <w:rPr/>
  </w:style>
  <w:style w:type="character" w:styleId="WW8Num10z0">
    <w:name w:val="WW8Num10z0"/>
    <w:qFormat/>
    <w:rPr/>
  </w:style>
  <w:style w:type="character" w:styleId="WW8Num11z0">
    <w:name w:val="WW8Num11z0"/>
    <w:qFormat/>
    <w:rPr>
      <w:rFonts w:ascii="Symbol" w:hAnsi="Symbol" w:cs="Symbol"/>
      <w:sz w:val="20"/>
    </w:rPr>
  </w:style>
  <w:style w:type="character" w:styleId="WW8Num11z1">
    <w:name w:val="WW8Num11z1"/>
    <w:qFormat/>
    <w:rPr>
      <w:rFonts w:ascii="Courier New" w:hAnsi="Courier New" w:cs="Courier New"/>
      <w:sz w:val="20"/>
    </w:rPr>
  </w:style>
  <w:style w:type="character" w:styleId="WW8Num11z2">
    <w:name w:val="WW8Num11z2"/>
    <w:qFormat/>
    <w:rPr>
      <w:rFonts w:ascii="Wingdings" w:hAnsi="Wingdings" w:cs="Wingdings"/>
      <w:sz w:val="20"/>
    </w:rPr>
  </w:style>
  <w:style w:type="character" w:styleId="WW8Num12z0">
    <w:name w:val="WW8Num12z0"/>
    <w:qFormat/>
    <w:rPr/>
  </w:style>
  <w:style w:type="character" w:styleId="WW8Num13z0">
    <w:name w:val="WW8Num13z0"/>
    <w:qFormat/>
    <w:rPr>
      <w:rFonts w:ascii="Symbol" w:hAnsi="Symbol" w:cs="Symbol"/>
      <w:sz w:val="20"/>
    </w:rPr>
  </w:style>
  <w:style w:type="character" w:styleId="WW8Num13z1">
    <w:name w:val="WW8Num13z1"/>
    <w:qFormat/>
    <w:rPr>
      <w:rFonts w:ascii="Courier New" w:hAnsi="Courier New" w:cs="Courier New"/>
      <w:sz w:val="20"/>
    </w:rPr>
  </w:style>
  <w:style w:type="character" w:styleId="WW8Num13z2">
    <w:name w:val="WW8Num13z2"/>
    <w:qFormat/>
    <w:rPr>
      <w:rFonts w:ascii="Wingdings" w:hAnsi="Wingdings" w:cs="Wingdings"/>
      <w:sz w:val="20"/>
    </w:rPr>
  </w:style>
  <w:style w:type="character" w:styleId="WW8Num14z0">
    <w:name w:val="WW8Num14z0"/>
    <w:qFormat/>
    <w:rPr>
      <w:rFonts w:ascii="Symbol" w:hAnsi="Symbol" w:cs="Symbol"/>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5z0">
    <w:name w:val="WW8Num15z0"/>
    <w:qFormat/>
    <w:rPr>
      <w:rFonts w:ascii="Calibri" w:hAnsi="Calibri" w:cs="Calibri"/>
      <w:color w:val="000000"/>
    </w:rPr>
  </w:style>
  <w:style w:type="character" w:styleId="Fontepargpadro">
    <w:name w:val="Fonte parág. padrão"/>
    <w:qFormat/>
    <w:rPr/>
  </w:style>
  <w:style w:type="character" w:styleId="Ttulo1Char">
    <w:name w:val="Título 1 Char"/>
    <w:qFormat/>
    <w:rPr>
      <w:rFonts w:ascii="Calibri Light" w:hAnsi="Calibri Light" w:eastAsia="Times New Roman" w:cs="Calibri Light"/>
      <w:b/>
      <w:bCs/>
      <w:color w:val="2E74B5"/>
      <w:sz w:val="28"/>
      <w:szCs w:val="28"/>
    </w:rPr>
  </w:style>
  <w:style w:type="character" w:styleId="Ttulo2Char">
    <w:name w:val="Título 2 Char"/>
    <w:qFormat/>
    <w:rPr>
      <w:rFonts w:ascii="Times New Roman" w:hAnsi="Times New Roman" w:eastAsia="Times New Roman" w:cs="Times New Roman"/>
      <w:b/>
      <w:bCs/>
      <w:sz w:val="36"/>
      <w:szCs w:val="36"/>
    </w:rPr>
  </w:style>
  <w:style w:type="character" w:styleId="CabealhoChar">
    <w:name w:val="Cabeçalho Char"/>
    <w:basedOn w:val="Fontepargpadro"/>
    <w:qFormat/>
    <w:rPr/>
  </w:style>
  <w:style w:type="character" w:styleId="RodapChar">
    <w:name w:val="Rodapé Char"/>
    <w:basedOn w:val="Fontepargpadro"/>
    <w:qFormat/>
    <w:rPr/>
  </w:style>
  <w:style w:type="character" w:styleId="TextodebaloChar">
    <w:name w:val="Texto de balão Char"/>
    <w:qFormat/>
    <w:rPr>
      <w:rFonts w:ascii="Tahoma" w:hAnsi="Tahoma" w:cs="Tahoma"/>
      <w:sz w:val="16"/>
      <w:szCs w:val="16"/>
    </w:rPr>
  </w:style>
  <w:style w:type="character" w:styleId="Corpodetexto3Char">
    <w:name w:val="Corpo de texto 3 Char"/>
    <w:qFormat/>
    <w:rPr>
      <w:rFonts w:ascii="Antique Olive" w:hAnsi="Antique Olive" w:eastAsia="Times New Roman" w:cs="Antique Olive"/>
      <w:b/>
      <w:sz w:val="22"/>
    </w:rPr>
  </w:style>
  <w:style w:type="character" w:styleId="RecuodecorpodetextoChar">
    <w:name w:val="Recuo de corpo de texto Char"/>
    <w:qFormat/>
    <w:rPr>
      <w:sz w:val="22"/>
      <w:szCs w:val="22"/>
      <w:lang w:val="en-US"/>
    </w:rPr>
  </w:style>
  <w:style w:type="character" w:styleId="CorpodetextoChar">
    <w:name w:val="Corpo de texto Char"/>
    <w:qFormat/>
    <w:rPr>
      <w:sz w:val="22"/>
      <w:szCs w:val="22"/>
      <w:lang w:val="en-US"/>
    </w:rPr>
  </w:style>
  <w:style w:type="character" w:styleId="Recuodecorpodetexto2Char">
    <w:name w:val="Recuo de corpo de texto 2 Char"/>
    <w:qFormat/>
    <w:rPr>
      <w:rFonts w:ascii="Times New Roman" w:hAnsi="Times New Roman" w:eastAsia="Times New Roman" w:cs="Times New Roman"/>
    </w:rPr>
  </w:style>
  <w:style w:type="character" w:styleId="Recuodecorpodetexto3Char">
    <w:name w:val="Recuo de corpo de texto 3 Char"/>
    <w:qFormat/>
    <w:rPr>
      <w:rFonts w:ascii="Times New Roman" w:hAnsi="Times New Roman" w:eastAsia="Times New Roman" w:cs="Times New Roman"/>
      <w:sz w:val="16"/>
      <w:szCs w:val="16"/>
    </w:rPr>
  </w:style>
  <w:style w:type="character" w:styleId="Corpodetexto2Char">
    <w:name w:val="Corpo de texto 2 Char"/>
    <w:qFormat/>
    <w:rPr>
      <w:rFonts w:ascii="Times New Roman" w:hAnsi="Times New Roman" w:eastAsia="Times New Roman" w:cs="Times New Roman"/>
    </w:rPr>
  </w:style>
  <w:style w:type="character" w:styleId="TextodenotaderodapChar">
    <w:name w:val="Texto de nota de rodapé Char"/>
    <w:qFormat/>
    <w:rPr>
      <w:rFonts w:ascii="Times New Roman" w:hAnsi="Times New Roman" w:eastAsia="Times New Roman" w:cs="Times New Roman"/>
    </w:rPr>
  </w:style>
  <w:style w:type="character" w:styleId="FootnoteCharacters">
    <w:name w:val="Footnote Characters"/>
    <w:qFormat/>
    <w:rPr>
      <w:vertAlign w:val="superscript"/>
    </w:rPr>
  </w:style>
  <w:style w:type="character" w:styleId="Hyperlink">
    <w:name w:val="Hyperlink"/>
    <w:rPr>
      <w:color w:val="0000FF"/>
      <w:u w:val="single"/>
    </w:rPr>
  </w:style>
  <w:style w:type="character" w:styleId="grame">
    <w:name w:val="grame"/>
    <w:qFormat/>
    <w:rPr/>
  </w:style>
  <w:style w:type="character" w:styleId="Strong">
    <w:name w:val="Strong"/>
    <w:qFormat/>
    <w:rPr>
      <w:b/>
      <w:bCs/>
    </w:rPr>
  </w:style>
  <w:style w:type="character" w:styleId="Emphasis">
    <w:name w:val="Emphasis"/>
    <w:qFormat/>
    <w:rPr>
      <w:i/>
      <w:iCs/>
    </w:rPr>
  </w:style>
  <w:style w:type="character" w:styleId="apple-converted-space">
    <w:name w:val="apple-converted-space"/>
    <w:basedOn w:val="Fontepargpadro"/>
    <w:qFormat/>
    <w:rPr/>
  </w:style>
  <w:style w:type="character" w:styleId="adtext">
    <w:name w:val="adtext"/>
    <w:basedOn w:val="Fontepargpadro"/>
    <w:qFormat/>
    <w:rPr/>
  </w:style>
  <w:style w:type="character" w:styleId="titulopaginas">
    <w:name w:val="titulo_paginas"/>
    <w:basedOn w:val="Fontepargpadro"/>
    <w:qFormat/>
    <w:rPr/>
  </w:style>
  <w:style w:type="character" w:styleId="cite">
    <w:name w:val="cite"/>
    <w:basedOn w:val="Fontepargpadro"/>
    <w:qFormat/>
    <w:rPr/>
  </w:style>
  <w:style w:type="character" w:styleId="MenoPendente">
    <w:name w:val="Menção Pendente"/>
    <w:qFormat/>
    <w:rPr>
      <w:color w:val="605E5C"/>
      <w:shd w:fill="E1DFDD" w:val="clear"/>
    </w:rPr>
  </w:style>
  <w:style w:type="character" w:styleId="PargrafodaListaChar">
    <w:name w:val="Parágrafo da Lista Char"/>
    <w:qFormat/>
    <w:rPr>
      <w:sz w:val="22"/>
      <w:szCs w:val="22"/>
    </w:rPr>
  </w:style>
  <w:style w:type="character" w:styleId="Link">
    <w:name w:val="Link"/>
    <w:qFormat/>
    <w:rPr>
      <w:color w:val="0563C1"/>
      <w:u w:val="single" w:color="0563C1"/>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before="0" w:after="12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spacing w:lineRule="auto" w:line="240"/>
    </w:pPr>
    <w:rPr/>
  </w:style>
  <w:style w:type="paragraph" w:styleId="Footer">
    <w:name w:val="Footer"/>
    <w:basedOn w:val="Normal"/>
    <w:pPr>
      <w:spacing w:lineRule="auto" w:line="240"/>
    </w:pPr>
    <w:rPr/>
  </w:style>
  <w:style w:type="paragraph" w:styleId="Textodebalo">
    <w:name w:val="Texto de balão"/>
    <w:basedOn w:val="Normal"/>
    <w:qFormat/>
    <w:pPr>
      <w:spacing w:lineRule="auto" w:line="240"/>
    </w:pPr>
    <w:rPr>
      <w:rFonts w:ascii="Tahoma" w:hAnsi="Tahoma" w:cs="Tahoma"/>
      <w:sz w:val="16"/>
      <w:szCs w:val="16"/>
    </w:rPr>
  </w:style>
  <w:style w:type="paragraph" w:styleId="PARAGRAFO">
    <w:name w:val="PARAGRAFO"/>
    <w:qFormat/>
    <w:pPr>
      <w:widowControl w:val="false"/>
      <w:overflowPunct w:val="false"/>
      <w:autoSpaceDE w:val="false"/>
      <w:bidi w:val="0"/>
      <w:ind w:firstLine="3600" w:start="0" w:end="288"/>
      <w:jc w:val="both"/>
    </w:pPr>
    <w:rPr>
      <w:rFonts w:ascii="Arial" w:hAnsi="Arial" w:eastAsia="Times New Roman" w:cs="Arial"/>
      <w:color w:val="000000"/>
      <w:sz w:val="24"/>
      <w:szCs w:val="20"/>
      <w:lang w:val="pt-BR" w:bidi="ar-SA" w:eastAsia="zh-CN"/>
    </w:rPr>
  </w:style>
  <w:style w:type="paragraph" w:styleId="FREE">
    <w:name w:val="FREE"/>
    <w:qFormat/>
    <w:pPr>
      <w:widowControl w:val="false"/>
      <w:bidi w:val="0"/>
      <w:jc w:val="both"/>
    </w:pPr>
    <w:rPr>
      <w:rFonts w:ascii="Arial" w:hAnsi="Arial" w:eastAsia="Times New Roman" w:cs="Arial"/>
      <w:color w:val="000000"/>
      <w:sz w:val="24"/>
      <w:szCs w:val="20"/>
      <w:lang w:val="pt-BR" w:bidi="ar-SA" w:eastAsia="zh-CN"/>
    </w:rPr>
  </w:style>
  <w:style w:type="paragraph" w:styleId="Corpodetexto3">
    <w:name w:val="Corpo de texto 3"/>
    <w:basedOn w:val="Normal"/>
    <w:qFormat/>
    <w:pPr>
      <w:spacing w:lineRule="auto" w:line="360"/>
      <w:jc w:val="both"/>
    </w:pPr>
    <w:rPr>
      <w:rFonts w:ascii="Antique Olive" w:hAnsi="Antique Olive" w:eastAsia="Times New Roman" w:cs="Antique Olive"/>
      <w:b/>
      <w:szCs w:val="20"/>
    </w:rPr>
  </w:style>
  <w:style w:type="paragraph" w:styleId="BodyTextIndent">
    <w:name w:val="Body Text Indent"/>
    <w:basedOn w:val="Normal"/>
    <w:pPr>
      <w:spacing w:before="0" w:after="120"/>
      <w:ind w:hanging="0" w:start="283" w:end="0"/>
    </w:pPr>
    <w:rPr/>
  </w:style>
  <w:style w:type="paragraph" w:styleId="Corpodetexto21">
    <w:name w:val="Corpo de texto 21"/>
    <w:basedOn w:val="Normal"/>
    <w:qFormat/>
    <w:pPr>
      <w:suppressAutoHyphens w:val="true"/>
      <w:spacing w:lineRule="auto" w:line="240"/>
      <w:ind w:firstLine="1418" w:start="0" w:end="0"/>
      <w:jc w:val="both"/>
    </w:pPr>
    <w:rPr>
      <w:rFonts w:ascii="Times New Roman" w:hAnsi="Times New Roman" w:eastAsia="Times New Roman" w:cs="Times New Roman"/>
      <w:sz w:val="28"/>
      <w:szCs w:val="20"/>
      <w:lang w:val="pt-BR"/>
    </w:rPr>
  </w:style>
  <w:style w:type="paragraph" w:styleId="PADRAO">
    <w:name w:val="PADRAO"/>
    <w:qFormat/>
    <w:pPr>
      <w:widowControl w:val="false"/>
      <w:bidi w:val="0"/>
      <w:jc w:val="both"/>
    </w:pPr>
    <w:rPr>
      <w:rFonts w:ascii="Arial" w:hAnsi="Arial" w:eastAsia="Times New Roman" w:cs="Arial"/>
      <w:color w:val="000000"/>
      <w:sz w:val="24"/>
      <w:szCs w:val="20"/>
      <w:lang w:val="pt-BR" w:bidi="ar-SA" w:eastAsia="zh-CN"/>
    </w:rPr>
  </w:style>
  <w:style w:type="paragraph" w:styleId="Recuodecorpodetexto2">
    <w:name w:val="Recuo de corpo de texto 2"/>
    <w:basedOn w:val="Normal"/>
    <w:qFormat/>
    <w:pPr>
      <w:spacing w:lineRule="auto" w:line="480" w:before="0" w:after="120"/>
      <w:ind w:hanging="0" w:start="283" w:end="0"/>
    </w:pPr>
    <w:rPr>
      <w:rFonts w:ascii="Times New Roman" w:hAnsi="Times New Roman" w:eastAsia="Times New Roman" w:cs="Times New Roman"/>
      <w:sz w:val="20"/>
      <w:szCs w:val="20"/>
    </w:rPr>
  </w:style>
  <w:style w:type="paragraph" w:styleId="Recuodecorpodetexto3">
    <w:name w:val="Recuo de corpo de texto 3"/>
    <w:basedOn w:val="Normal"/>
    <w:qFormat/>
    <w:pPr>
      <w:spacing w:lineRule="auto" w:line="240" w:before="0" w:after="120"/>
      <w:ind w:hanging="0" w:start="283" w:end="0"/>
    </w:pPr>
    <w:rPr>
      <w:rFonts w:ascii="Times New Roman" w:hAnsi="Times New Roman" w:eastAsia="Times New Roman" w:cs="Times New Roman"/>
      <w:sz w:val="16"/>
      <w:szCs w:val="16"/>
    </w:rPr>
  </w:style>
  <w:style w:type="paragraph" w:styleId="Corpodetexto2">
    <w:name w:val="Corpo de texto 2"/>
    <w:basedOn w:val="Normal"/>
    <w:qFormat/>
    <w:pPr>
      <w:spacing w:lineRule="auto" w:line="480" w:before="0" w:after="120"/>
    </w:pPr>
    <w:rPr>
      <w:rFonts w:ascii="Times New Roman" w:hAnsi="Times New Roman" w:eastAsia="Times New Roman" w:cs="Times New Roman"/>
      <w:sz w:val="20"/>
      <w:szCs w:val="20"/>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lang w:val="pt-BR"/>
    </w:rPr>
  </w:style>
  <w:style w:type="paragraph" w:styleId="FootnoteText">
    <w:name w:val="Footnote Text"/>
    <w:basedOn w:val="Normal"/>
    <w:pPr>
      <w:spacing w:lineRule="auto" w:line="240"/>
    </w:pPr>
    <w:rPr>
      <w:rFonts w:ascii="Times New Roman" w:hAnsi="Times New Roman" w:eastAsia="Times New Roman" w:cs="Times New Roman"/>
      <w:sz w:val="20"/>
      <w:szCs w:val="20"/>
    </w:rPr>
  </w:style>
  <w:style w:type="paragraph" w:styleId="Recuodecorpodetexto22">
    <w:name w:val="Recuo de corpo de texto 22"/>
    <w:basedOn w:val="Normal"/>
    <w:qFormat/>
    <w:pPr>
      <w:suppressAutoHyphens w:val="true"/>
      <w:spacing w:lineRule="auto" w:line="480" w:before="0" w:after="120"/>
      <w:ind w:hanging="0" w:start="283" w:end="0"/>
    </w:pPr>
    <w:rPr>
      <w:rFonts w:ascii="Times New Roman" w:hAnsi="Times New Roman" w:eastAsia="Times New Roman" w:cs="Times New Roman"/>
      <w:sz w:val="24"/>
      <w:szCs w:val="24"/>
      <w:lang w:val="pt-BR"/>
    </w:rPr>
  </w:style>
  <w:style w:type="paragraph" w:styleId="corpo">
    <w:name w:val="corpo"/>
    <w:basedOn w:val="Normal"/>
    <w:qFormat/>
    <w:pPr>
      <w:spacing w:lineRule="auto" w:line="240" w:before="280" w:after="280"/>
    </w:pPr>
    <w:rPr>
      <w:rFonts w:ascii="Times New Roman" w:hAnsi="Times New Roman" w:eastAsia="Times New Roman" w:cs="Times New Roman"/>
      <w:sz w:val="24"/>
      <w:szCs w:val="24"/>
      <w:lang w:val="pt-BR"/>
    </w:rPr>
  </w:style>
  <w:style w:type="paragraph" w:styleId="PargrafodaLista">
    <w:name w:val="Parágrafo da Lista"/>
    <w:basedOn w:val="Normal"/>
    <w:qFormat/>
    <w:pPr>
      <w:spacing w:lineRule="auto" w:line="256" w:before="0" w:after="160"/>
      <w:ind w:hanging="0" w:start="720" w:end="0"/>
      <w:contextualSpacing/>
    </w:pPr>
    <w:rPr>
      <w:lang w:val="pt-BR"/>
    </w:rPr>
  </w:style>
  <w:style w:type="paragraph" w:styleId="spip">
    <w:name w:val="spip"/>
    <w:basedOn w:val="Normal"/>
    <w:qFormat/>
    <w:pPr>
      <w:spacing w:lineRule="auto" w:line="240" w:before="280" w:after="280"/>
    </w:pPr>
    <w:rPr>
      <w:rFonts w:ascii="Times New Roman" w:hAnsi="Times New Roman" w:eastAsia="Times New Roman" w:cs="Times New Roman"/>
      <w:sz w:val="24"/>
      <w:szCs w:val="24"/>
      <w:lang w:val="pt-BR"/>
    </w:rPr>
  </w:style>
  <w:style w:type="paragraph" w:styleId="temapn">
    <w:name w:val="temapn"/>
    <w:basedOn w:val="Normal"/>
    <w:qFormat/>
    <w:pPr>
      <w:spacing w:lineRule="auto" w:line="240" w:before="280" w:after="280"/>
    </w:pPr>
    <w:rPr>
      <w:rFonts w:ascii="Times New Roman" w:hAnsi="Times New Roman" w:eastAsia="Times New Roman" w:cs="Times New Roman"/>
      <w:sz w:val="24"/>
      <w:szCs w:val="24"/>
      <w:lang w:val="pt-BR"/>
    </w:rPr>
  </w:style>
  <w:style w:type="paragraph" w:styleId="textoenun">
    <w:name w:val="textoenun"/>
    <w:basedOn w:val="Normal"/>
    <w:qFormat/>
    <w:pPr>
      <w:spacing w:lineRule="auto" w:line="240" w:before="280" w:after="280"/>
    </w:pPr>
    <w:rPr>
      <w:rFonts w:ascii="Times New Roman" w:hAnsi="Times New Roman" w:eastAsia="Times New Roman" w:cs="Times New Roman"/>
      <w:sz w:val="24"/>
      <w:szCs w:val="24"/>
      <w:lang w:val="pt-BR"/>
    </w:rPr>
  </w:style>
  <w:style w:type="paragraph" w:styleId="Style12">
    <w:name w:val="Style 1"/>
    <w:qFormat/>
    <w:pPr>
      <w:widowControl w:val="false"/>
      <w:autoSpaceDE w:val="false"/>
      <w:bidi w:val="0"/>
    </w:pPr>
    <w:rPr>
      <w:rFonts w:ascii="Times New Roman" w:hAnsi="Times New Roman" w:eastAsia="Times New Roman" w:cs="Times New Roman"/>
      <w:color w:val="auto"/>
      <w:sz w:val="20"/>
      <w:szCs w:val="20"/>
      <w:lang w:val="pt-BR" w:bidi="ar-SA" w:eastAsia="zh-CN"/>
    </w:rPr>
  </w:style>
  <w:style w:type="paragraph" w:styleId="p2">
    <w:name w:val="p2"/>
    <w:basedOn w:val="Normal"/>
    <w:qFormat/>
    <w:pPr>
      <w:widowControl w:val="false"/>
      <w:autoSpaceDE w:val="false"/>
      <w:spacing w:lineRule="atLeast" w:line="272"/>
    </w:pPr>
    <w:rPr>
      <w:rFonts w:ascii="Times New Roman" w:hAnsi="Times New Roman" w:eastAsia="Times New Roman" w:cs="Times New Roman"/>
      <w:sz w:val="24"/>
      <w:szCs w:val="24"/>
    </w:rPr>
  </w:style>
  <w:style w:type="paragraph" w:styleId="Pa3">
    <w:name w:val="Pa3"/>
    <w:basedOn w:val="Normal"/>
    <w:next w:val="Normal"/>
    <w:qFormat/>
    <w:pPr>
      <w:autoSpaceDE w:val="false"/>
      <w:spacing w:lineRule="atLeast" w:line="241"/>
    </w:pPr>
    <w:rPr>
      <w:rFonts w:ascii="Helvetica" w:hAnsi="Helvetica" w:eastAsia="Times New Roman" w:cs="Helvetica"/>
      <w:sz w:val="20"/>
      <w:szCs w:val="24"/>
      <w:lang w:val="pt-BR"/>
    </w:rPr>
  </w:style>
  <w:style w:type="paragraph" w:styleId="Padro">
    <w:name w:val="Padrão"/>
    <w:qFormat/>
    <w:pPr>
      <w:widowControl w:val="false"/>
      <w:tabs>
        <w:tab w:val="clear" w:pos="720"/>
        <w:tab w:val="left" w:pos="708" w:leader="none"/>
      </w:tabs>
      <w:suppressAutoHyphens w:val="true"/>
      <w:bidi w:val="0"/>
      <w:spacing w:lineRule="auto" w:line="276" w:before="0" w:after="200"/>
    </w:pPr>
    <w:rPr>
      <w:rFonts w:ascii="Times New Roman" w:hAnsi="Times New Roman" w:eastAsia="Lucida Sans Unicode" w:cs="Tahoma"/>
      <w:color w:val="00000A"/>
      <w:sz w:val="24"/>
      <w:szCs w:val="24"/>
      <w:lang w:val="pt-BR" w:eastAsia="zh-CN" w:bidi="hi-IN"/>
    </w:rPr>
  </w:style>
  <w:style w:type="paragraph" w:styleId="cab">
    <w:name w:val="cab"/>
    <w:basedOn w:val="Normal"/>
    <w:qFormat/>
    <w:pPr>
      <w:spacing w:lineRule="auto" w:line="240" w:before="280" w:after="280"/>
    </w:pPr>
    <w:rPr>
      <w:rFonts w:ascii="Times New Roman" w:hAnsi="Times New Roman" w:eastAsia="Times New Roman" w:cs="Times New Roman"/>
      <w:sz w:val="24"/>
      <w:szCs w:val="24"/>
      <w:lang w:val="pt-BR"/>
    </w:rPr>
  </w:style>
  <w:style w:type="paragraph" w:styleId="par">
    <w:name w:val="par"/>
    <w:basedOn w:val="Normal"/>
    <w:qFormat/>
    <w:pPr>
      <w:spacing w:lineRule="auto" w:line="240" w:before="280" w:after="280"/>
    </w:pPr>
    <w:rPr>
      <w:rFonts w:ascii="Times New Roman" w:hAnsi="Times New Roman" w:eastAsia="Times New Roman" w:cs="Times New Roman"/>
      <w:sz w:val="24"/>
      <w:szCs w:val="24"/>
      <w:lang w:val="pt-BR"/>
    </w:rPr>
  </w:style>
  <w:style w:type="paragraph" w:styleId="Default">
    <w:name w:val="Default"/>
    <w:qFormat/>
    <w:pPr>
      <w:widowControl/>
      <w:autoSpaceDE w:val="false"/>
      <w:bidi w:val="0"/>
    </w:pPr>
    <w:rPr>
      <w:rFonts w:ascii="Calibri" w:hAnsi="Calibri" w:eastAsia="Calibri" w:cs="Calibri"/>
      <w:color w:val="000000"/>
      <w:sz w:val="24"/>
      <w:szCs w:val="24"/>
      <w:lang w:val="pt-BR" w:bidi="ar-SA" w:eastAsia="zh-CN"/>
    </w:rPr>
  </w:style>
  <w:style w:type="paragraph" w:styleId="TextBody">
    <w:name w:val="Text Body"/>
    <w:basedOn w:val="Normal"/>
    <w:qFormat/>
    <w:pPr>
      <w:widowControl w:val="false"/>
      <w:suppressAutoHyphens w:val="true"/>
      <w:spacing w:lineRule="auto" w:line="360" w:before="397" w:after="397"/>
      <w:jc w:val="both"/>
    </w:pPr>
    <w:rPr>
      <w:rFonts w:ascii="Times New Roman" w:hAnsi="Times New Roman" w:eastAsia="Times New Roman" w:cs="Times New Roman"/>
      <w:sz w:val="24"/>
      <w:szCs w:val="24"/>
      <w:lang w:val="pt-BR" w:eastAsia="zh-CN" w:bidi="hi-IN"/>
    </w:rPr>
  </w:style>
  <w:style w:type="paragraph" w:styleId="artigo">
    <w:name w:val="artigo"/>
    <w:basedOn w:val="Normal"/>
    <w:qFormat/>
    <w:pPr>
      <w:spacing w:lineRule="auto" w:line="240" w:before="280" w:after="280"/>
    </w:pPr>
    <w:rPr>
      <w:rFonts w:ascii="Times New Roman" w:hAnsi="Times New Roman" w:eastAsia="Times New Roman" w:cs="Times New Roman"/>
      <w:sz w:val="24"/>
      <w:szCs w:val="24"/>
      <w:lang w:val="pt-BR"/>
    </w:rPr>
  </w:style>
  <w:style w:type="paragraph" w:styleId="Pargrafo">
    <w:name w:val="Parágrafo"/>
    <w:basedOn w:val="Normal"/>
    <w:qFormat/>
    <w:pPr>
      <w:widowControl w:val="false"/>
      <w:spacing w:lineRule="auto" w:line="240"/>
      <w:ind w:firstLine="3515" w:start="0" w:end="0"/>
      <w:jc w:val="both"/>
    </w:pPr>
    <w:rPr>
      <w:rFonts w:ascii="Bookman Old Style" w:hAnsi="Bookman Old Style" w:eastAsia="Times New Roman" w:cs="Bookman Old Style"/>
      <w:sz w:val="24"/>
      <w:szCs w:val="20"/>
      <w:lang w:val="pt-BR"/>
    </w:rPr>
  </w:style>
  <w:style w:type="paragraph" w:styleId="BlockQuote">
    <w:name w:val="Block Quote"/>
    <w:basedOn w:val="Normal"/>
    <w:next w:val="Normal"/>
    <w:qFormat/>
    <w:pPr>
      <w:spacing w:lineRule="auto" w:line="240" w:before="100" w:after="100"/>
    </w:pPr>
    <w:rPr>
      <w:rFonts w:eastAsia="Times New Roman"/>
      <w:bCs/>
      <w:sz w:val="20"/>
      <w:szCs w:val="20"/>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juridico@bentesramos.adv.br" TargetMode="External"/><Relationship Id="rId3" Type="http://schemas.openxmlformats.org/officeDocument/2006/relationships/hyperlink" Target="mailto:juridico@bentesramos.adv.br" TargetMode="Externa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s>
</file>

<file path=word/_rels/header1.xml.rels><?xml version="1.0" encoding="UTF-8"?><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2026-03-02T20:58:00Z</dcterms:created>
  <dc:creator>arte-02</dc:creator>
  <dc:description/>
  <cp:keywords/>
  <dc:language>en-US</dc:language>
  <cp:lastModifiedBy>Andrey Ramos</cp:lastModifiedBy>
  <cp:lastPrinted>2026-01-15T20:11:00Z</cp:lastPrinted>
  <dcterms:modified xsi:type="dcterms:W3CDTF">2026-03-02T20:58:00Z</dcterms:modified>
  <cp:revision>3</cp:revision>
  <dc:subject/>
  <dc:title/>
</cp:coreProperties>
</file>