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_rels/header1.xml.rels" ContentType="application/vnd.openxmlformats-package.relationships+xml"/>
  <Override PartName="/word/_rels/document.xml.rels" ContentType="application/vnd.openxmlformats-package.relationships+xml"/>
  <Override PartName="/word/media/image1.jpeg" ContentType="image/jpeg"/>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00"/>
        <w:jc w:val="both"/>
        <w:rPr/>
      </w:pPr>
      <w:r>
        <w:rPr>
          <w:rFonts w:cs="Calibri"/>
          <w:b/>
          <w:lang w:val="pt-BR"/>
        </w:rPr>
        <w:t>EXCELENTÍSSIMO(A) SENHOR(A) DOUTOR(A) JUIZ(A) DE DIREITO DA M.M. {{VARA_JUIZO}}</w:t>
      </w:r>
    </w:p>
    <w:p>
      <w:pPr>
        <w:pStyle w:val="Normal"/>
        <w:spacing w:lineRule="auto" w:line="300"/>
        <w:jc w:val="both"/>
        <w:rPr>
          <w:rFonts w:cs="Calibri"/>
          <w:b/>
          <w:lang w:val="pt-BR"/>
        </w:rPr>
      </w:pPr>
      <w:r>
        <w:rPr>
          <w:rFonts w:cs="Calibri"/>
          <w:b/>
          <w:lang w:val="pt-BR"/>
        </w:rPr>
      </w:r>
    </w:p>
    <w:p>
      <w:pPr>
        <w:pStyle w:val="Normal"/>
        <w:spacing w:lineRule="auto" w:line="300"/>
        <w:jc w:val="both"/>
        <w:rPr>
          <w:rFonts w:cs="Calibri"/>
          <w:b/>
          <w:lang w:val="pt-BR"/>
        </w:rPr>
      </w:pPr>
      <w:r>
        <w:rPr>
          <w:rFonts w:cs="Calibri"/>
          <w:b/>
          <w:lang w:val="pt-BR"/>
        </w:rPr>
      </w:r>
    </w:p>
    <w:p>
      <w:pPr>
        <w:pStyle w:val="Normal"/>
        <w:spacing w:lineRule="auto" w:line="300"/>
        <w:jc w:val="both"/>
        <w:rPr>
          <w:rFonts w:cs="Calibri"/>
          <w:b/>
          <w:lang w:val="pt-BR"/>
        </w:rPr>
      </w:pPr>
      <w:r>
        <w:rPr>
          <w:rFonts w:cs="Calibri"/>
          <w:b/>
          <w:lang w:val="pt-BR"/>
        </w:rPr>
      </w:r>
    </w:p>
    <w:p>
      <w:pPr>
        <w:pStyle w:val="Normal"/>
        <w:spacing w:lineRule="auto" w:line="300"/>
        <w:jc w:val="both"/>
        <w:rPr>
          <w:rFonts w:cs="Calibri"/>
          <w:b/>
          <w:lang w:val="pt-BR"/>
        </w:rPr>
      </w:pPr>
      <w:r>
        <w:rPr>
          <w:rFonts w:cs="Calibri"/>
          <w:b/>
          <w:lang w:val="pt-BR"/>
        </w:rPr>
      </w:r>
    </w:p>
    <w:p>
      <w:pPr>
        <w:pStyle w:val="Normal"/>
        <w:spacing w:lineRule="auto" w:line="300"/>
        <w:jc w:val="both"/>
        <w:rPr>
          <w:rFonts w:cs="Calibri"/>
          <w:b/>
          <w:lang w:val="pt-BR"/>
        </w:rPr>
      </w:pPr>
      <w:r>
        <w:rPr>
          <w:rFonts w:cs="Calibri"/>
          <w:b/>
          <w:lang w:val="pt-BR"/>
        </w:rPr>
      </w:r>
    </w:p>
    <w:p>
      <w:pPr>
        <w:pStyle w:val="Default"/>
        <w:spacing w:lineRule="auto" w:line="300"/>
        <w:ind w:firstLine="2835" w:end="0"/>
        <w:jc w:val="both"/>
        <w:rPr>
          <w:rFonts w:cs="Calibri"/>
          <w:b/>
          <w:sz w:val="22"/>
          <w:szCs w:val="22"/>
          <w:lang w:val="pt-BR"/>
        </w:rPr>
      </w:pPr>
      <w:r>
        <w:rPr>
          <w:rFonts w:cs="Calibri"/>
          <w:b/>
          <w:sz w:val="22"/>
          <w:szCs w:val="22"/>
          <w:lang w:val="pt-BR"/>
        </w:rPr>
      </w:r>
    </w:p>
    <w:p>
      <w:pPr>
        <w:pStyle w:val="Default"/>
        <w:spacing w:lineRule="auto" w:line="300"/>
        <w:ind w:firstLine="2835" w:end="0"/>
        <w:jc w:val="both"/>
        <w:rPr>
          <w:b/>
          <w:sz w:val="22"/>
          <w:szCs w:val="22"/>
        </w:rPr>
      </w:pPr>
      <w:r>
        <w:rPr>
          <w:b/>
          <w:sz w:val="22"/>
          <w:szCs w:val="22"/>
        </w:rPr>
      </w:r>
    </w:p>
    <w:p>
      <w:pPr>
        <w:pStyle w:val="Normal"/>
        <w:spacing w:lineRule="auto" w:line="300"/>
        <w:ind w:firstLine="1418" w:end="0"/>
        <w:jc w:val="both"/>
        <w:rPr>
          <w:rFonts w:cs="Calibri"/>
          <w:lang w:val="pt-BR"/>
        </w:rPr>
      </w:pPr>
      <w:r>
        <w:rPr>
          <w:rFonts w:cs="Calibri"/>
          <w:b/>
          <w:lang w:val="pt-BR"/>
        </w:rPr>
        <w:t xml:space="preserve">{{NOME_COMPLETO}}, </w:t>
      </w:r>
      <w:r>
        <w:rPr>
          <w:rFonts w:cs="Calibri"/>
          <w:lang w:val="pt-BR"/>
        </w:rPr>
        <w:t xml:space="preserve">{{QUALIFICACAO}}, detentora da cédula de identidade militar n° {{RG_MILITAR}} e do CPF n° {{CPF}}, residente e domiciliada na {{ENDERECO_CLIENTE}}, por seus advogados que esta subscrevem (procuração anexa), com escritório profissional a Rua Salvador, n˚ 120, sala 708, 7˚ andar – Edifício Vieiralves Business Center, bairro: Adrianópolis, Manaus/AM – Cep: 69.079-210 e e-mail: </w:t>
      </w:r>
      <w:hyperlink r:id="rId2">
        <w:r>
          <w:rPr>
            <w:rStyle w:val="Hyperlink"/>
            <w:rFonts w:cs="Calibri"/>
            <w:b/>
            <w:lang w:val="pt-BR"/>
          </w:rPr>
          <w:t>juridico@bentesramos.adv.br</w:t>
        </w:r>
      </w:hyperlink>
      <w:r>
        <w:rPr>
          <w:rFonts w:cs="Calibri"/>
          <w:b/>
          <w:lang w:val="pt-BR"/>
        </w:rPr>
        <w:t>,</w:t>
      </w:r>
      <w:r>
        <w:rPr>
          <w:rFonts w:cs="Calibri"/>
          <w:lang w:val="pt-BR"/>
        </w:rPr>
        <w:t xml:space="preserve"> onde recebem intimações e demais atos processuais, vem, respeitosamente, a presença de Vossa Excelência, propor a presente</w:t>
      </w:r>
    </w:p>
    <w:p>
      <w:pPr>
        <w:pStyle w:val="Normal"/>
        <w:spacing w:lineRule="auto" w:line="300"/>
        <w:jc w:val="both"/>
        <w:rPr>
          <w:rFonts w:cs="Calibri"/>
          <w:color w:val="000000"/>
          <w:lang w:val="pt-BR"/>
        </w:rPr>
      </w:pPr>
      <w:r>
        <w:rPr>
          <w:rFonts w:cs="Calibri"/>
          <w:color w:val="000000"/>
          <w:lang w:val="pt-BR"/>
        </w:rPr>
      </w:r>
    </w:p>
    <w:p>
      <w:pPr>
        <w:pStyle w:val="Normal"/>
        <w:pBdr>
          <w:top w:val="single" w:sz="12" w:space="1" w:color="000000" w:shadow="1"/>
          <w:left w:val="single" w:sz="12" w:space="4" w:color="000000" w:shadow="1"/>
          <w:bottom w:val="single" w:sz="12" w:space="1" w:color="000000" w:shadow="1"/>
          <w:right w:val="single" w:sz="12" w:space="4" w:color="000000" w:shadow="1"/>
        </w:pBdr>
        <w:shd w:fill="F2F2F2" w:val="clear"/>
        <w:spacing w:lineRule="auto" w:line="300"/>
        <w:jc w:val="center"/>
        <w:rPr>
          <w:rFonts w:cs="Calibri"/>
          <w:b/>
          <w:lang w:val="pt-BR"/>
        </w:rPr>
      </w:pPr>
      <w:r>
        <w:rPr>
          <w:rFonts w:cs="Calibri"/>
          <w:b/>
          <w:lang w:val="pt-BR"/>
        </w:rPr>
        <w:t>{{TIPO_ACAO}}</w:t>
      </w:r>
    </w:p>
    <w:p>
      <w:pPr>
        <w:pStyle w:val="Normal"/>
        <w:spacing w:lineRule="auto" w:line="300"/>
        <w:jc w:val="center"/>
        <w:rPr>
          <w:rFonts w:cs="Calibri"/>
          <w:b/>
          <w:color w:val="000000"/>
          <w:lang w:val="pt-BR"/>
        </w:rPr>
      </w:pPr>
      <w:r>
        <w:rPr>
          <w:rFonts w:cs="Calibri"/>
          <w:b/>
          <w:color w:val="000000"/>
          <w:lang w:val="pt-BR"/>
        </w:rPr>
      </w:r>
    </w:p>
    <w:p>
      <w:pPr>
        <w:pStyle w:val="Normal"/>
        <w:spacing w:lineRule="auto" w:line="300"/>
        <w:jc w:val="both"/>
        <w:rPr/>
      </w:pPr>
      <w:r>
        <w:rPr>
          <w:rFonts w:cs="Calibri"/>
          <w:lang w:val="pt-BR"/>
        </w:rPr>
        <w:t xml:space="preserve">em face de </w:t>
      </w:r>
      <w:r>
        <w:rPr>
          <w:rFonts w:cs="Calibri"/>
          <w:b/>
          <w:lang w:val="pt-BR"/>
        </w:rPr>
        <w:t>{{REU_NOME}}</w:t>
      </w:r>
      <w:r>
        <w:rPr>
          <w:rFonts w:cs="Calibri"/>
          <w:lang w:val="pt-BR"/>
        </w:rPr>
        <w:t>, pessoa jurídica de direito privado, devidamente inscrita no CNPJ sob o nº {{REU_CNPJ}}, com sede à Avenida Sete de Setembro, n° 895, bairro: Centro, Cep: 69.005-140, Manaus/AM</w:t>
      </w:r>
      <w:r>
        <w:rPr>
          <w:rFonts w:cs="Calibri"/>
          <w:color w:val="000000"/>
          <w:lang w:val="pt-BR"/>
        </w:rPr>
        <w:t xml:space="preserve">: </w:t>
      </w:r>
    </w:p>
    <w:p>
      <w:pPr>
        <w:pStyle w:val="Normal"/>
        <w:spacing w:lineRule="auto" w:line="300"/>
        <w:jc w:val="both"/>
        <w:rPr>
          <w:rFonts w:cs="Calibri"/>
          <w:color w:val="000000"/>
          <w:lang w:val="pt-BR"/>
        </w:rPr>
      </w:pPr>
      <w:r>
        <w:rPr>
          <w:rFonts w:cs="Calibri"/>
          <w:color w:val="000000"/>
          <w:lang w:val="pt-BR"/>
        </w:rPr>
      </w:r>
    </w:p>
    <w:p>
      <w:pPr>
        <w:pStyle w:val="PargrafodaLista"/>
        <w:numPr>
          <w:ilvl w:val="0"/>
          <w:numId w:val="2"/>
        </w:numPr>
        <w:pBdr>
          <w:top w:val="single" w:sz="12" w:space="1" w:color="000000" w:shadow="1"/>
          <w:left w:val="single" w:sz="12" w:space="4" w:color="000000" w:shadow="1"/>
          <w:bottom w:val="single" w:sz="12" w:space="1" w:color="000000" w:shadow="1"/>
          <w:right w:val="single" w:sz="12" w:space="4" w:color="000000" w:shadow="1"/>
        </w:pBdr>
        <w:shd w:fill="F2F2F2" w:val="clear"/>
        <w:spacing w:lineRule="auto" w:line="300" w:before="0" w:after="0"/>
        <w:ind w:hanging="142" w:start="142" w:end="0"/>
        <w:contextualSpacing/>
        <w:jc w:val="center"/>
        <w:rPr>
          <w:rFonts w:cs="Calibri"/>
          <w:b/>
          <w:color w:val="000000"/>
        </w:rPr>
      </w:pPr>
      <w:r>
        <w:rPr>
          <w:rFonts w:cs="Calibri"/>
          <w:b/>
          <w:color w:val="000000"/>
        </w:rPr>
        <w:t>– DOS REQUERIMENTOS PRÉVIOS</w:t>
      </w:r>
    </w:p>
    <w:p>
      <w:pPr>
        <w:pStyle w:val="Normal"/>
        <w:spacing w:lineRule="auto" w:line="300"/>
        <w:jc w:val="both"/>
        <w:rPr>
          <w:rFonts w:cs="Calibri"/>
          <w:b/>
          <w:color w:val="000000"/>
        </w:rPr>
      </w:pPr>
      <w:r>
        <w:rPr>
          <w:rFonts w:cs="Calibri"/>
          <w:b/>
          <w:color w:val="000000"/>
        </w:rPr>
      </w:r>
    </w:p>
    <w:p>
      <w:pPr>
        <w:pStyle w:val="Normal"/>
        <w:pBdr>
          <w:top w:val="single" w:sz="12" w:space="1" w:color="000000" w:shadow="1"/>
          <w:left w:val="single" w:sz="12" w:space="4" w:color="000000" w:shadow="1"/>
          <w:bottom w:val="single" w:sz="12" w:space="1" w:color="000000" w:shadow="1"/>
          <w:right w:val="single" w:sz="12" w:space="4" w:color="000000" w:shadow="1"/>
        </w:pBdr>
        <w:shd w:fill="F2F2F2" w:val="clear"/>
        <w:spacing w:lineRule="auto" w:line="300"/>
        <w:rPr/>
      </w:pPr>
      <w:r>
        <w:rPr>
          <w:rFonts w:cs="Calibri"/>
          <w:b/>
          <w:lang w:val="pt-BR"/>
        </w:rPr>
        <w:t>1.1 - DA CONCESSÃO DE JUSTIÇA GRATUITA</w:t>
      </w:r>
    </w:p>
    <w:p>
      <w:pPr>
        <w:pStyle w:val="Normal"/>
        <w:spacing w:lineRule="auto" w:line="300"/>
        <w:jc w:val="both"/>
        <w:rPr>
          <w:rFonts w:cs="Calibri"/>
          <w:b/>
          <w:lang w:val="pt-BR"/>
        </w:rPr>
      </w:pPr>
      <w:r>
        <w:rPr>
          <w:rFonts w:cs="Calibri"/>
          <w:b/>
          <w:lang w:val="pt-BR"/>
        </w:rPr>
      </w:r>
    </w:p>
    <w:p>
      <w:pPr>
        <w:pStyle w:val="Normal"/>
        <w:spacing w:lineRule="auto" w:line="300"/>
        <w:ind w:firstLine="1418" w:end="0"/>
        <w:jc w:val="both"/>
        <w:rPr/>
      </w:pPr>
      <w:r>
        <w:rPr>
          <w:rFonts w:cs="Calibri"/>
          <w:lang w:val="pt-BR"/>
        </w:rPr>
        <w:t>A parte requerente requer a concessão dos benefícios da gratuidade da justiça, por não possuir condições financeiras de arcar com custas e despesas processuais sem comprometer o próprio sustento e o de sua família, conforme declaração de hipossuficiência em anexo.</w:t>
      </w:r>
    </w:p>
    <w:p>
      <w:pPr>
        <w:pStyle w:val="Normal"/>
        <w:spacing w:lineRule="auto" w:line="300"/>
        <w:ind w:firstLine="1418" w:end="0"/>
        <w:jc w:val="both"/>
        <w:rPr>
          <w:rFonts w:cs="Calibri"/>
          <w:lang w:val="pt-BR"/>
        </w:rPr>
      </w:pPr>
      <w:r>
        <w:rPr>
          <w:rFonts w:cs="Calibri"/>
          <w:lang w:val="pt-BR"/>
        </w:rPr>
      </w:r>
    </w:p>
    <w:p>
      <w:pPr>
        <w:pStyle w:val="Normal"/>
        <w:spacing w:lineRule="auto" w:line="300"/>
        <w:ind w:firstLine="1418" w:end="0"/>
        <w:jc w:val="both"/>
        <w:rPr/>
      </w:pPr>
      <w:r>
        <w:rPr>
          <w:rFonts w:cs="Calibri"/>
          <w:lang w:val="pt-BR"/>
        </w:rPr>
        <w:t xml:space="preserve">O pleito encontra respaldo no art. 5º, inciso LXXIV, da Constituição Federal, segundo o qual </w:t>
      </w:r>
      <w:r>
        <w:rPr>
          <w:rFonts w:cs="Calibri"/>
          <w:i/>
          <w:iCs/>
          <w:lang w:val="pt-BR"/>
        </w:rPr>
        <w:t>“o Estado prestará assistência jurídica integral e gratuita aos que comprovarem insuficiência de recursos”</w:t>
      </w:r>
      <w:r>
        <w:rPr>
          <w:rFonts w:cs="Calibri"/>
          <w:lang w:val="pt-BR"/>
        </w:rPr>
        <w:t>. Além disso, o art. 5º, inciso XXXV, da CF/88 assegura o acesso à justiça como direito fundamental e indispensável ao exercício da cidadania.</w:t>
      </w:r>
    </w:p>
    <w:p>
      <w:pPr>
        <w:pStyle w:val="Normal"/>
        <w:spacing w:lineRule="auto" w:line="300"/>
        <w:ind w:firstLine="1418" w:end="0"/>
        <w:jc w:val="both"/>
        <w:rPr>
          <w:rFonts w:cs="Calibri"/>
          <w:lang w:val="pt-BR"/>
        </w:rPr>
      </w:pPr>
      <w:r>
        <w:rPr>
          <w:rFonts w:cs="Calibri"/>
          <w:lang w:val="pt-BR"/>
        </w:rPr>
      </w:r>
    </w:p>
    <w:p>
      <w:pPr>
        <w:pStyle w:val="Normal"/>
        <w:spacing w:lineRule="auto" w:line="300"/>
        <w:ind w:firstLine="1418" w:end="0"/>
        <w:jc w:val="both"/>
        <w:rPr/>
      </w:pPr>
      <w:r>
        <w:rPr>
          <w:rFonts w:cs="Calibri"/>
          <w:lang w:val="pt-BR"/>
        </w:rPr>
        <w:t>No âmbito estadual, a Constituição do Estado do Amazonas, em seu art. 9º, I, garante ao consumidor o direito à assistência jurídica integral e gratuita, reforçando a tutela ao hipossuficiente em demandas de consumo.</w:t>
      </w:r>
    </w:p>
    <w:p>
      <w:pPr>
        <w:pStyle w:val="Normal"/>
        <w:spacing w:lineRule="auto" w:line="300"/>
        <w:ind w:firstLine="2835" w:end="0"/>
        <w:jc w:val="both"/>
        <w:rPr>
          <w:rFonts w:cs="Calibri"/>
          <w:lang w:val="pt-BR"/>
        </w:rPr>
      </w:pPr>
      <w:r>
        <w:rPr>
          <w:rFonts w:cs="Calibri"/>
          <w:lang w:val="pt-BR"/>
        </w:rPr>
      </w:r>
    </w:p>
    <w:p>
      <w:pPr>
        <w:pStyle w:val="Normal"/>
        <w:spacing w:lineRule="auto" w:line="240"/>
        <w:ind w:start="2268" w:end="0"/>
        <w:jc w:val="both"/>
        <w:rPr>
          <w:rFonts w:cs="Calibri"/>
          <w:b/>
          <w:bCs/>
          <w:sz w:val="20"/>
          <w:szCs w:val="20"/>
          <w:lang w:val="pt-BR"/>
        </w:rPr>
      </w:pPr>
      <w:r>
        <w:rPr>
          <w:rFonts w:cs="Calibri"/>
          <w:b/>
          <w:bCs/>
          <w:sz w:val="20"/>
          <w:szCs w:val="20"/>
          <w:lang w:val="pt-BR"/>
        </w:rPr>
        <w:t>CAPÍTULO III – DA DEFESA DO CONSUMIDOR</w:t>
      </w:r>
    </w:p>
    <w:p>
      <w:pPr>
        <w:pStyle w:val="Normal"/>
        <w:spacing w:lineRule="auto" w:line="240"/>
        <w:ind w:start="2268" w:end="0"/>
        <w:jc w:val="both"/>
        <w:rPr>
          <w:rFonts w:cs="Calibri"/>
          <w:b/>
          <w:bCs/>
          <w:sz w:val="20"/>
          <w:szCs w:val="20"/>
          <w:lang w:val="pt-BR"/>
        </w:rPr>
      </w:pPr>
      <w:r>
        <w:rPr>
          <w:rFonts w:cs="Calibri"/>
          <w:b/>
          <w:bCs/>
          <w:sz w:val="20"/>
          <w:szCs w:val="20"/>
          <w:lang w:val="pt-BR"/>
        </w:rPr>
      </w:r>
    </w:p>
    <w:p>
      <w:pPr>
        <w:pStyle w:val="Normal"/>
        <w:spacing w:lineRule="auto" w:line="240"/>
        <w:ind w:start="2268" w:end="0"/>
        <w:jc w:val="both"/>
        <w:rPr/>
      </w:pPr>
      <w:r>
        <w:rPr>
          <w:rFonts w:cs="Calibri"/>
          <w:sz w:val="20"/>
          <w:szCs w:val="20"/>
          <w:lang w:val="pt-BR"/>
        </w:rPr>
        <w:t xml:space="preserve">Art. 9° O </w:t>
      </w:r>
      <w:r>
        <w:rPr>
          <w:rFonts w:cs="Calibri"/>
          <w:b/>
          <w:bCs/>
          <w:sz w:val="20"/>
          <w:szCs w:val="20"/>
          <w:lang w:val="pt-BR"/>
        </w:rPr>
        <w:t>consumidor</w:t>
      </w:r>
      <w:r>
        <w:rPr>
          <w:rFonts w:cs="Calibri"/>
          <w:sz w:val="20"/>
          <w:szCs w:val="20"/>
          <w:lang w:val="pt-BR"/>
        </w:rPr>
        <w:t xml:space="preserve"> tem direito à proteção do Estado e do Município, assegurada a sua defesa, dentre outras formas estabelecidas em lei, por meio de:</w:t>
      </w:r>
    </w:p>
    <w:p>
      <w:pPr>
        <w:pStyle w:val="Normal"/>
        <w:spacing w:lineRule="auto" w:line="240"/>
        <w:ind w:start="2268" w:end="0"/>
        <w:jc w:val="both"/>
        <w:rPr>
          <w:rFonts w:cs="Calibri"/>
          <w:b/>
          <w:bCs/>
          <w:sz w:val="20"/>
          <w:szCs w:val="20"/>
          <w:lang w:val="pt-BR"/>
        </w:rPr>
      </w:pPr>
      <w:r>
        <w:rPr>
          <w:rFonts w:cs="Calibri"/>
          <w:b/>
          <w:bCs/>
          <w:sz w:val="20"/>
          <w:szCs w:val="20"/>
          <w:lang w:val="pt-BR"/>
        </w:rPr>
      </w:r>
    </w:p>
    <w:p>
      <w:pPr>
        <w:pStyle w:val="Normal"/>
        <w:spacing w:lineRule="auto" w:line="240"/>
        <w:ind w:start="2268" w:end="0"/>
        <w:jc w:val="both"/>
        <w:rPr/>
      </w:pPr>
      <w:r>
        <w:rPr>
          <w:rFonts w:cs="Calibri"/>
          <w:b/>
          <w:bCs/>
          <w:sz w:val="20"/>
          <w:szCs w:val="20"/>
          <w:lang w:val="pt-BR"/>
        </w:rPr>
        <w:t>I – assistência jurídica, integral e gratuita para o consumidor</w:t>
      </w:r>
      <w:r>
        <w:rPr>
          <w:rFonts w:cs="Calibri"/>
          <w:sz w:val="20"/>
          <w:szCs w:val="20"/>
          <w:lang w:val="pt-BR"/>
        </w:rPr>
        <w:t>; (grifo nosso)</w:t>
      </w:r>
    </w:p>
    <w:p>
      <w:pPr>
        <w:pStyle w:val="Normal"/>
        <w:spacing w:lineRule="auto" w:line="300"/>
        <w:ind w:firstLine="1985" w:end="0"/>
        <w:jc w:val="both"/>
        <w:rPr>
          <w:rFonts w:cs="Calibri"/>
          <w:sz w:val="20"/>
          <w:szCs w:val="20"/>
          <w:lang w:val="pt-BR"/>
        </w:rPr>
      </w:pPr>
      <w:r>
        <w:rPr>
          <w:rFonts w:cs="Calibri"/>
          <w:sz w:val="20"/>
          <w:szCs w:val="20"/>
          <w:lang w:val="pt-BR"/>
        </w:rPr>
      </w:r>
    </w:p>
    <w:p>
      <w:pPr>
        <w:pStyle w:val="BlockQuote"/>
        <w:spacing w:lineRule="auto" w:line="300" w:before="0" w:after="0"/>
        <w:ind w:firstLine="1418" w:end="0"/>
        <w:jc w:val="both"/>
        <w:rPr/>
      </w:pPr>
      <w:r>
        <w:rPr>
          <w:rFonts w:eastAsia="Calibri" w:cs="Calibri"/>
          <w:bCs w:val="false"/>
          <w:sz w:val="22"/>
          <w:szCs w:val="22"/>
          <w:lang w:val="pt-BR"/>
        </w:rPr>
        <w:t>A disciplina infraconstitucional da matéria encontra-se nos arts. 98 a 102 do CPC/2015, que asseguram a gratuidade a toda pessoa física ou jurídica que comprove insuficiência de recursos. O próprio art. 99, §3º, do CPC dispõe que a alegação de hipossuficiência econômica apresentada pela parte goza de presunção de veracidade.</w:t>
      </w:r>
    </w:p>
    <w:p>
      <w:pPr>
        <w:pStyle w:val="Normal"/>
        <w:spacing w:lineRule="auto" w:line="300"/>
        <w:rPr>
          <w:rFonts w:eastAsia="Calibri" w:cs="Calibri"/>
          <w:bCs/>
          <w:sz w:val="22"/>
          <w:szCs w:val="22"/>
          <w:lang w:val="pt-BR"/>
        </w:rPr>
      </w:pPr>
      <w:r>
        <w:rPr>
          <w:rFonts w:eastAsia="Calibri" w:cs="Calibri"/>
          <w:bCs/>
          <w:sz w:val="22"/>
          <w:szCs w:val="22"/>
          <w:lang w:val="pt-BR"/>
        </w:rPr>
      </w:r>
    </w:p>
    <w:p>
      <w:pPr>
        <w:pStyle w:val="Normal"/>
        <w:spacing w:lineRule="auto" w:line="300"/>
        <w:ind w:firstLine="1418" w:end="0"/>
        <w:jc w:val="both"/>
        <w:rPr>
          <w:rFonts w:cs="Calibri"/>
          <w:lang w:val="pt-BR"/>
        </w:rPr>
      </w:pPr>
      <w:r>
        <w:rPr>
          <w:rFonts w:cs="Calibri"/>
          <w:lang w:val="pt-BR"/>
        </w:rPr>
        <w:t>Ressalte-se, ainda, que o simples fato de a parte estar representada por advogado particular não afasta o direito à gratuidade (art. 99, §4º, do CPC), entendimento já pacificado na jurisprudência.</w:t>
      </w:r>
    </w:p>
    <w:p>
      <w:pPr>
        <w:pStyle w:val="Normal"/>
        <w:spacing w:lineRule="auto" w:line="300"/>
        <w:ind w:firstLine="1418" w:end="0"/>
        <w:jc w:val="both"/>
        <w:rPr>
          <w:rFonts w:cs="Calibri"/>
          <w:lang w:val="pt-BR"/>
        </w:rPr>
      </w:pPr>
      <w:r>
        <w:rPr>
          <w:rFonts w:cs="Calibri"/>
          <w:lang w:val="pt-BR"/>
        </w:rPr>
      </w:r>
    </w:p>
    <w:p>
      <w:pPr>
        <w:pStyle w:val="Normal"/>
        <w:spacing w:lineRule="auto" w:line="300"/>
        <w:ind w:firstLine="1418" w:end="0"/>
        <w:jc w:val="both"/>
        <w:rPr/>
      </w:pPr>
      <w:r>
        <w:rPr>
          <w:rFonts w:cs="Calibri"/>
          <w:lang w:val="pt-BR"/>
        </w:rPr>
        <w:t xml:space="preserve">Assim, demonstrada a impossibilidade financeira da requerente e atendidos os requisitos legais, impõe-se o </w:t>
      </w:r>
      <w:r>
        <w:rPr>
          <w:rFonts w:cs="Calibri"/>
          <w:b/>
          <w:bCs/>
          <w:lang w:val="pt-BR"/>
        </w:rPr>
        <w:t>deferimento da gratuidade da justiça</w:t>
      </w:r>
      <w:r>
        <w:rPr>
          <w:rFonts w:cs="Calibri"/>
          <w:lang w:val="pt-BR"/>
        </w:rPr>
        <w:t xml:space="preserve"> em sua integralidade, permitindo-lhe o pleno acesso à tutela jurisdicional, nos termos do art. 5º, LXXIV, da CF/88, do art. 9º, I, da CE/AM e dos arts. 98 e seguintes do CPC/2015.</w:t>
      </w:r>
    </w:p>
    <w:p>
      <w:pPr>
        <w:pStyle w:val="Normal"/>
        <w:spacing w:lineRule="auto" w:line="300"/>
        <w:ind w:firstLine="1985" w:end="0"/>
        <w:jc w:val="both"/>
        <w:rPr>
          <w:rFonts w:cs="Calibri"/>
          <w:sz w:val="18"/>
          <w:szCs w:val="18"/>
          <w:lang w:val="pt-BR"/>
        </w:rPr>
      </w:pPr>
      <w:r>
        <w:rPr>
          <w:rFonts w:cs="Calibri"/>
          <w:sz w:val="18"/>
          <w:szCs w:val="18"/>
          <w:lang w:val="pt-BR"/>
        </w:rPr>
      </w:r>
    </w:p>
    <w:p>
      <w:pPr>
        <w:pStyle w:val="Normal"/>
        <w:pBdr>
          <w:top w:val="single" w:sz="12" w:space="1" w:color="000000" w:shadow="1"/>
          <w:left w:val="single" w:sz="12" w:space="4" w:color="000000" w:shadow="1"/>
          <w:bottom w:val="single" w:sz="12" w:space="1" w:color="000000" w:shadow="1"/>
          <w:right w:val="single" w:sz="12" w:space="4" w:color="000000" w:shadow="1"/>
        </w:pBdr>
        <w:shd w:fill="F2F2F2" w:val="clear"/>
        <w:spacing w:lineRule="auto" w:line="300"/>
        <w:rPr/>
      </w:pPr>
      <w:r>
        <w:rPr>
          <w:rFonts w:cs="Calibri"/>
          <w:b/>
          <w:lang w:val="pt-BR"/>
        </w:rPr>
        <w:t>1.2 - DA DECLARAÇÃO DE AUTENTICIDADE DOS DOCUMENTOS JUNTADOS</w:t>
      </w:r>
    </w:p>
    <w:p>
      <w:pPr>
        <w:pStyle w:val="Normal"/>
        <w:spacing w:lineRule="auto" w:line="300"/>
        <w:jc w:val="both"/>
        <w:rPr>
          <w:rFonts w:cs="Calibri"/>
          <w:b/>
          <w:sz w:val="18"/>
          <w:szCs w:val="18"/>
          <w:lang w:val="pt-BR"/>
        </w:rPr>
      </w:pPr>
      <w:r>
        <w:rPr>
          <w:rFonts w:cs="Calibri"/>
          <w:b/>
          <w:sz w:val="18"/>
          <w:szCs w:val="18"/>
          <w:lang w:val="pt-BR"/>
        </w:rPr>
      </w:r>
    </w:p>
    <w:p>
      <w:pPr>
        <w:pStyle w:val="Normal"/>
        <w:spacing w:lineRule="auto" w:line="300"/>
        <w:ind w:firstLine="1418" w:end="0"/>
        <w:jc w:val="both"/>
        <w:rPr/>
      </w:pPr>
      <w:r>
        <w:rPr>
          <w:rFonts w:cs="Calibri"/>
          <w:lang w:val="pt-BR"/>
        </w:rPr>
        <w:t>Nos termos do art. 425, inciso IV, do CPC/2015, os patronos da parte requerente declaram a autenticidade de todos os documentos apresentados em cópia simples, assegurando que estes conferem fielmente com os respectivos originais, que permanecem sob sua guarda e responsabilidade, comprometendo-se a apresentá-los em juízo, caso assim seja determinado.</w:t>
      </w:r>
    </w:p>
    <w:p>
      <w:pPr>
        <w:pStyle w:val="Normal"/>
        <w:spacing w:lineRule="auto" w:line="300"/>
        <w:ind w:firstLine="1418" w:end="0"/>
        <w:jc w:val="both"/>
        <w:rPr>
          <w:rFonts w:cs="Calibri"/>
          <w:sz w:val="18"/>
          <w:szCs w:val="18"/>
          <w:lang w:val="pt-BR"/>
        </w:rPr>
      </w:pPr>
      <w:r>
        <w:rPr>
          <w:rFonts w:cs="Calibri"/>
          <w:sz w:val="18"/>
          <w:szCs w:val="18"/>
          <w:lang w:val="pt-BR"/>
        </w:rPr>
      </w:r>
    </w:p>
    <w:p>
      <w:pPr>
        <w:pStyle w:val="Normal"/>
        <w:pBdr>
          <w:top w:val="single" w:sz="12" w:space="1" w:color="000000" w:shadow="1"/>
          <w:left w:val="single" w:sz="12" w:space="4" w:color="000000" w:shadow="1"/>
          <w:bottom w:val="single" w:sz="12" w:space="1" w:color="000000" w:shadow="1"/>
          <w:right w:val="single" w:sz="12" w:space="4" w:color="000000" w:shadow="1"/>
        </w:pBdr>
        <w:shd w:fill="F2F2F2" w:val="clear"/>
        <w:spacing w:lineRule="auto" w:line="300"/>
        <w:jc w:val="both"/>
        <w:rPr/>
      </w:pPr>
      <w:r>
        <w:rPr>
          <w:rFonts w:cs="Calibri"/>
          <w:b/>
          <w:lang w:val="pt-BR"/>
        </w:rPr>
        <w:t>1.3 – DA AUDIÊNCIA DE CONCILIAÇÃO E OPÇÃO PELO JUÍZO 100% DIGITAL</w:t>
      </w:r>
    </w:p>
    <w:p>
      <w:pPr>
        <w:pStyle w:val="Normal"/>
        <w:spacing w:lineRule="auto" w:line="300"/>
        <w:ind w:firstLine="2835" w:end="0"/>
        <w:jc w:val="both"/>
        <w:rPr>
          <w:rFonts w:cs="Calibri"/>
          <w:b/>
          <w:sz w:val="18"/>
          <w:szCs w:val="18"/>
          <w:lang w:val="pt-BR"/>
        </w:rPr>
      </w:pPr>
      <w:r>
        <w:rPr>
          <w:rFonts w:cs="Calibri"/>
          <w:b/>
          <w:sz w:val="18"/>
          <w:szCs w:val="18"/>
          <w:lang w:val="pt-BR"/>
        </w:rPr>
      </w:r>
    </w:p>
    <w:p>
      <w:pPr>
        <w:pStyle w:val="Normal"/>
        <w:spacing w:lineRule="auto" w:line="300"/>
        <w:ind w:firstLine="1418" w:end="0"/>
        <w:jc w:val="both"/>
        <w:rPr>
          <w:rFonts w:cs="Calibri"/>
          <w:lang w:val="pt-BR"/>
        </w:rPr>
      </w:pPr>
      <w:r>
        <w:rPr>
          <w:rFonts w:cs="Calibri"/>
          <w:lang w:val="pt-BR"/>
        </w:rPr>
        <w:t>A parte requerente manifesta interesse na autocomposição e não se opõe à designação de audiência de conciliação, nos termos dos arts. 3º, §§2º e 3º, e 334 do CPC.</w:t>
      </w:r>
    </w:p>
    <w:p>
      <w:pPr>
        <w:pStyle w:val="Normal"/>
        <w:spacing w:lineRule="auto" w:line="300"/>
        <w:ind w:firstLine="1418" w:end="0"/>
        <w:jc w:val="both"/>
        <w:rPr>
          <w:rFonts w:cs="Calibri"/>
          <w:lang w:val="pt-BR"/>
        </w:rPr>
      </w:pPr>
      <w:r>
        <w:rPr>
          <w:rFonts w:cs="Calibri"/>
          <w:lang w:val="pt-BR"/>
        </w:rPr>
      </w:r>
    </w:p>
    <w:p>
      <w:pPr>
        <w:pStyle w:val="Normal"/>
        <w:spacing w:lineRule="auto" w:line="300"/>
        <w:ind w:firstLine="1418" w:end="0"/>
        <w:jc w:val="both"/>
        <w:rPr/>
      </w:pPr>
      <w:r>
        <w:rPr>
          <w:rFonts w:cs="Calibri"/>
          <w:lang w:val="pt-BR"/>
        </w:rPr>
        <w:t>Requer, desde já, que a audiência seja realizada por videoconferência e que o feito tramite no Juízo 100% Digital, com a prática de todos os atos processuais por meio eletrônico, conforme Resolução CNJ nº 345/2020 (art. 3º) e Portaria TJAM nº 2330/2020.</w:t>
      </w:r>
    </w:p>
    <w:p>
      <w:pPr>
        <w:pStyle w:val="Normal"/>
        <w:spacing w:lineRule="auto" w:line="300"/>
        <w:ind w:firstLine="1418" w:end="0"/>
        <w:jc w:val="both"/>
        <w:rPr>
          <w:rFonts w:cs="Calibri"/>
          <w:lang w:val="pt-BR"/>
        </w:rPr>
      </w:pPr>
      <w:r>
        <w:rPr>
          <w:rFonts w:cs="Calibri"/>
          <w:lang w:val="pt-BR"/>
        </w:rPr>
      </w:r>
    </w:p>
    <w:p>
      <w:pPr>
        <w:pStyle w:val="Normal"/>
        <w:spacing w:lineRule="auto" w:line="300"/>
        <w:ind w:firstLine="1418" w:end="0"/>
        <w:jc w:val="both"/>
        <w:rPr/>
      </w:pPr>
      <w:r>
        <w:rPr>
          <w:rFonts w:cs="Calibri"/>
          <w:lang w:val="pt-BR"/>
        </w:rPr>
        <w:t xml:space="preserve">Para o encaminhamento do link de acesso e comunicações operacionais, indica-se o e-mail: </w:t>
      </w:r>
      <w:hyperlink r:id="rId3">
        <w:r>
          <w:rPr>
            <w:rStyle w:val="Hyperlink"/>
            <w:rFonts w:cs="Calibri"/>
            <w:b/>
            <w:bCs/>
            <w:lang w:val="pt-BR"/>
          </w:rPr>
          <w:t>juridico@bentesramos.adv.br</w:t>
        </w:r>
      </w:hyperlink>
      <w:r>
        <w:rPr>
          <w:rFonts w:cs="Calibri"/>
          <w:lang w:val="pt-BR"/>
        </w:rPr>
        <w:t>.</w:t>
      </w:r>
    </w:p>
    <w:p>
      <w:pPr>
        <w:pStyle w:val="Normal"/>
        <w:spacing w:lineRule="auto" w:line="300"/>
        <w:ind w:firstLine="1418" w:end="0"/>
        <w:jc w:val="both"/>
        <w:rPr>
          <w:rFonts w:cs="Calibri"/>
          <w:lang w:val="pt-BR"/>
        </w:rPr>
      </w:pPr>
      <w:r>
        <w:rPr>
          <w:rFonts w:cs="Calibri"/>
          <w:lang w:val="pt-BR"/>
        </w:rPr>
      </w:r>
    </w:p>
    <w:p>
      <w:pPr>
        <w:pStyle w:val="Normal"/>
        <w:spacing w:lineRule="auto" w:line="300"/>
        <w:ind w:firstLine="1418" w:end="0"/>
        <w:jc w:val="both"/>
        <w:rPr>
          <w:rFonts w:cs="Calibri"/>
          <w:lang w:val="pt-BR"/>
        </w:rPr>
      </w:pPr>
      <w:r>
        <w:rPr>
          <w:rFonts w:cs="Calibri"/>
          <w:lang w:val="pt-BR"/>
        </w:rPr>
        <w:t>Subsidiariamente, caso o juízo entenda inviável a modalidade virtual, requer-se a designação de ato presencial, em pauta compatível com as partes e patronos.</w:t>
      </w:r>
    </w:p>
    <w:p>
      <w:pPr>
        <w:pStyle w:val="Normal"/>
        <w:spacing w:lineRule="auto" w:line="300"/>
        <w:jc w:val="both"/>
        <w:rPr>
          <w:rFonts w:cs="Calibri"/>
          <w:lang w:val="pt-BR"/>
        </w:rPr>
      </w:pPr>
      <w:r>
        <w:rPr>
          <w:rFonts w:cs="Calibri"/>
          <w:lang w:val="pt-BR"/>
        </w:rPr>
      </w:r>
    </w:p>
    <w:p>
      <w:pPr>
        <w:pStyle w:val="Normal"/>
        <w:pBdr>
          <w:top w:val="single" w:sz="12" w:space="1" w:color="000000" w:shadow="1"/>
          <w:left w:val="single" w:sz="12" w:space="4" w:color="000000" w:shadow="1"/>
          <w:bottom w:val="single" w:sz="12" w:space="1" w:color="000000" w:shadow="1"/>
          <w:right w:val="single" w:sz="12" w:space="4" w:color="000000" w:shadow="1"/>
        </w:pBdr>
        <w:shd w:fill="F2F2F2" w:val="clear"/>
        <w:spacing w:lineRule="auto" w:line="300"/>
        <w:jc w:val="center"/>
        <w:rPr>
          <w:rFonts w:cs="Calibri"/>
          <w:b/>
          <w:u w:val="single"/>
          <w:lang w:val="pt-BR"/>
        </w:rPr>
      </w:pPr>
      <w:r>
        <w:rPr>
          <w:rFonts w:cs="Calibri"/>
          <w:b/>
          <w:lang w:val="pt-BR"/>
        </w:rPr>
        <w:t>2 – DOS FATOS</w:t>
      </w:r>
    </w:p>
    <w:p>
      <w:pPr>
        <w:pStyle w:val="Normal"/>
        <w:spacing w:lineRule="auto" w:line="300"/>
        <w:ind w:firstLine="1418" w:end="0"/>
        <w:jc w:val="both"/>
        <w:rPr>
          <w:rFonts w:cs="Calibri"/>
          <w:b/>
          <w:u w:val="single"/>
          <w:lang w:val="pt-BR"/>
        </w:rPr>
      </w:pPr>
      <w:r>
        <w:rPr>
          <w:rFonts w:cs="Calibri"/>
          <w:b/>
          <w:u w:val="single"/>
          <w:lang w:val="pt-BR"/>
        </w:rPr>
      </w:r>
    </w:p>
    <w:p>
      <w:pPr>
        <w:pStyle w:val="Padro"/>
        <w:tabs>
          <w:tab w:val="left" w:pos="567" w:leader="none"/>
          <w:tab w:val="left" w:pos="708" w:leader="none"/>
        </w:tabs>
        <w:spacing w:lineRule="auto" w:line="300" w:before="0" w:after="0"/>
        <w:ind w:firstLine="1418" w:end="0"/>
        <w:jc w:val="both"/>
        <w:rPr/>
      </w:pPr>
      <w:r>
        <w:rPr>
          <w:rFonts w:cs="Calibri" w:ascii="Calibri" w:hAnsi="Calibri"/>
          <w:sz w:val="22"/>
          <w:szCs w:val="22"/>
        </w:rPr>
        <w:t xml:space="preserve">A parte requerente é titular da </w:t>
      </w:r>
      <w:r>
        <w:rPr>
          <w:rFonts w:cs="Calibri" w:ascii="Calibri" w:hAnsi="Calibri"/>
          <w:b/>
          <w:bCs/>
          <w:sz w:val="22"/>
          <w:szCs w:val="22"/>
        </w:rPr>
        <w:t>conta corrente nº ________, agência ________</w:t>
      </w:r>
      <w:r>
        <w:rPr>
          <w:rFonts w:cs="Calibri" w:ascii="Calibri" w:hAnsi="Calibri"/>
          <w:sz w:val="22"/>
          <w:szCs w:val="22"/>
        </w:rPr>
        <w:t xml:space="preserve">, mantida junto ao banco requerido. Ao analisar os extratos bancários de sua conta, constatou a realização de </w:t>
      </w:r>
      <w:r>
        <w:rPr>
          <w:rFonts w:cs="Calibri" w:ascii="Calibri" w:hAnsi="Calibri"/>
          <w:b/>
          <w:bCs/>
          <w:sz w:val="22"/>
          <w:szCs w:val="22"/>
        </w:rPr>
        <w:t>débitos indevidos</w:t>
      </w:r>
      <w:r>
        <w:rPr>
          <w:rFonts w:cs="Calibri" w:ascii="Calibri" w:hAnsi="Calibri"/>
          <w:sz w:val="22"/>
          <w:szCs w:val="22"/>
        </w:rPr>
        <w:t xml:space="preserve"> no período imprescrito compreendido entre </w:t>
      </w:r>
      <w:r>
        <w:rPr>
          <w:rFonts w:cs="Calibri" w:ascii="Calibri" w:hAnsi="Calibri"/>
          <w:b/>
          <w:bCs/>
          <w:sz w:val="22"/>
          <w:szCs w:val="22"/>
        </w:rPr>
        <w:t>________ e ________</w:t>
      </w:r>
      <w:r>
        <w:rPr>
          <w:rFonts w:cs="Calibri" w:ascii="Calibri" w:hAnsi="Calibri"/>
          <w:sz w:val="22"/>
          <w:szCs w:val="22"/>
        </w:rPr>
        <w:t xml:space="preserve">, referente à rubrica </w:t>
      </w:r>
      <w:r>
        <w:rPr>
          <w:rFonts w:cs="Calibri" w:ascii="Calibri" w:hAnsi="Calibri"/>
          <w:b/>
          <w:bCs/>
          <w:sz w:val="22"/>
          <w:szCs w:val="22"/>
        </w:rPr>
        <w:t>“Seguro Mais Proteção”</w:t>
      </w:r>
      <w:r>
        <w:rPr>
          <w:rFonts w:cs="Calibri" w:ascii="Calibri" w:hAnsi="Calibri"/>
          <w:sz w:val="22"/>
          <w:szCs w:val="22"/>
        </w:rPr>
        <w:t xml:space="preserve">, </w:t>
      </w:r>
      <w:r>
        <w:rPr>
          <w:rFonts w:cs="Calibri" w:ascii="Calibri" w:hAnsi="Calibri"/>
          <w:b/>
          <w:bCs/>
          <w:sz w:val="22"/>
          <w:szCs w:val="22"/>
        </w:rPr>
        <w:t>sem qualquer autorização ou contratação prévia</w:t>
      </w:r>
      <w:r>
        <w:rPr>
          <w:rFonts w:cs="Calibri" w:ascii="Calibri" w:hAnsi="Calibri"/>
          <w:sz w:val="22"/>
          <w:szCs w:val="22"/>
        </w:rPr>
        <w:t>, conforme se comprova pelos extratos acostados aos autos.</w:t>
      </w:r>
    </w:p>
    <w:p>
      <w:pPr>
        <w:pStyle w:val="Padro"/>
        <w:tabs>
          <w:tab w:val="left" w:pos="567" w:leader="none"/>
          <w:tab w:val="left" w:pos="708" w:leader="none"/>
        </w:tabs>
        <w:spacing w:lineRule="auto" w:line="300" w:before="0" w:after="0"/>
        <w:ind w:firstLine="1418" w:end="0"/>
        <w:jc w:val="both"/>
        <w:rPr>
          <w:rFonts w:ascii="Calibri" w:hAnsi="Calibri" w:cs="Calibri"/>
          <w:sz w:val="22"/>
          <w:szCs w:val="22"/>
        </w:rPr>
      </w:pPr>
      <w:r>
        <w:rPr>
          <w:rFonts w:cs="Calibri" w:ascii="Calibri" w:hAnsi="Calibri"/>
          <w:sz w:val="22"/>
          <w:szCs w:val="22"/>
        </w:rPr>
      </w:r>
    </w:p>
    <w:p>
      <w:pPr>
        <w:pStyle w:val="Padro"/>
        <w:tabs>
          <w:tab w:val="left" w:pos="567" w:leader="none"/>
          <w:tab w:val="left" w:pos="708" w:leader="none"/>
        </w:tabs>
        <w:spacing w:lineRule="auto" w:line="300" w:before="0" w:after="0"/>
        <w:ind w:firstLine="1418" w:end="0"/>
        <w:jc w:val="both"/>
        <w:rPr/>
      </w:pPr>
      <w:r>
        <w:rPr>
          <w:rFonts w:cs="Calibri" w:ascii="Calibri" w:hAnsi="Calibri"/>
          <w:sz w:val="22"/>
          <w:szCs w:val="22"/>
        </w:rPr>
        <w:t xml:space="preserve">Registre-se, desde logo, que a parte requerente </w:t>
      </w:r>
      <w:r>
        <w:rPr>
          <w:rFonts w:cs="Calibri" w:ascii="Calibri" w:hAnsi="Calibri"/>
          <w:b/>
          <w:bCs/>
          <w:sz w:val="22"/>
          <w:szCs w:val="22"/>
        </w:rPr>
        <w:t>jamais autorizou, contratou ou anuiu</w:t>
      </w:r>
      <w:r>
        <w:rPr>
          <w:rFonts w:cs="Calibri" w:ascii="Calibri" w:hAnsi="Calibri"/>
          <w:sz w:val="22"/>
          <w:szCs w:val="22"/>
        </w:rPr>
        <w:t xml:space="preserve"> com a inclusão de quaisquer produtos ou serviços vinculados às mencionadas cobranças, inexistindo relação jurídica válida que pudesse legitimar os lançamentos efetuados em sua conta corrente.</w:t>
      </w:r>
    </w:p>
    <w:p>
      <w:pPr>
        <w:pStyle w:val="Padro"/>
        <w:tabs>
          <w:tab w:val="left" w:pos="567" w:leader="none"/>
          <w:tab w:val="left" w:pos="708" w:leader="none"/>
        </w:tabs>
        <w:spacing w:lineRule="auto" w:line="300" w:before="0" w:after="0"/>
        <w:ind w:firstLine="1418" w:end="0"/>
        <w:jc w:val="both"/>
        <w:rPr>
          <w:rFonts w:ascii="Calibri" w:hAnsi="Calibri" w:cs="Calibri"/>
          <w:sz w:val="22"/>
          <w:szCs w:val="22"/>
        </w:rPr>
      </w:pPr>
      <w:r>
        <w:rPr>
          <w:rFonts w:cs="Calibri" w:ascii="Calibri" w:hAnsi="Calibri"/>
          <w:sz w:val="22"/>
          <w:szCs w:val="22"/>
        </w:rPr>
      </w:r>
    </w:p>
    <w:p>
      <w:pPr>
        <w:pStyle w:val="Padro"/>
        <w:tabs>
          <w:tab w:val="left" w:pos="567" w:leader="none"/>
          <w:tab w:val="left" w:pos="708" w:leader="none"/>
        </w:tabs>
        <w:spacing w:lineRule="auto" w:line="300" w:before="0" w:after="0"/>
        <w:ind w:firstLine="1418" w:end="0"/>
        <w:jc w:val="both"/>
        <w:rPr/>
      </w:pPr>
      <w:r>
        <w:rPr>
          <w:rFonts w:cs="Calibri" w:ascii="Calibri" w:hAnsi="Calibri"/>
          <w:sz w:val="22"/>
          <w:szCs w:val="22"/>
        </w:rPr>
        <w:t>Diante da identificação das cobranças indevidas, a parte requerente buscou, por diversas vezes, solucionar a questão de forma administrativa, dirigindo-se ao banco requerido para obter esclarecimentos e o devido estorno dos valores. O requerido procedeu a suspensão dos descontos, contudo, até o presente momento não houve qualquer providência efetiva para a restituição das quantias indevidamente subtraídas, restando frustrada a tentativa de resolução extrajudicial do conflito.</w:t>
      </w:r>
    </w:p>
    <w:p>
      <w:pPr>
        <w:pStyle w:val="Padro"/>
        <w:tabs>
          <w:tab w:val="left" w:pos="567" w:leader="none"/>
          <w:tab w:val="left" w:pos="708" w:leader="none"/>
        </w:tabs>
        <w:spacing w:lineRule="auto" w:line="300" w:before="0" w:after="0"/>
        <w:ind w:firstLine="1418" w:end="0"/>
        <w:jc w:val="both"/>
        <w:rPr>
          <w:rFonts w:ascii="Calibri" w:hAnsi="Calibri" w:cs="Calibri"/>
          <w:sz w:val="22"/>
          <w:szCs w:val="22"/>
        </w:rPr>
      </w:pPr>
      <w:r>
        <w:rPr>
          <w:rFonts w:cs="Calibri" w:ascii="Calibri" w:hAnsi="Calibri"/>
          <w:sz w:val="22"/>
          <w:szCs w:val="22"/>
        </w:rPr>
      </w:r>
    </w:p>
    <w:p>
      <w:pPr>
        <w:pStyle w:val="Padro"/>
        <w:tabs>
          <w:tab w:val="left" w:pos="567" w:leader="none"/>
          <w:tab w:val="left" w:pos="708" w:leader="none"/>
        </w:tabs>
        <w:spacing w:lineRule="auto" w:line="300" w:before="0" w:after="0"/>
        <w:ind w:firstLine="1418" w:end="0"/>
        <w:jc w:val="both"/>
        <w:rPr/>
      </w:pPr>
      <w:r>
        <w:rPr>
          <w:rFonts w:cs="Calibri" w:ascii="Calibri" w:hAnsi="Calibri"/>
          <w:sz w:val="22"/>
          <w:szCs w:val="22"/>
        </w:rPr>
        <w:t xml:space="preserve">Consoante se extrai dos documentos bancários anexos, os descontos relativos perfazem o montante total de </w:t>
      </w:r>
      <w:r>
        <w:rPr>
          <w:rFonts w:cs="Calibri" w:ascii="Calibri" w:hAnsi="Calibri"/>
          <w:b/>
          <w:bCs/>
          <w:sz w:val="22"/>
          <w:szCs w:val="22"/>
        </w:rPr>
        <w:t>R$ 303,16 (trezentos e três reais e dezesseis centavos)</w:t>
      </w:r>
      <w:r>
        <w:rPr>
          <w:rFonts w:cs="Calibri" w:ascii="Calibri" w:hAnsi="Calibri"/>
          <w:sz w:val="22"/>
          <w:szCs w:val="22"/>
        </w:rPr>
        <w:t>, valor este indevidamente retirado da conta da parte requerente.</w:t>
      </w:r>
    </w:p>
    <w:p>
      <w:pPr>
        <w:pStyle w:val="Padro"/>
        <w:tabs>
          <w:tab w:val="left" w:pos="567" w:leader="none"/>
          <w:tab w:val="left" w:pos="708" w:leader="none"/>
        </w:tabs>
        <w:spacing w:lineRule="auto" w:line="300" w:before="0" w:after="0"/>
        <w:ind w:firstLine="1418" w:end="0"/>
        <w:jc w:val="both"/>
        <w:rPr>
          <w:rFonts w:ascii="Calibri" w:hAnsi="Calibri" w:cs="Calibri"/>
          <w:sz w:val="22"/>
          <w:szCs w:val="22"/>
        </w:rPr>
      </w:pPr>
      <w:r>
        <w:rPr>
          <w:rFonts w:cs="Calibri" w:ascii="Calibri" w:hAnsi="Calibri"/>
          <w:sz w:val="22"/>
          <w:szCs w:val="22"/>
        </w:rPr>
      </w:r>
    </w:p>
    <w:p>
      <w:pPr>
        <w:pStyle w:val="Padro"/>
        <w:tabs>
          <w:tab w:val="left" w:pos="567" w:leader="none"/>
          <w:tab w:val="left" w:pos="708" w:leader="none"/>
        </w:tabs>
        <w:spacing w:lineRule="auto" w:line="300" w:before="0" w:after="0"/>
        <w:ind w:firstLine="1418" w:end="0"/>
        <w:jc w:val="both"/>
        <w:rPr/>
      </w:pPr>
      <w:r>
        <w:rPr>
          <w:rFonts w:cs="Calibri" w:ascii="Calibri" w:hAnsi="Calibri"/>
          <w:sz w:val="22"/>
          <w:szCs w:val="22"/>
        </w:rPr>
        <w:t xml:space="preserve">Ressalte-se, novamente, que inexiste qualquer autorização válida ou manifestação de vontade da parte requerente que pudesse legitimar tais cobranças, evidenciando-se, portanto, a </w:t>
      </w:r>
      <w:r>
        <w:rPr>
          <w:rFonts w:cs="Calibri" w:ascii="Calibri" w:hAnsi="Calibri"/>
          <w:b/>
          <w:bCs/>
          <w:sz w:val="22"/>
          <w:szCs w:val="22"/>
        </w:rPr>
        <w:t>indevida apropriação de valores</w:t>
      </w:r>
      <w:r>
        <w:rPr>
          <w:rFonts w:cs="Calibri" w:ascii="Calibri" w:hAnsi="Calibri"/>
          <w:sz w:val="22"/>
          <w:szCs w:val="22"/>
        </w:rPr>
        <w:t xml:space="preserve"> e a flagrante falha na prestação do serviço bancário.</w:t>
      </w:r>
    </w:p>
    <w:p>
      <w:pPr>
        <w:pStyle w:val="Padro"/>
        <w:tabs>
          <w:tab w:val="left" w:pos="567" w:leader="none"/>
          <w:tab w:val="left" w:pos="708" w:leader="none"/>
        </w:tabs>
        <w:spacing w:lineRule="auto" w:line="300" w:before="0" w:after="0"/>
        <w:ind w:firstLine="1418" w:end="0"/>
        <w:jc w:val="both"/>
        <w:rPr>
          <w:rFonts w:ascii="Calibri" w:hAnsi="Calibri" w:cs="Calibri"/>
          <w:sz w:val="22"/>
          <w:szCs w:val="22"/>
        </w:rPr>
      </w:pPr>
      <w:r>
        <w:rPr>
          <w:rFonts w:cs="Calibri" w:ascii="Calibri" w:hAnsi="Calibri"/>
          <w:sz w:val="22"/>
          <w:szCs w:val="22"/>
        </w:rPr>
      </w:r>
    </w:p>
    <w:p>
      <w:pPr>
        <w:pStyle w:val="Padro"/>
        <w:tabs>
          <w:tab w:val="left" w:pos="567" w:leader="none"/>
          <w:tab w:val="left" w:pos="708" w:leader="none"/>
        </w:tabs>
        <w:spacing w:lineRule="auto" w:line="300" w:before="0" w:after="0"/>
        <w:ind w:firstLine="1418" w:end="0"/>
        <w:jc w:val="both"/>
        <w:rPr/>
      </w:pPr>
      <w:r>
        <w:rPr>
          <w:rFonts w:cs="Calibri" w:ascii="Calibri" w:hAnsi="Calibri"/>
          <w:sz w:val="22"/>
          <w:szCs w:val="22"/>
        </w:rPr>
        <w:t xml:space="preserve">Por fim, diante da reiterada negativa do banco requerido em solucionar administrativamente a irregularidade apontada, restou à parte requerente </w:t>
      </w:r>
      <w:r>
        <w:rPr>
          <w:rFonts w:cs="Calibri" w:ascii="Calibri" w:hAnsi="Calibri"/>
          <w:b/>
          <w:bCs/>
          <w:sz w:val="22"/>
          <w:szCs w:val="22"/>
        </w:rPr>
        <w:t>não outra alternativa senão recorrer ao Poder Judiciário</w:t>
      </w:r>
      <w:r>
        <w:rPr>
          <w:rFonts w:cs="Calibri" w:ascii="Calibri" w:hAnsi="Calibri"/>
          <w:sz w:val="22"/>
          <w:szCs w:val="22"/>
        </w:rPr>
        <w:t>, a fim de ver reconhecida a ilegalidade das cobranças realizadas e obter a devida reparação pelos prejuízos suportados.</w:t>
      </w:r>
    </w:p>
    <w:p>
      <w:pPr>
        <w:pStyle w:val="Padro"/>
        <w:tabs>
          <w:tab w:val="left" w:pos="567" w:leader="none"/>
          <w:tab w:val="left" w:pos="708" w:leader="none"/>
        </w:tabs>
        <w:spacing w:lineRule="auto" w:line="300" w:before="0" w:after="0"/>
        <w:ind w:firstLine="1418" w:end="0"/>
        <w:jc w:val="both"/>
        <w:rPr>
          <w:rFonts w:ascii="Calibri" w:hAnsi="Calibri" w:cs="Calibri"/>
          <w:sz w:val="22"/>
          <w:szCs w:val="22"/>
        </w:rPr>
      </w:pPr>
      <w:r>
        <w:rPr>
          <w:rFonts w:cs="Calibri" w:ascii="Calibri" w:hAnsi="Calibri"/>
          <w:sz w:val="22"/>
          <w:szCs w:val="22"/>
        </w:rPr>
      </w:r>
    </w:p>
    <w:p>
      <w:pPr>
        <w:pStyle w:val="Padro"/>
        <w:tabs>
          <w:tab w:val="left" w:pos="567" w:leader="none"/>
          <w:tab w:val="left" w:pos="708" w:leader="none"/>
        </w:tabs>
        <w:spacing w:lineRule="auto" w:line="300" w:before="0" w:after="0"/>
        <w:ind w:firstLine="1418" w:end="0"/>
        <w:jc w:val="both"/>
        <w:rPr/>
      </w:pPr>
      <w:r>
        <w:rPr>
          <w:rFonts w:cs="Calibri" w:ascii="Calibri" w:hAnsi="Calibri"/>
          <w:sz w:val="22"/>
          <w:szCs w:val="22"/>
        </w:rPr>
        <w:t xml:space="preserve">Dessa forma, à luz dos fatos narrados e devidamente comprovados nos autos, mostra-se </w:t>
      </w:r>
      <w:r>
        <w:rPr>
          <w:rFonts w:cs="Calibri" w:ascii="Calibri" w:hAnsi="Calibri"/>
          <w:b/>
          <w:bCs/>
          <w:sz w:val="22"/>
          <w:szCs w:val="22"/>
        </w:rPr>
        <w:t>inequívoco o dever do requerido de reparar os danos causados à parte requerente</w:t>
      </w:r>
      <w:r>
        <w:rPr>
          <w:rFonts w:cs="Calibri" w:ascii="Calibri" w:hAnsi="Calibri"/>
          <w:sz w:val="22"/>
          <w:szCs w:val="22"/>
        </w:rPr>
        <w:t>, como forma de recompor os prejuízos materiais sofridos e restaurar o equilíbrio da relação de consumo violada.</w:t>
      </w:r>
    </w:p>
    <w:p>
      <w:pPr>
        <w:pStyle w:val="Padro"/>
        <w:tabs>
          <w:tab w:val="clear" w:pos="708"/>
          <w:tab w:val="left" w:pos="567" w:leader="none"/>
        </w:tabs>
        <w:spacing w:lineRule="auto" w:line="300" w:before="0" w:after="0"/>
        <w:ind w:firstLine="1418" w:end="0"/>
        <w:jc w:val="both"/>
        <w:rPr>
          <w:rFonts w:ascii="Calibri" w:hAnsi="Calibri" w:cs="Calibri"/>
          <w:color w:val="000000"/>
          <w:sz w:val="20"/>
          <w:szCs w:val="20"/>
        </w:rPr>
      </w:pPr>
      <w:r>
        <w:rPr>
          <w:rFonts w:cs="Calibri" w:ascii="Calibri" w:hAnsi="Calibri"/>
          <w:color w:val="000000"/>
          <w:sz w:val="20"/>
          <w:szCs w:val="20"/>
        </w:rPr>
      </w:r>
    </w:p>
    <w:p>
      <w:pPr>
        <w:pStyle w:val="Normal"/>
        <w:pBdr>
          <w:top w:val="single" w:sz="12" w:space="1" w:color="000000" w:shadow="1"/>
          <w:left w:val="single" w:sz="12" w:space="4" w:color="000000" w:shadow="1"/>
          <w:bottom w:val="single" w:sz="12" w:space="1" w:color="000000" w:shadow="1"/>
          <w:right w:val="single" w:sz="12" w:space="4" w:color="000000" w:shadow="1"/>
        </w:pBdr>
        <w:shd w:fill="F2F2F2" w:val="clear"/>
        <w:spacing w:lineRule="auto" w:line="300"/>
        <w:jc w:val="center"/>
        <w:rPr>
          <w:rFonts w:cs="Calibri"/>
          <w:b/>
          <w:lang w:val="pt-BR"/>
        </w:rPr>
      </w:pPr>
      <w:r>
        <w:rPr>
          <w:rFonts w:cs="Calibri"/>
          <w:b/>
          <w:lang w:val="pt-BR"/>
        </w:rPr>
        <w:t>3 – DO DIREITO</w:t>
      </w:r>
    </w:p>
    <w:p>
      <w:pPr>
        <w:pStyle w:val="Normal"/>
        <w:spacing w:lineRule="auto" w:line="300"/>
        <w:ind w:firstLine="2268" w:start="-567" w:end="0"/>
        <w:jc w:val="both"/>
        <w:rPr>
          <w:rFonts w:cs="Calibri"/>
          <w:b/>
          <w:lang w:val="pt-BR"/>
        </w:rPr>
      </w:pPr>
      <w:r>
        <w:rPr>
          <w:rFonts w:cs="Calibri"/>
          <w:b/>
          <w:lang w:val="pt-BR"/>
        </w:rPr>
      </w:r>
    </w:p>
    <w:p>
      <w:pPr>
        <w:pStyle w:val="Normal"/>
        <w:pBdr>
          <w:top w:val="single" w:sz="12" w:space="1" w:color="000000" w:shadow="1"/>
          <w:left w:val="single" w:sz="12" w:space="4" w:color="000000" w:shadow="1"/>
          <w:bottom w:val="single" w:sz="12" w:space="1" w:color="000000" w:shadow="1"/>
          <w:right w:val="single" w:sz="12" w:space="4" w:color="000000" w:shadow="1"/>
        </w:pBdr>
        <w:shd w:fill="F2F2F2" w:val="clear"/>
        <w:spacing w:lineRule="auto" w:line="300"/>
        <w:jc w:val="both"/>
        <w:rPr>
          <w:rFonts w:cs="Calibri"/>
          <w:b/>
          <w:lang w:val="pt-BR"/>
        </w:rPr>
      </w:pPr>
      <w:bookmarkStart w:id="0" w:name="_Hlk49872811"/>
      <w:r>
        <w:rPr>
          <w:rFonts w:cs="Calibri"/>
          <w:b/>
          <w:lang w:val="pt-BR"/>
        </w:rPr>
        <w:t xml:space="preserve">3.1 – DA RELAÇÃO DE CONSUMO </w:t>
      </w:r>
    </w:p>
    <w:p>
      <w:pPr>
        <w:pStyle w:val="Normal"/>
        <w:spacing w:lineRule="auto" w:line="300"/>
        <w:jc w:val="both"/>
        <w:rPr>
          <w:rFonts w:cs="Calibri"/>
          <w:b/>
          <w:lang w:val="pt-BR"/>
        </w:rPr>
      </w:pPr>
      <w:r>
        <w:rPr>
          <w:rFonts w:cs="Calibri"/>
          <w:b/>
          <w:lang w:val="pt-BR"/>
        </w:rPr>
      </w:r>
    </w:p>
    <w:p>
      <w:pPr>
        <w:pStyle w:val="Normal"/>
        <w:spacing w:lineRule="auto" w:line="300"/>
        <w:ind w:firstLine="1418" w:end="0"/>
        <w:jc w:val="both"/>
        <w:rPr>
          <w:rFonts w:cs="Calibri"/>
          <w:lang w:val="pt-BR"/>
        </w:rPr>
      </w:pPr>
      <w:r>
        <w:rPr>
          <w:rFonts w:cs="Calibri"/>
          <w:lang w:val="pt-BR"/>
        </w:rPr>
        <w:t xml:space="preserve">No caso em exame, verifica-se, de forma inequívoca, a existência de relação de consumo, nos exatos termos delineados pelo Código de Defesa do Consumidor, sendo a parte requerente enquadrada no conceito legal de consumidor, conforme dispõe o art. 2º do referido diploma legal. </w:t>
      </w:r>
    </w:p>
    <w:p>
      <w:pPr>
        <w:pStyle w:val="Normal"/>
        <w:spacing w:lineRule="auto" w:line="300"/>
        <w:ind w:firstLine="1418" w:end="0"/>
        <w:jc w:val="both"/>
        <w:rPr>
          <w:rFonts w:cs="Calibri"/>
          <w:lang w:val="pt-BR"/>
        </w:rPr>
      </w:pPr>
      <w:r>
        <w:rPr>
          <w:rFonts w:cs="Calibri"/>
          <w:lang w:val="pt-BR"/>
        </w:rPr>
      </w:r>
    </w:p>
    <w:p>
      <w:pPr>
        <w:pStyle w:val="Normal"/>
        <w:spacing w:lineRule="auto" w:line="300"/>
        <w:ind w:firstLine="1418" w:end="0"/>
        <w:jc w:val="both"/>
        <w:rPr/>
      </w:pPr>
      <w:r>
        <w:rPr>
          <w:rFonts w:cs="Calibri"/>
          <w:lang w:val="pt-BR"/>
        </w:rPr>
        <w:t xml:space="preserve">Dispõe o art. 2º do CDC que </w:t>
      </w:r>
      <w:r>
        <w:rPr>
          <w:rFonts w:cs="Calibri"/>
          <w:b/>
          <w:bCs/>
          <w:lang w:val="pt-BR"/>
        </w:rPr>
        <w:t>consumidor é toda pessoa física ou jurídica que adquire ou utiliza produto ou serviço como destinatário final</w:t>
      </w:r>
      <w:r>
        <w:rPr>
          <w:rFonts w:cs="Calibri"/>
          <w:lang w:val="pt-BR"/>
        </w:rPr>
        <w:t>, abrangendo, ainda, por força de seu parágrafo único, a coletividade de pessoas que haja intervindo nas relações de consumo.</w:t>
      </w:r>
    </w:p>
    <w:p>
      <w:pPr>
        <w:pStyle w:val="Normal"/>
        <w:spacing w:lineRule="auto" w:line="300"/>
        <w:ind w:firstLine="2835" w:end="0"/>
        <w:jc w:val="both"/>
        <w:rPr>
          <w:rFonts w:cs="Calibri"/>
          <w:lang w:val="pt-BR"/>
        </w:rPr>
      </w:pPr>
      <w:r>
        <w:rPr>
          <w:rFonts w:cs="Calibri"/>
          <w:lang w:val="pt-BR"/>
        </w:rPr>
      </w:r>
    </w:p>
    <w:p>
      <w:pPr>
        <w:pStyle w:val="Normal"/>
        <w:spacing w:lineRule="auto" w:line="240"/>
        <w:ind w:start="2268" w:end="0"/>
        <w:jc w:val="both"/>
        <w:rPr>
          <w:rFonts w:cs="Calibri"/>
          <w:sz w:val="20"/>
          <w:szCs w:val="20"/>
          <w:lang w:val="pt-BR"/>
        </w:rPr>
      </w:pPr>
      <w:r>
        <w:rPr>
          <w:rFonts w:cs="Calibri"/>
          <w:sz w:val="20"/>
          <w:szCs w:val="20"/>
          <w:lang w:val="pt-BR"/>
        </w:rPr>
        <w:t xml:space="preserve">Art. 2° do CDC – </w:t>
      </w:r>
      <w:r>
        <w:rPr>
          <w:rFonts w:cs="Calibri"/>
          <w:b/>
          <w:sz w:val="20"/>
          <w:szCs w:val="20"/>
          <w:lang w:val="pt-BR"/>
        </w:rPr>
        <w:t>Consumidor é toda pessoa física ou jurídica que adquire ou utilize produto ou serviço como destinatário final.</w:t>
      </w:r>
    </w:p>
    <w:p>
      <w:pPr>
        <w:pStyle w:val="Normal"/>
        <w:spacing w:lineRule="auto" w:line="240"/>
        <w:ind w:start="2268" w:end="0"/>
        <w:jc w:val="both"/>
        <w:rPr>
          <w:rFonts w:cs="Calibri"/>
          <w:sz w:val="20"/>
          <w:szCs w:val="20"/>
          <w:lang w:val="pt-BR"/>
        </w:rPr>
      </w:pPr>
      <w:r>
        <w:rPr>
          <w:rFonts w:cs="Calibri"/>
          <w:sz w:val="20"/>
          <w:szCs w:val="20"/>
          <w:lang w:val="pt-BR"/>
        </w:rPr>
      </w:r>
    </w:p>
    <w:p>
      <w:pPr>
        <w:pStyle w:val="Normal"/>
        <w:spacing w:lineRule="auto" w:line="240"/>
        <w:ind w:start="2268" w:end="0"/>
        <w:jc w:val="both"/>
        <w:rPr>
          <w:rFonts w:cs="Calibri"/>
          <w:sz w:val="20"/>
          <w:szCs w:val="20"/>
          <w:lang w:val="pt-BR"/>
        </w:rPr>
      </w:pPr>
      <w:r>
        <w:rPr>
          <w:rFonts w:cs="Calibri"/>
          <w:sz w:val="20"/>
          <w:szCs w:val="20"/>
          <w:lang w:val="pt-BR"/>
        </w:rPr>
        <w:t>Parágrafo único. Equipara-se a consumidor a coletividade de pessoas, ainda que indetermináveis, que haja intervindo nas relações de consumo. (Grifo nosso)</w:t>
      </w:r>
    </w:p>
    <w:p>
      <w:pPr>
        <w:pStyle w:val="Normal"/>
        <w:spacing w:lineRule="auto" w:line="300"/>
        <w:ind w:firstLine="2835" w:end="0"/>
        <w:jc w:val="both"/>
        <w:rPr>
          <w:rFonts w:cs="Calibri"/>
          <w:sz w:val="20"/>
          <w:szCs w:val="20"/>
          <w:lang w:val="pt-BR"/>
        </w:rPr>
      </w:pPr>
      <w:r>
        <w:rPr>
          <w:rFonts w:cs="Calibri"/>
          <w:sz w:val="20"/>
          <w:szCs w:val="20"/>
          <w:lang w:val="pt-BR"/>
        </w:rPr>
      </w:r>
    </w:p>
    <w:p>
      <w:pPr>
        <w:pStyle w:val="Normal"/>
        <w:spacing w:lineRule="auto" w:line="300"/>
        <w:ind w:firstLine="1418" w:end="0"/>
        <w:jc w:val="both"/>
        <w:rPr/>
      </w:pPr>
      <w:r>
        <w:rPr>
          <w:rFonts w:cs="Calibri"/>
          <w:lang w:val="pt-BR"/>
        </w:rPr>
        <w:t xml:space="preserve">De outro lado, figura o requerido na condição de fornecedor, por se tratar de pessoa jurídica de direito privado que atua na prestação de serviços bancários e securitários, enquadrando-se, portanto, no conceito previsto no art. 3º do Código de Defesa do Consumidor. </w:t>
      </w:r>
    </w:p>
    <w:p>
      <w:pPr>
        <w:pStyle w:val="Normal"/>
        <w:spacing w:lineRule="auto" w:line="300"/>
        <w:ind w:firstLine="1701" w:end="0"/>
        <w:jc w:val="both"/>
        <w:rPr>
          <w:rFonts w:cs="Calibri"/>
          <w:lang w:val="pt-BR"/>
        </w:rPr>
      </w:pPr>
      <w:r>
        <w:rPr>
          <w:rFonts w:cs="Calibri"/>
          <w:lang w:val="pt-BR"/>
        </w:rPr>
      </w:r>
    </w:p>
    <w:p>
      <w:pPr>
        <w:pStyle w:val="Normal"/>
        <w:spacing w:lineRule="auto" w:line="240"/>
        <w:ind w:start="2268" w:end="0"/>
        <w:jc w:val="both"/>
        <w:rPr/>
      </w:pPr>
      <w:r>
        <w:rPr>
          <w:rFonts w:cs="Calibri"/>
          <w:sz w:val="20"/>
          <w:szCs w:val="20"/>
          <w:lang w:val="pt-BR"/>
        </w:rPr>
        <w:t xml:space="preserve">Art. 3° do CDC – Fornecedor é toda pessoa física ou jurídica, pública ou privada, nacional ou estrangeira, bem como os entes despersonalizados, que desenvolvem atividade de produção, montagem, criação, construção, transformação, importação, exportação, </w:t>
      </w:r>
      <w:r>
        <w:rPr>
          <w:rFonts w:cs="Calibri"/>
          <w:b/>
          <w:sz w:val="20"/>
          <w:szCs w:val="20"/>
          <w:lang w:val="pt-BR"/>
        </w:rPr>
        <w:t>distribuição ou comercialização de produtos ou prestação de serviços</w:t>
      </w:r>
      <w:r>
        <w:rPr>
          <w:rFonts w:cs="Calibri"/>
          <w:sz w:val="20"/>
          <w:szCs w:val="20"/>
          <w:lang w:val="pt-BR"/>
        </w:rPr>
        <w:t xml:space="preserve">. </w:t>
      </w:r>
    </w:p>
    <w:p>
      <w:pPr>
        <w:pStyle w:val="Normal"/>
        <w:spacing w:lineRule="auto" w:line="240"/>
        <w:ind w:start="2268" w:end="0"/>
        <w:jc w:val="both"/>
        <w:rPr>
          <w:rFonts w:cs="Calibri"/>
          <w:sz w:val="20"/>
          <w:szCs w:val="20"/>
          <w:lang w:val="pt-BR"/>
        </w:rPr>
      </w:pPr>
      <w:r>
        <w:rPr>
          <w:rFonts w:cs="Calibri"/>
          <w:sz w:val="20"/>
          <w:szCs w:val="20"/>
          <w:lang w:val="pt-BR"/>
        </w:rPr>
      </w:r>
    </w:p>
    <w:p>
      <w:pPr>
        <w:pStyle w:val="Normal"/>
        <w:spacing w:lineRule="auto" w:line="240"/>
        <w:ind w:start="2268" w:end="0"/>
        <w:jc w:val="both"/>
        <w:rPr>
          <w:rFonts w:cs="Calibri"/>
          <w:sz w:val="20"/>
          <w:szCs w:val="20"/>
          <w:lang w:val="pt-BR"/>
        </w:rPr>
      </w:pPr>
      <w:r>
        <w:rPr>
          <w:rFonts w:cs="Calibri"/>
          <w:sz w:val="20"/>
          <w:szCs w:val="20"/>
          <w:lang w:val="pt-BR"/>
        </w:rPr>
        <w:t>§1° Produto é qualquer bem, móvel ou imóvel, material ou imaterial.</w:t>
      </w:r>
    </w:p>
    <w:p>
      <w:pPr>
        <w:pStyle w:val="Normal"/>
        <w:spacing w:lineRule="auto" w:line="240"/>
        <w:ind w:start="2268" w:end="0"/>
        <w:jc w:val="both"/>
        <w:rPr>
          <w:rFonts w:cs="Calibri"/>
          <w:sz w:val="20"/>
          <w:szCs w:val="20"/>
          <w:lang w:val="pt-BR"/>
        </w:rPr>
      </w:pPr>
      <w:r>
        <w:rPr>
          <w:rFonts w:cs="Calibri"/>
          <w:sz w:val="20"/>
          <w:szCs w:val="20"/>
          <w:lang w:val="pt-BR"/>
        </w:rPr>
      </w:r>
    </w:p>
    <w:p>
      <w:pPr>
        <w:pStyle w:val="Normal"/>
        <w:spacing w:lineRule="auto" w:line="240"/>
        <w:ind w:start="2268" w:end="0"/>
        <w:jc w:val="both"/>
        <w:rPr/>
      </w:pPr>
      <w:r>
        <w:rPr>
          <w:rFonts w:cs="Calibri"/>
          <w:sz w:val="20"/>
          <w:szCs w:val="20"/>
          <w:lang w:val="pt-BR"/>
        </w:rPr>
        <w:t xml:space="preserve">§2° Serviço é qualquer atividade fornecida no mercado de consumo, mediante remuneração, inclusive as de natureza bancária, financeira, de crédito e securitária, salvo as decorrentes das relações de caráter trabalhista. (Grifo nosso)  </w:t>
      </w:r>
    </w:p>
    <w:p>
      <w:pPr>
        <w:pStyle w:val="Normal"/>
        <w:spacing w:lineRule="auto" w:line="300"/>
        <w:ind w:firstLine="1701" w:end="0"/>
        <w:jc w:val="both"/>
        <w:rPr>
          <w:rFonts w:cs="Calibri"/>
          <w:sz w:val="20"/>
          <w:szCs w:val="20"/>
          <w:lang w:val="pt-BR"/>
        </w:rPr>
      </w:pPr>
      <w:r>
        <w:rPr>
          <w:rFonts w:cs="Calibri"/>
          <w:sz w:val="20"/>
          <w:szCs w:val="20"/>
          <w:lang w:val="pt-BR"/>
        </w:rPr>
      </w:r>
    </w:p>
    <w:p>
      <w:pPr>
        <w:pStyle w:val="Normal"/>
        <w:spacing w:lineRule="auto" w:line="300"/>
        <w:ind w:firstLine="1418" w:end="0"/>
        <w:jc w:val="both"/>
        <w:rPr/>
      </w:pPr>
      <w:r>
        <w:rPr>
          <w:rFonts w:cs="Calibri"/>
          <w:lang w:val="pt-BR"/>
        </w:rPr>
        <w:t xml:space="preserve">Nos termos do §2º do art. 3º do CDC, considera-se serviço </w:t>
      </w:r>
      <w:r>
        <w:rPr>
          <w:rFonts w:cs="Calibri"/>
          <w:b/>
          <w:bCs/>
          <w:lang w:val="pt-BR"/>
        </w:rPr>
        <w:t>qualquer atividade fornecida no mercado de consumo mediante remuneração, inclusive as de natureza bancária, financeira, de crédito e securitária</w:t>
      </w:r>
      <w:r>
        <w:rPr>
          <w:rFonts w:cs="Calibri"/>
          <w:lang w:val="pt-BR"/>
        </w:rPr>
        <w:t>, circunstância que reforça, de modo categórico, a incidência das normas consumeristas à hipótese dos autos.</w:t>
      </w:r>
    </w:p>
    <w:p>
      <w:pPr>
        <w:pStyle w:val="Normal"/>
        <w:spacing w:lineRule="auto" w:line="300"/>
        <w:ind w:firstLine="1701" w:end="0"/>
        <w:jc w:val="both"/>
        <w:rPr>
          <w:rFonts w:cs="Calibri"/>
          <w:lang w:val="pt-BR"/>
        </w:rPr>
      </w:pPr>
      <w:r>
        <w:rPr>
          <w:rFonts w:cs="Calibri"/>
          <w:lang w:val="pt-BR"/>
        </w:rPr>
      </w:r>
    </w:p>
    <w:p>
      <w:pPr>
        <w:pStyle w:val="Normal"/>
        <w:spacing w:lineRule="auto" w:line="300"/>
        <w:ind w:firstLine="1418" w:end="0"/>
        <w:jc w:val="both"/>
        <w:rPr/>
      </w:pPr>
      <w:r>
        <w:rPr>
          <w:rFonts w:cs="Calibri"/>
          <w:lang w:val="pt-BR"/>
        </w:rPr>
        <w:t xml:space="preserve">A propósito, a doutrina é pacífica quanto à amplitude do conceito de fornecedor, consoante leciona </w:t>
      </w:r>
      <w:r>
        <w:rPr>
          <w:rFonts w:cs="Calibri"/>
          <w:b/>
          <w:bCs/>
          <w:lang w:val="pt-BR"/>
        </w:rPr>
        <w:t>Rizzatto Nunes</w:t>
      </w:r>
      <w:r>
        <w:rPr>
          <w:rFonts w:cs="Calibri"/>
          <w:lang w:val="pt-BR"/>
        </w:rPr>
        <w:t>, ao afirmar que:</w:t>
      </w:r>
    </w:p>
    <w:p>
      <w:pPr>
        <w:pStyle w:val="Normal"/>
        <w:spacing w:lineRule="auto" w:line="300"/>
        <w:ind w:firstLine="1701" w:end="0"/>
        <w:jc w:val="both"/>
        <w:rPr>
          <w:rFonts w:cs="Calibri"/>
          <w:lang w:val="pt-BR"/>
        </w:rPr>
      </w:pPr>
      <w:r>
        <w:rPr>
          <w:rFonts w:cs="Calibri"/>
          <w:lang w:val="pt-BR"/>
        </w:rPr>
      </w:r>
    </w:p>
    <w:p>
      <w:pPr>
        <w:pStyle w:val="Normal"/>
        <w:spacing w:lineRule="auto" w:line="240"/>
        <w:ind w:start="2268" w:end="0"/>
        <w:jc w:val="both"/>
        <w:rPr>
          <w:rFonts w:cs="Calibri"/>
          <w:sz w:val="20"/>
          <w:szCs w:val="20"/>
          <w:lang w:val="pt-BR"/>
        </w:rPr>
      </w:pPr>
      <w:r>
        <w:rPr>
          <w:rFonts w:cs="Calibri"/>
          <w:sz w:val="20"/>
          <w:szCs w:val="20"/>
          <w:lang w:val="pt-BR"/>
        </w:rPr>
        <w:t xml:space="preserve">“São fornecedores as pessoas jurídicas públicas ou privadas, nacionais ou estrangeiras, com sede ou não no país, as sociedades anônimas, as por quotas de responsabilidade limitada, as sociedades civis com ou sem fins lucrativos, as fundações, as sociedades de economia mista, as empresas públicas, as autarquias, os órgãos da Administração direta, etc. (in Curso de Direito do Consumidor, 2008, 3ª edição, Ed. Saraiva, pág. 86)” </w:t>
      </w:r>
    </w:p>
    <w:p>
      <w:pPr>
        <w:pStyle w:val="Normal"/>
        <w:spacing w:lineRule="auto" w:line="300"/>
        <w:ind w:firstLine="1701" w:end="0"/>
        <w:jc w:val="both"/>
        <w:rPr>
          <w:rFonts w:cs="Calibri"/>
          <w:sz w:val="20"/>
          <w:szCs w:val="20"/>
          <w:lang w:val="pt-BR"/>
        </w:rPr>
      </w:pPr>
      <w:r>
        <w:rPr>
          <w:rFonts w:cs="Calibri"/>
          <w:sz w:val="20"/>
          <w:szCs w:val="20"/>
          <w:lang w:val="pt-BR"/>
        </w:rPr>
      </w:r>
    </w:p>
    <w:p>
      <w:pPr>
        <w:pStyle w:val="Normal"/>
        <w:spacing w:lineRule="auto" w:line="300"/>
        <w:ind w:firstLine="1418" w:end="0"/>
        <w:jc w:val="both"/>
        <w:rPr/>
      </w:pPr>
      <w:r>
        <w:rPr>
          <w:rFonts w:cs="Calibri"/>
          <w:lang w:val="pt-BR"/>
        </w:rPr>
        <w:t xml:space="preserve">Dessa forma, não subsistem dúvidas quanto à condição da empresa requerida como fornecedora de serviços, devendo, por conseguinte, </w:t>
      </w:r>
      <w:r>
        <w:rPr>
          <w:rFonts w:cs="Calibri"/>
          <w:b/>
          <w:bCs/>
          <w:lang w:val="pt-BR"/>
        </w:rPr>
        <w:t>responder objetivamente pelos atos ilícitos e práticas abusivas perpetradas</w:t>
      </w:r>
      <w:r>
        <w:rPr>
          <w:rFonts w:cs="Calibri"/>
          <w:lang w:val="pt-BR"/>
        </w:rPr>
        <w:t>, nos termos da legislação consumerista, inclusive quanto ao dever de reparação dos danos causados à parte requerente.</w:t>
      </w:r>
    </w:p>
    <w:p>
      <w:pPr>
        <w:pStyle w:val="Normal"/>
        <w:spacing w:lineRule="auto" w:line="300"/>
        <w:ind w:firstLine="1418" w:end="0"/>
        <w:jc w:val="both"/>
        <w:rPr>
          <w:rFonts w:cs="Calibri"/>
          <w:lang w:val="pt-BR"/>
        </w:rPr>
      </w:pPr>
      <w:r>
        <w:rPr>
          <w:rFonts w:cs="Calibri"/>
          <w:lang w:val="pt-BR"/>
        </w:rPr>
      </w:r>
    </w:p>
    <w:p>
      <w:pPr>
        <w:pStyle w:val="Normal"/>
        <w:spacing w:lineRule="auto" w:line="300"/>
        <w:ind w:firstLine="1418" w:end="0"/>
        <w:jc w:val="both"/>
        <w:rPr/>
      </w:pPr>
      <w:r>
        <w:rPr>
          <w:rFonts w:cs="Calibri"/>
          <w:lang w:val="pt-BR"/>
        </w:rPr>
        <w:t>Assim, mostra-se plenamente aplicável o Código de Defesa do Consumidor à presente demanda, porquanto configurados, de maneira cristalina, os elementos subjetivos e objetivos da relação de consumo, inexistindo qualquer óbice jurídico à incidência das normas protetivas previstas no referido diploma legal.</w:t>
      </w:r>
    </w:p>
    <w:p>
      <w:pPr>
        <w:pStyle w:val="Normal"/>
        <w:spacing w:lineRule="auto" w:line="300"/>
        <w:jc w:val="both"/>
        <w:rPr>
          <w:rFonts w:cs="Calibri"/>
          <w:lang w:val="pt-BR"/>
        </w:rPr>
      </w:pPr>
      <w:r>
        <w:rPr>
          <w:rFonts w:cs="Calibri"/>
          <w:lang w:val="pt-BR"/>
        </w:rPr>
      </w:r>
    </w:p>
    <w:p>
      <w:pPr>
        <w:pStyle w:val="Normal"/>
        <w:pBdr>
          <w:top w:val="single" w:sz="12" w:space="1" w:color="000000" w:shadow="1"/>
          <w:left w:val="single" w:sz="12" w:space="4" w:color="000000" w:shadow="1"/>
          <w:bottom w:val="single" w:sz="12" w:space="1" w:color="000000" w:shadow="1"/>
          <w:right w:val="single" w:sz="12" w:space="4" w:color="000000" w:shadow="1"/>
        </w:pBdr>
        <w:shd w:fill="F2F2F2" w:val="clear"/>
        <w:spacing w:lineRule="auto" w:line="300"/>
        <w:jc w:val="both"/>
        <w:rPr>
          <w:rFonts w:cs="Calibri"/>
          <w:b/>
          <w:lang w:val="pt-BR"/>
        </w:rPr>
      </w:pPr>
      <w:r>
        <w:rPr>
          <w:rFonts w:cs="Calibri"/>
          <w:b/>
          <w:lang w:val="pt-BR"/>
        </w:rPr>
        <w:t xml:space="preserve">3.2 - DA RESPONSABILIDADE OBJETIVA NO CDC </w:t>
      </w:r>
    </w:p>
    <w:p>
      <w:pPr>
        <w:pStyle w:val="Normal"/>
        <w:spacing w:lineRule="auto" w:line="300"/>
        <w:jc w:val="both"/>
        <w:rPr>
          <w:rFonts w:cs="Calibri"/>
          <w:lang w:val="pt-BR"/>
        </w:rPr>
      </w:pPr>
      <w:r>
        <w:rPr>
          <w:rFonts w:cs="Calibri"/>
          <w:lang w:val="pt-BR"/>
        </w:rPr>
        <w:t xml:space="preserve"> </w:t>
      </w:r>
    </w:p>
    <w:p>
      <w:pPr>
        <w:pStyle w:val="Normal"/>
        <w:tabs>
          <w:tab w:val="clear" w:pos="720"/>
          <w:tab w:val="left" w:pos="1418" w:leader="none"/>
        </w:tabs>
        <w:spacing w:lineRule="auto" w:line="300"/>
        <w:ind w:firstLine="1701" w:end="0"/>
        <w:jc w:val="both"/>
        <w:rPr>
          <w:rFonts w:cs="Calibri"/>
          <w:lang w:val="pt-BR"/>
        </w:rPr>
      </w:pPr>
      <w:r>
        <w:rPr>
          <w:rFonts w:cs="Calibri"/>
          <w:lang w:val="pt-BR"/>
        </w:rPr>
        <w:t>No caso em análise, impõe-se o reconhecimento da responsabilidade objetiva da empresa requerida, na condição de fornecedora e prestadora de serviços, nos termos do art. 14 do Código de Defesa do Consumidor, o qual disciplina, de forma expressa, a responsabilidade civil no âmbito das relações de consumo.</w:t>
      </w:r>
    </w:p>
    <w:p>
      <w:pPr>
        <w:pStyle w:val="Normal"/>
        <w:tabs>
          <w:tab w:val="clear" w:pos="720"/>
          <w:tab w:val="left" w:pos="1418" w:leader="none"/>
        </w:tabs>
        <w:spacing w:lineRule="auto" w:line="300"/>
        <w:ind w:firstLine="1701" w:end="0"/>
        <w:jc w:val="both"/>
        <w:rPr>
          <w:rFonts w:cs="Calibri"/>
          <w:lang w:val="pt-BR"/>
        </w:rPr>
      </w:pPr>
      <w:r>
        <w:rPr>
          <w:rFonts w:cs="Calibri"/>
          <w:lang w:val="pt-BR"/>
        </w:rPr>
      </w:r>
    </w:p>
    <w:p>
      <w:pPr>
        <w:pStyle w:val="Normal"/>
        <w:tabs>
          <w:tab w:val="clear" w:pos="720"/>
          <w:tab w:val="left" w:pos="1418" w:leader="none"/>
        </w:tabs>
        <w:spacing w:lineRule="auto" w:line="300"/>
        <w:ind w:firstLine="1701" w:end="0"/>
        <w:jc w:val="both"/>
        <w:rPr>
          <w:rFonts w:cs="Calibri"/>
          <w:lang w:val="pt-BR"/>
        </w:rPr>
      </w:pPr>
      <w:r>
        <w:rPr>
          <w:rFonts w:cs="Calibri"/>
          <w:lang w:val="pt-BR"/>
        </w:rPr>
        <w:t xml:space="preserve">Dispõe o art. 14 do CDC que o fornecedor de serviços </w:t>
      </w:r>
      <w:r>
        <w:rPr>
          <w:rFonts w:cs="Calibri"/>
          <w:b/>
          <w:bCs/>
          <w:lang w:val="pt-BR"/>
        </w:rPr>
        <w:t>responde independentemente da existência de culpa</w:t>
      </w:r>
      <w:r>
        <w:rPr>
          <w:rFonts w:cs="Calibri"/>
          <w:lang w:val="pt-BR"/>
        </w:rPr>
        <w:t xml:space="preserve"> pela reparação dos danos causados aos consumidores por defeitos relativos à prestação dos serviços, bem como por informações insuficientes ou inadequadas acerca de sua fruição e riscos.</w:t>
      </w:r>
    </w:p>
    <w:p>
      <w:pPr>
        <w:pStyle w:val="Normal"/>
        <w:tabs>
          <w:tab w:val="clear" w:pos="720"/>
          <w:tab w:val="left" w:pos="1418" w:leader="none"/>
        </w:tabs>
        <w:spacing w:lineRule="auto" w:line="300"/>
        <w:ind w:firstLine="1701" w:end="0"/>
        <w:jc w:val="both"/>
        <w:rPr>
          <w:rFonts w:cs="Calibri"/>
          <w:lang w:val="pt-BR"/>
        </w:rPr>
      </w:pPr>
      <w:r>
        <w:rPr>
          <w:rFonts w:cs="Calibri"/>
          <w:lang w:val="pt-BR"/>
        </w:rPr>
      </w:r>
    </w:p>
    <w:p>
      <w:pPr>
        <w:pStyle w:val="Normal"/>
        <w:spacing w:lineRule="auto" w:line="240"/>
        <w:ind w:start="2268" w:end="0"/>
        <w:jc w:val="both"/>
        <w:rPr>
          <w:rFonts w:cs="Calibri"/>
          <w:sz w:val="20"/>
          <w:szCs w:val="20"/>
          <w:lang w:val="pt-BR"/>
        </w:rPr>
      </w:pPr>
      <w:r>
        <w:rPr>
          <w:rFonts w:cs="Calibri"/>
          <w:sz w:val="20"/>
          <w:szCs w:val="20"/>
          <w:lang w:val="pt-BR"/>
        </w:rPr>
        <w:t xml:space="preserve">Art. 14. O fornecedor de serviços responde independentemente da existência de culpa, pela reparação dos danos causados aos consumidores por defeitos relativos à prestação dos serviços, bem como por informações insuficientes ou inadequadas sobre sua fruição e riscos. </w:t>
      </w:r>
    </w:p>
    <w:p>
      <w:pPr>
        <w:pStyle w:val="Normal"/>
        <w:spacing w:lineRule="auto" w:line="240"/>
        <w:ind w:start="2268" w:end="0"/>
        <w:jc w:val="both"/>
        <w:rPr>
          <w:rFonts w:cs="Calibri"/>
          <w:sz w:val="20"/>
          <w:szCs w:val="20"/>
          <w:lang w:val="pt-BR"/>
        </w:rPr>
      </w:pPr>
      <w:r>
        <w:rPr>
          <w:rFonts w:cs="Calibri"/>
          <w:sz w:val="20"/>
          <w:szCs w:val="20"/>
          <w:lang w:val="pt-BR"/>
        </w:rPr>
      </w:r>
    </w:p>
    <w:p>
      <w:pPr>
        <w:pStyle w:val="Normal"/>
        <w:spacing w:lineRule="auto" w:line="240"/>
        <w:ind w:start="2268" w:end="0"/>
        <w:jc w:val="both"/>
        <w:rPr>
          <w:rFonts w:cs="Calibri"/>
          <w:sz w:val="20"/>
          <w:szCs w:val="20"/>
          <w:lang w:val="pt-BR"/>
        </w:rPr>
      </w:pPr>
      <w:r>
        <w:rPr>
          <w:rFonts w:cs="Calibri"/>
          <w:sz w:val="20"/>
          <w:szCs w:val="20"/>
          <w:lang w:val="pt-BR"/>
        </w:rPr>
        <w:t>§ 1º - O serviço é defeituoso quando não fornece a segurança que o consumidor dele pode esperar, levando-se em consideração as circunstâncias relevantes, entre as quais:</w:t>
      </w:r>
    </w:p>
    <w:p>
      <w:pPr>
        <w:pStyle w:val="Normal"/>
        <w:spacing w:lineRule="auto" w:line="240"/>
        <w:ind w:start="2268" w:end="0"/>
        <w:jc w:val="both"/>
        <w:rPr>
          <w:rFonts w:cs="Calibri"/>
          <w:sz w:val="20"/>
          <w:szCs w:val="20"/>
          <w:lang w:val="pt-BR"/>
        </w:rPr>
      </w:pPr>
      <w:r>
        <w:rPr>
          <w:rFonts w:cs="Calibri"/>
          <w:sz w:val="20"/>
          <w:szCs w:val="20"/>
          <w:lang w:val="pt-BR"/>
        </w:rPr>
        <w:t xml:space="preserve"> </w:t>
      </w:r>
    </w:p>
    <w:p>
      <w:pPr>
        <w:pStyle w:val="Normal"/>
        <w:spacing w:lineRule="auto" w:line="240"/>
        <w:ind w:start="2268" w:end="0"/>
        <w:jc w:val="both"/>
        <w:rPr>
          <w:rFonts w:cs="Calibri"/>
          <w:sz w:val="20"/>
          <w:szCs w:val="20"/>
          <w:lang w:val="pt-BR"/>
        </w:rPr>
      </w:pPr>
      <w:r>
        <w:rPr>
          <w:rFonts w:cs="Calibri"/>
          <w:sz w:val="20"/>
          <w:szCs w:val="20"/>
          <w:lang w:val="pt-BR"/>
        </w:rPr>
        <w:t>I - o modo de seu fornecimento; (...)</w:t>
      </w:r>
    </w:p>
    <w:p>
      <w:pPr>
        <w:pStyle w:val="Normal"/>
        <w:spacing w:lineRule="auto" w:line="300"/>
        <w:ind w:firstLine="2268" w:start="-567" w:end="0"/>
        <w:jc w:val="both"/>
        <w:rPr>
          <w:rFonts w:cs="Calibri"/>
          <w:sz w:val="20"/>
          <w:szCs w:val="20"/>
          <w:lang w:val="pt-BR"/>
        </w:rPr>
      </w:pPr>
      <w:r>
        <w:rPr>
          <w:rFonts w:cs="Calibri"/>
          <w:sz w:val="20"/>
          <w:szCs w:val="20"/>
          <w:lang w:val="pt-BR"/>
        </w:rPr>
      </w:r>
    </w:p>
    <w:p>
      <w:pPr>
        <w:pStyle w:val="Normal"/>
        <w:spacing w:lineRule="auto" w:line="300"/>
        <w:ind w:firstLine="1701" w:end="0"/>
        <w:jc w:val="both"/>
        <w:rPr/>
      </w:pPr>
      <w:r>
        <w:rPr>
          <w:rFonts w:cs="Calibri"/>
          <w:lang w:val="pt-BR"/>
        </w:rPr>
        <w:t xml:space="preserve">Nos termos do §1º do referido dispositivo legal, considera-se defeituoso o serviço que </w:t>
      </w:r>
      <w:r>
        <w:rPr>
          <w:rFonts w:cs="Calibri"/>
          <w:b/>
          <w:bCs/>
          <w:lang w:val="pt-BR"/>
        </w:rPr>
        <w:t>não fornece a segurança que o consumidor dele pode legitimamente esperar</w:t>
      </w:r>
      <w:r>
        <w:rPr>
          <w:rFonts w:cs="Calibri"/>
          <w:lang w:val="pt-BR"/>
        </w:rPr>
        <w:t>, levando-se em conta, dentre outras circunstâncias relevantes, o modo de seu fornecimento.</w:t>
      </w:r>
    </w:p>
    <w:p>
      <w:pPr>
        <w:pStyle w:val="Normal"/>
        <w:spacing w:lineRule="auto" w:line="300"/>
        <w:ind w:firstLine="1701" w:end="0"/>
        <w:jc w:val="both"/>
        <w:rPr>
          <w:rFonts w:cs="Calibri"/>
          <w:lang w:val="pt-BR"/>
        </w:rPr>
      </w:pPr>
      <w:r>
        <w:rPr>
          <w:rFonts w:cs="Calibri"/>
          <w:lang w:val="pt-BR"/>
        </w:rPr>
      </w:r>
    </w:p>
    <w:p>
      <w:pPr>
        <w:pStyle w:val="Normal"/>
        <w:spacing w:lineRule="auto" w:line="300"/>
        <w:ind w:firstLine="1701" w:end="0"/>
        <w:jc w:val="both"/>
        <w:rPr/>
      </w:pPr>
      <w:r>
        <w:rPr>
          <w:rFonts w:cs="Calibri"/>
          <w:lang w:val="pt-BR"/>
        </w:rPr>
        <w:t xml:space="preserve">Desse modo, o ordenamento jurídico pátrio é inequívoco ao estabelecer que, configurada a relação de consumo, o fornecedor de serviços </w:t>
      </w:r>
      <w:r>
        <w:rPr>
          <w:rFonts w:cs="Calibri"/>
          <w:b/>
          <w:bCs/>
          <w:lang w:val="pt-BR"/>
        </w:rPr>
        <w:t>assume o risco da atividade que desenvolve</w:t>
      </w:r>
      <w:r>
        <w:rPr>
          <w:rFonts w:cs="Calibri"/>
          <w:lang w:val="pt-BR"/>
        </w:rPr>
        <w:t>, sendo-lhe imposta a obrigação de indenizar os danos causados ao consumidor, independentemente da demonstração de culpa, bastando a comprovação do defeito na prestação do serviço e do nexo causal com o dano suportado.</w:t>
      </w:r>
    </w:p>
    <w:p>
      <w:pPr>
        <w:pStyle w:val="Normal"/>
        <w:spacing w:lineRule="auto" w:line="300"/>
        <w:ind w:firstLine="1701" w:end="0"/>
        <w:jc w:val="both"/>
        <w:rPr>
          <w:rFonts w:cs="Calibri"/>
          <w:lang w:val="pt-BR"/>
        </w:rPr>
      </w:pPr>
      <w:r>
        <w:rPr>
          <w:rFonts w:cs="Calibri"/>
          <w:lang w:val="pt-BR"/>
        </w:rPr>
      </w:r>
    </w:p>
    <w:p>
      <w:pPr>
        <w:pStyle w:val="Normal"/>
        <w:spacing w:lineRule="auto" w:line="300"/>
        <w:ind w:firstLine="1701" w:end="0"/>
        <w:jc w:val="both"/>
        <w:rPr>
          <w:rFonts w:cs="Calibri"/>
          <w:lang w:val="pt-BR"/>
        </w:rPr>
      </w:pPr>
      <w:r>
        <w:rPr>
          <w:rFonts w:cs="Calibri"/>
          <w:lang w:val="pt-BR"/>
        </w:rPr>
        <w:t xml:space="preserve">No caso concreto, a realização de </w:t>
      </w:r>
      <w:r>
        <w:rPr>
          <w:rFonts w:cs="Calibri"/>
          <w:b/>
          <w:bCs/>
          <w:lang w:val="pt-BR"/>
        </w:rPr>
        <w:t>descontos indevidos e não autorizados</w:t>
      </w:r>
      <w:r>
        <w:rPr>
          <w:rFonts w:cs="Calibri"/>
          <w:lang w:val="pt-BR"/>
        </w:rPr>
        <w:t xml:space="preserve"> na conta bancária da parte requerente evidencia falha na prestação do serviço, caracterizando serviço defeituoso, na medida em que violou a legítima expectativa de segurança, transparência e confiança que o consumidor deposita na instituição financeira, além de lhe ocasionar prejuízos patrimoniais efetivos.</w:t>
      </w:r>
    </w:p>
    <w:p>
      <w:pPr>
        <w:pStyle w:val="Normal"/>
        <w:spacing w:lineRule="auto" w:line="300"/>
        <w:ind w:firstLine="1701" w:end="0"/>
        <w:jc w:val="both"/>
        <w:rPr>
          <w:rFonts w:cs="Calibri"/>
          <w:lang w:val="pt-BR"/>
        </w:rPr>
      </w:pPr>
      <w:r>
        <w:rPr>
          <w:rFonts w:cs="Calibri"/>
          <w:lang w:val="pt-BR"/>
        </w:rPr>
      </w:r>
    </w:p>
    <w:p>
      <w:pPr>
        <w:pStyle w:val="Normal"/>
        <w:spacing w:lineRule="auto" w:line="300"/>
        <w:ind w:firstLine="1701" w:end="0"/>
        <w:jc w:val="both"/>
        <w:rPr>
          <w:rFonts w:cs="Calibri"/>
          <w:lang w:val="pt-BR"/>
        </w:rPr>
      </w:pPr>
      <w:r>
        <w:rPr>
          <w:rFonts w:cs="Calibri"/>
          <w:lang w:val="pt-BR"/>
        </w:rPr>
        <w:t>A doutrina é uníssona ao reconhecer a adoção da responsabilidade objetiva nas relações de consumo, conforme leciona Sílvio de Salvo Venosa, ao afirmar que:</w:t>
      </w:r>
    </w:p>
    <w:p>
      <w:pPr>
        <w:pStyle w:val="Normal"/>
        <w:spacing w:lineRule="auto" w:line="300"/>
        <w:ind w:firstLine="2835" w:end="0"/>
        <w:jc w:val="both"/>
        <w:rPr>
          <w:rFonts w:cs="Calibri"/>
          <w:lang w:val="pt-BR"/>
        </w:rPr>
      </w:pPr>
      <w:r>
        <w:rPr>
          <w:rFonts w:cs="Calibri"/>
          <w:lang w:val="pt-BR"/>
        </w:rPr>
      </w:r>
    </w:p>
    <w:p>
      <w:pPr>
        <w:pStyle w:val="Normal"/>
        <w:spacing w:lineRule="auto" w:line="240"/>
        <w:ind w:start="2268" w:end="0"/>
        <w:jc w:val="both"/>
        <w:rPr/>
      </w:pPr>
      <w:r>
        <w:rPr>
          <w:rFonts w:cs="Calibri"/>
          <w:sz w:val="20"/>
          <w:szCs w:val="20"/>
          <w:lang w:val="pt-BR"/>
        </w:rPr>
        <w:t xml:space="preserve">“Os danos projetados nos consumidores, decorrentes da atividade do fornecedor de produtos e serviços, devem ser cabalmente indenizados. No nosso sistema foi adotada a responsabilidade objetiva no campo do consumidor, sem que haja limites para a indenização. Ao contrário do que ocorre em outros setores, no campo da indenização aos consumidores não existe limitação tarifada.” (in, Direito Civil. Responsabilidade Civil, São Paulo, Ed. Atlas, 2004, p. 206). </w:t>
      </w:r>
    </w:p>
    <w:p>
      <w:pPr>
        <w:pStyle w:val="Normal"/>
        <w:spacing w:lineRule="auto" w:line="300"/>
        <w:ind w:firstLine="2835" w:end="0"/>
        <w:jc w:val="both"/>
        <w:rPr>
          <w:rFonts w:cs="Calibri"/>
          <w:sz w:val="20"/>
          <w:szCs w:val="20"/>
          <w:lang w:val="pt-BR"/>
        </w:rPr>
      </w:pPr>
      <w:r>
        <w:rPr>
          <w:rFonts w:cs="Calibri"/>
          <w:sz w:val="20"/>
          <w:szCs w:val="20"/>
          <w:lang w:val="pt-BR"/>
        </w:rPr>
      </w:r>
    </w:p>
    <w:p>
      <w:pPr>
        <w:pStyle w:val="Normal"/>
        <w:spacing w:lineRule="auto" w:line="300"/>
        <w:ind w:firstLine="1418" w:end="0"/>
        <w:jc w:val="both"/>
        <w:rPr/>
      </w:pPr>
      <w:r>
        <w:rPr>
          <w:rFonts w:cs="Calibri"/>
          <w:lang w:val="pt-BR"/>
        </w:rPr>
        <w:t xml:space="preserve">Assim, à luz do art. 14 do Código de Defesa do Consumidor e da doutrina dominante, resta plenamente caracterizada a </w:t>
      </w:r>
      <w:r>
        <w:rPr>
          <w:rFonts w:cs="Calibri"/>
          <w:b/>
          <w:bCs/>
          <w:lang w:val="pt-BR"/>
        </w:rPr>
        <w:t>responsabilidade objetiva da empresa requerida</w:t>
      </w:r>
      <w:r>
        <w:rPr>
          <w:rFonts w:cs="Calibri"/>
          <w:lang w:val="pt-BR"/>
        </w:rPr>
        <w:t>, impondo-se o dever de reparar integralmente os danos causados à parte requerente em decorrência da falha na prestação dos serviços.</w:t>
      </w:r>
    </w:p>
    <w:p>
      <w:pPr>
        <w:pStyle w:val="Normal"/>
        <w:spacing w:lineRule="auto" w:line="300"/>
        <w:ind w:firstLine="2835" w:end="0"/>
        <w:jc w:val="both"/>
        <w:rPr>
          <w:rFonts w:cs="Calibri"/>
          <w:lang w:val="pt-BR"/>
        </w:rPr>
      </w:pPr>
      <w:r>
        <w:rPr>
          <w:rFonts w:cs="Calibri"/>
          <w:lang w:val="pt-BR"/>
        </w:rPr>
      </w:r>
    </w:p>
    <w:p>
      <w:pPr>
        <w:pStyle w:val="Normal"/>
        <w:pBdr>
          <w:top w:val="single" w:sz="12" w:space="1" w:color="000000" w:shadow="1"/>
          <w:left w:val="single" w:sz="12" w:space="4" w:color="000000" w:shadow="1"/>
          <w:bottom w:val="single" w:sz="12" w:space="1" w:color="000000" w:shadow="1"/>
          <w:right w:val="single" w:sz="12" w:space="4" w:color="000000" w:shadow="1"/>
        </w:pBdr>
        <w:shd w:fill="F2F2F2" w:val="clear"/>
        <w:spacing w:lineRule="auto" w:line="300"/>
        <w:jc w:val="both"/>
        <w:rPr>
          <w:rFonts w:cs="Calibri"/>
          <w:b/>
          <w:lang w:val="pt-BR"/>
        </w:rPr>
      </w:pPr>
      <w:r>
        <w:rPr>
          <w:rFonts w:cs="Calibri"/>
          <w:b/>
          <w:lang w:val="pt-BR"/>
        </w:rPr>
        <w:t>3.3 – DA VIOLAÇÃO DO PRINCÍPIO DA BOA-FÉ OBJETIVA</w:t>
      </w:r>
    </w:p>
    <w:p>
      <w:pPr>
        <w:pStyle w:val="Normal"/>
        <w:spacing w:lineRule="auto" w:line="300"/>
        <w:jc w:val="both"/>
        <w:rPr>
          <w:rFonts w:cs="Calibri"/>
          <w:b/>
          <w:u w:val="single"/>
          <w:lang w:val="pt-BR"/>
        </w:rPr>
      </w:pPr>
      <w:r>
        <w:rPr>
          <w:rFonts w:cs="Calibri"/>
          <w:b/>
          <w:u w:val="single"/>
          <w:lang w:val="pt-BR"/>
        </w:rPr>
      </w:r>
    </w:p>
    <w:p>
      <w:pPr>
        <w:pStyle w:val="Normal"/>
        <w:tabs>
          <w:tab w:val="clear" w:pos="720"/>
          <w:tab w:val="left" w:pos="1720" w:leader="none"/>
        </w:tabs>
        <w:spacing w:lineRule="auto" w:line="300"/>
        <w:ind w:firstLine="1418" w:end="0"/>
        <w:jc w:val="both"/>
        <w:rPr/>
      </w:pPr>
      <w:r>
        <w:rPr>
          <w:rFonts w:cs="Calibri"/>
          <w:lang w:val="pt-BR"/>
        </w:rPr>
        <w:t xml:space="preserve">À luz da tutela da confiança que rege as relações de consumo, impõe-se que as condições contratuais sejam apresentadas ao consumidor de forma </w:t>
      </w:r>
      <w:r>
        <w:rPr>
          <w:rFonts w:cs="Calibri"/>
          <w:b/>
          <w:bCs/>
          <w:lang w:val="pt-BR"/>
        </w:rPr>
        <w:t>clara, precisa e transparente</w:t>
      </w:r>
      <w:r>
        <w:rPr>
          <w:rFonts w:cs="Calibri"/>
          <w:lang w:val="pt-BR"/>
        </w:rPr>
        <w:t xml:space="preserve">, não se admitindo condutas dissimuladas ou expedientes que comprometam a lealdade contratual, como aqueles verificados no caso em exame, porquanto frontalmente incompatíveis com o </w:t>
      </w:r>
      <w:r>
        <w:rPr>
          <w:rFonts w:cs="Calibri"/>
          <w:b/>
          <w:bCs/>
          <w:i/>
          <w:iCs/>
          <w:lang w:val="pt-BR"/>
        </w:rPr>
        <w:t>standard</w:t>
      </w:r>
      <w:r>
        <w:rPr>
          <w:rFonts w:cs="Calibri"/>
          <w:b/>
          <w:bCs/>
          <w:lang w:val="pt-BR"/>
        </w:rPr>
        <w:t xml:space="preserve"> de boa-fé objetiva</w:t>
      </w:r>
      <w:r>
        <w:rPr>
          <w:rFonts w:cs="Calibri"/>
          <w:lang w:val="pt-BR"/>
        </w:rPr>
        <w:t xml:space="preserve"> consagrado pela legislação consumerista.</w:t>
      </w:r>
    </w:p>
    <w:p>
      <w:pPr>
        <w:pStyle w:val="Normal"/>
        <w:tabs>
          <w:tab w:val="clear" w:pos="720"/>
          <w:tab w:val="left" w:pos="1720" w:leader="none"/>
        </w:tabs>
        <w:spacing w:lineRule="auto" w:line="300"/>
        <w:ind w:firstLine="1418" w:end="0"/>
        <w:jc w:val="both"/>
        <w:rPr>
          <w:rFonts w:cs="Calibri"/>
          <w:lang w:val="pt-BR"/>
        </w:rPr>
      </w:pPr>
      <w:r>
        <w:rPr>
          <w:rFonts w:cs="Calibri"/>
          <w:lang w:val="pt-BR"/>
        </w:rPr>
      </w:r>
    </w:p>
    <w:p>
      <w:pPr>
        <w:pStyle w:val="Normal"/>
        <w:tabs>
          <w:tab w:val="clear" w:pos="720"/>
          <w:tab w:val="left" w:pos="1720" w:leader="none"/>
        </w:tabs>
        <w:spacing w:lineRule="auto" w:line="300"/>
        <w:ind w:firstLine="1418" w:end="0"/>
        <w:jc w:val="both"/>
        <w:rPr>
          <w:rFonts w:cs="Calibri"/>
          <w:lang w:val="pt-BR"/>
        </w:rPr>
      </w:pPr>
      <w:r>
        <w:rPr>
          <w:rFonts w:cs="Calibri"/>
          <w:lang w:val="pt-BR"/>
        </w:rPr>
        <w:t>É incontroverso que, no contexto da relação jurídica estabelecida entre as partes, foram violados princípios basilares do Direito do Consumidor, em especial o princípio da boa-fé objetiva, o qual constitui verdadeiro pilar do direito contratual contemporâneo.</w:t>
      </w:r>
    </w:p>
    <w:p>
      <w:pPr>
        <w:pStyle w:val="Normal"/>
        <w:tabs>
          <w:tab w:val="clear" w:pos="720"/>
          <w:tab w:val="left" w:pos="1720" w:leader="none"/>
        </w:tabs>
        <w:spacing w:lineRule="auto" w:line="300"/>
        <w:ind w:firstLine="1418" w:end="0"/>
        <w:jc w:val="both"/>
        <w:rPr>
          <w:rFonts w:cs="Calibri"/>
          <w:lang w:val="pt-BR"/>
        </w:rPr>
      </w:pPr>
      <w:r>
        <w:rPr>
          <w:rFonts w:cs="Calibri"/>
          <w:lang w:val="pt-BR"/>
        </w:rPr>
      </w:r>
    </w:p>
    <w:p>
      <w:pPr>
        <w:pStyle w:val="Normal"/>
        <w:tabs>
          <w:tab w:val="clear" w:pos="720"/>
          <w:tab w:val="left" w:pos="1720" w:leader="none"/>
        </w:tabs>
        <w:spacing w:lineRule="auto" w:line="300"/>
        <w:ind w:firstLine="1418" w:end="0"/>
        <w:jc w:val="both"/>
        <w:rPr/>
      </w:pPr>
      <w:r>
        <w:rPr>
          <w:rFonts w:cs="Calibri"/>
          <w:lang w:val="pt-BR"/>
        </w:rPr>
        <w:t>A boa-fé objetiva impõe às partes um dever de lealdade, cooperação e correção de conduta, que se projeta antes, durante e após a formação do vínculo contratual, independentemente de previsão expressa no instrumento contratual, uma vez que se trata de princípio dotado de força normativa cogente, insuscetível de afastamento pela vontade das partes.</w:t>
      </w:r>
    </w:p>
    <w:p>
      <w:pPr>
        <w:pStyle w:val="Normal"/>
        <w:tabs>
          <w:tab w:val="clear" w:pos="720"/>
          <w:tab w:val="left" w:pos="1720" w:leader="none"/>
        </w:tabs>
        <w:spacing w:lineRule="auto" w:line="300"/>
        <w:ind w:firstLine="1418" w:end="0"/>
        <w:jc w:val="both"/>
        <w:rPr>
          <w:rFonts w:cs="Calibri"/>
          <w:lang w:val="pt-BR"/>
        </w:rPr>
      </w:pPr>
      <w:r>
        <w:rPr>
          <w:rFonts w:cs="Calibri"/>
          <w:lang w:val="pt-BR"/>
        </w:rPr>
      </w:r>
    </w:p>
    <w:p>
      <w:pPr>
        <w:pStyle w:val="Normal"/>
        <w:tabs>
          <w:tab w:val="clear" w:pos="720"/>
          <w:tab w:val="left" w:pos="1720" w:leader="none"/>
        </w:tabs>
        <w:spacing w:lineRule="auto" w:line="300"/>
        <w:ind w:firstLine="1418" w:end="0"/>
        <w:jc w:val="both"/>
        <w:rPr/>
      </w:pPr>
      <w:r>
        <w:rPr>
          <w:rFonts w:cs="Calibri"/>
          <w:lang w:val="pt-BR"/>
        </w:rPr>
        <w:t>Nesse contexto, o dever de informação revela-se como corolário lógico e indissociável da boa-fé objetiva, permeando toda a relação contratual, desde a fase pré-contratual até o momento posterior à sua extinção. Eventuais vícios ou omissões informacionais na fase pré-negocial comprometem a própria validade do vínculo jurídico, por afrontarem a função social dos contratos e a legítima expectativa de confiança do consumidor, situação manifestamente inadmissível nas relações de consumo.</w:t>
      </w:r>
    </w:p>
    <w:p>
      <w:pPr>
        <w:pStyle w:val="Normal"/>
        <w:tabs>
          <w:tab w:val="clear" w:pos="720"/>
          <w:tab w:val="left" w:pos="1720" w:leader="none"/>
        </w:tabs>
        <w:spacing w:lineRule="auto" w:line="300"/>
        <w:ind w:firstLine="1418" w:end="0"/>
        <w:jc w:val="both"/>
        <w:rPr>
          <w:rFonts w:cs="Calibri"/>
          <w:lang w:val="pt-BR"/>
        </w:rPr>
      </w:pPr>
      <w:r>
        <w:rPr>
          <w:rFonts w:cs="Calibri"/>
          <w:lang w:val="pt-BR"/>
        </w:rPr>
      </w:r>
    </w:p>
    <w:p>
      <w:pPr>
        <w:pStyle w:val="Normal"/>
        <w:tabs>
          <w:tab w:val="clear" w:pos="720"/>
          <w:tab w:val="left" w:pos="1720" w:leader="none"/>
        </w:tabs>
        <w:spacing w:lineRule="auto" w:line="300"/>
        <w:ind w:firstLine="1418" w:end="0"/>
        <w:jc w:val="both"/>
        <w:rPr/>
      </w:pPr>
      <w:r>
        <w:rPr>
          <w:rFonts w:cs="Calibri"/>
          <w:lang w:val="pt-BR"/>
        </w:rPr>
        <w:t>Ressalte-se que a boa-fé objetiva, nos contratos de consumo, não se restringe ao conteúdo literal das cláusulas contratuais, mas abrange toda e qualquer conduta adotada no âmbito da relação jurídica, compreendida como verdadeiro contato social existente entre fornecedor e consumidor. Assim, práticas abusivas, ainda que não expressamente previstas no instrumento contratual, configuram violação à boa-fé objetiva.</w:t>
      </w:r>
    </w:p>
    <w:p>
      <w:pPr>
        <w:pStyle w:val="Normal"/>
        <w:tabs>
          <w:tab w:val="clear" w:pos="720"/>
          <w:tab w:val="left" w:pos="1720" w:leader="none"/>
        </w:tabs>
        <w:spacing w:lineRule="auto" w:line="300"/>
        <w:ind w:firstLine="1418" w:end="0"/>
        <w:jc w:val="both"/>
        <w:rPr>
          <w:rFonts w:cs="Calibri"/>
          <w:lang w:val="pt-BR"/>
        </w:rPr>
      </w:pPr>
      <w:r>
        <w:rPr>
          <w:rFonts w:cs="Calibri"/>
          <w:lang w:val="pt-BR"/>
        </w:rPr>
      </w:r>
    </w:p>
    <w:p>
      <w:pPr>
        <w:pStyle w:val="Normal"/>
        <w:spacing w:lineRule="auto" w:line="300"/>
        <w:ind w:firstLine="1418" w:end="0"/>
        <w:jc w:val="both"/>
        <w:rPr>
          <w:rFonts w:cs="Calibri"/>
          <w:lang w:val="pt-BR"/>
        </w:rPr>
      </w:pPr>
      <w:r>
        <w:rPr>
          <w:rFonts w:cs="Calibri"/>
          <w:lang w:val="pt-BR"/>
        </w:rPr>
        <w:t>Com efeito, foi exatamente essa a razão pela qual o legislador elevou a boa-fé objetiva à categoria de princípio geral das relações de consumo, nos termos do art. 4º, inciso III, do Código de Defesa do Consumidor, bem como previu, ao longo do diploma legal, um rol exemplificativo de práticas abusivas, notadamente para coibir condutas contratuais veladas ou disfarçadas, cuja identificação e comprovação se mostram, muitas vezes, mais complexas no plano fático.</w:t>
      </w:r>
    </w:p>
    <w:p>
      <w:pPr>
        <w:pStyle w:val="Normal"/>
        <w:spacing w:lineRule="auto" w:line="300"/>
        <w:ind w:firstLine="1418" w:end="0"/>
        <w:jc w:val="both"/>
        <w:rPr>
          <w:rFonts w:cs="Calibri"/>
          <w:lang w:val="pt-BR"/>
        </w:rPr>
      </w:pPr>
      <w:r>
        <w:rPr>
          <w:rFonts w:cs="Calibri"/>
          <w:lang w:val="pt-BR"/>
        </w:rPr>
      </w:r>
    </w:p>
    <w:p>
      <w:pPr>
        <w:pStyle w:val="Normal"/>
        <w:spacing w:lineRule="auto" w:line="300"/>
        <w:ind w:firstLine="1418" w:end="0"/>
        <w:jc w:val="both"/>
        <w:rPr>
          <w:rFonts w:cs="Calibri"/>
          <w:lang w:val="pt-BR"/>
        </w:rPr>
      </w:pPr>
      <w:r>
        <w:rPr>
          <w:rFonts w:cs="Calibri"/>
          <w:lang w:val="pt-BR"/>
        </w:rPr>
        <w:t>Ademais, os contratos, em especial os de consumo, encontram-se necessariamente comprometidos com sua função social, sendo orientados pelos princípios da probidade, equidade e boa-fé, em detrimento de uma concepção absoluta da autonomia da vontade.</w:t>
      </w:r>
    </w:p>
    <w:p>
      <w:pPr>
        <w:pStyle w:val="Normal"/>
        <w:spacing w:lineRule="auto" w:line="300"/>
        <w:ind w:firstLine="1418" w:end="0"/>
        <w:jc w:val="both"/>
        <w:rPr>
          <w:rFonts w:cs="Calibri"/>
          <w:lang w:val="pt-BR"/>
        </w:rPr>
      </w:pPr>
      <w:r>
        <w:rPr>
          <w:rFonts w:cs="Calibri"/>
          <w:lang w:val="pt-BR"/>
        </w:rPr>
      </w:r>
    </w:p>
    <w:p>
      <w:pPr>
        <w:pStyle w:val="Normal"/>
        <w:spacing w:lineRule="auto" w:line="300"/>
        <w:ind w:firstLine="1418" w:end="0"/>
        <w:jc w:val="both"/>
        <w:rPr>
          <w:rFonts w:cs="Calibri"/>
          <w:lang w:val="pt-BR"/>
        </w:rPr>
      </w:pPr>
      <w:r>
        <w:rPr>
          <w:rFonts w:cs="Calibri"/>
          <w:lang w:val="pt-BR"/>
        </w:rPr>
        <w:t xml:space="preserve">O alcance normativo da boa-fé objetiva encontra respaldo expresso no art. 422 do Código Civil, segundo o qual </w:t>
      </w:r>
      <w:r>
        <w:rPr>
          <w:rFonts w:cs="Calibri"/>
          <w:i/>
          <w:iCs/>
          <w:lang w:val="pt-BR"/>
        </w:rPr>
        <w:t>“os contratantes são obrigados a guardar, assim na conclusão do contrato, como em sua execução, os princípios da probidade e da boa-fé”</w:t>
      </w:r>
      <w:r>
        <w:rPr>
          <w:rFonts w:cs="Calibri"/>
          <w:lang w:val="pt-BR"/>
        </w:rPr>
        <w:t>.</w:t>
      </w:r>
    </w:p>
    <w:p>
      <w:pPr>
        <w:pStyle w:val="Normal"/>
        <w:spacing w:lineRule="auto" w:line="300"/>
        <w:ind w:firstLine="1418" w:end="0"/>
        <w:jc w:val="both"/>
        <w:rPr>
          <w:rFonts w:cs="Calibri"/>
          <w:lang w:val="pt-BR"/>
        </w:rPr>
      </w:pPr>
      <w:r>
        <w:rPr>
          <w:rFonts w:cs="Calibri"/>
          <w:lang w:val="pt-BR"/>
        </w:rPr>
      </w:r>
    </w:p>
    <w:p>
      <w:pPr>
        <w:pStyle w:val="Normal"/>
        <w:spacing w:lineRule="auto" w:line="300"/>
        <w:ind w:firstLine="1418" w:end="0"/>
        <w:jc w:val="both"/>
        <w:rPr>
          <w:rFonts w:cs="Calibri"/>
          <w:lang w:val="pt-BR"/>
        </w:rPr>
      </w:pPr>
      <w:r>
        <w:rPr>
          <w:rFonts w:cs="Calibri"/>
          <w:lang w:val="pt-BR"/>
        </w:rPr>
        <w:t xml:space="preserve">Dessa forma, resta plenamente caracterizada a </w:t>
      </w:r>
      <w:r>
        <w:rPr>
          <w:rFonts w:cs="Calibri"/>
          <w:b/>
          <w:bCs/>
          <w:lang w:val="pt-BR"/>
        </w:rPr>
        <w:t>conduta ilícita e abusiva da empresa requerida</w:t>
      </w:r>
      <w:r>
        <w:rPr>
          <w:rFonts w:cs="Calibri"/>
          <w:lang w:val="pt-BR"/>
        </w:rPr>
        <w:t>, que, ao promover descontos indevidos e não autorizados na conta da parte requerente, violou de maneira frontal o princípio da boa-fé objetiva, ensejando a responsabilização civil e o consequente dever de reparação dos danos causados.</w:t>
      </w:r>
    </w:p>
    <w:p>
      <w:pPr>
        <w:pStyle w:val="Normal"/>
        <w:spacing w:lineRule="auto" w:line="300"/>
        <w:ind w:firstLine="2835" w:end="0"/>
        <w:jc w:val="both"/>
        <w:rPr>
          <w:rFonts w:cs="Calibri"/>
          <w:lang w:val="pt-BR"/>
        </w:rPr>
      </w:pPr>
      <w:r>
        <w:rPr>
          <w:rFonts w:cs="Calibri"/>
          <w:lang w:val="pt-BR"/>
        </w:rPr>
      </w:r>
    </w:p>
    <w:p>
      <w:pPr>
        <w:pStyle w:val="Normal"/>
        <w:pBdr>
          <w:top w:val="single" w:sz="12" w:space="1" w:color="000000" w:shadow="1"/>
          <w:left w:val="single" w:sz="12" w:space="4" w:color="000000" w:shadow="1"/>
          <w:bottom w:val="single" w:sz="12" w:space="1" w:color="000000" w:shadow="1"/>
          <w:right w:val="single" w:sz="12" w:space="4" w:color="000000" w:shadow="1"/>
        </w:pBdr>
        <w:shd w:fill="F2F2F2" w:val="clear"/>
        <w:spacing w:lineRule="auto" w:line="300"/>
        <w:jc w:val="both"/>
        <w:rPr>
          <w:rFonts w:cs="Calibri"/>
          <w:b/>
          <w:lang w:val="pt-BR"/>
        </w:rPr>
      </w:pPr>
      <w:r>
        <w:rPr>
          <w:rFonts w:cs="Calibri"/>
          <w:b/>
          <w:lang w:val="pt-BR"/>
        </w:rPr>
        <w:t xml:space="preserve">3.4 – DO PEDIDO DE DECLARAÇÃO DE INEXISTÊNCIA DE DÉBITO </w:t>
      </w:r>
    </w:p>
    <w:p>
      <w:pPr>
        <w:pStyle w:val="Normal"/>
        <w:spacing w:lineRule="auto" w:line="300"/>
        <w:ind w:firstLine="2268" w:start="-567" w:end="0"/>
        <w:jc w:val="both"/>
        <w:rPr>
          <w:rFonts w:cs="Calibri"/>
          <w:lang w:val="pt-BR"/>
        </w:rPr>
      </w:pPr>
      <w:r>
        <w:rPr>
          <w:rFonts w:cs="Calibri"/>
          <w:lang w:val="pt-BR"/>
        </w:rPr>
        <w:t xml:space="preserve"> </w:t>
      </w:r>
    </w:p>
    <w:p>
      <w:pPr>
        <w:pStyle w:val="Normal"/>
        <w:spacing w:lineRule="auto" w:line="300"/>
        <w:ind w:firstLine="1418" w:end="0"/>
        <w:jc w:val="both"/>
        <w:rPr>
          <w:rFonts w:cs="Calibri"/>
          <w:lang w:val="pt-BR"/>
        </w:rPr>
      </w:pPr>
      <w:r>
        <w:rPr>
          <w:rFonts w:cs="Calibri"/>
          <w:lang w:val="pt-BR"/>
        </w:rPr>
        <w:t xml:space="preserve">Conforme amplamente demonstrado nos autos, a parte requerente </w:t>
      </w:r>
      <w:r>
        <w:rPr>
          <w:rFonts w:cs="Calibri"/>
          <w:b/>
          <w:bCs/>
          <w:lang w:val="pt-BR"/>
        </w:rPr>
        <w:t>jamais contratou</w:t>
      </w:r>
      <w:r>
        <w:rPr>
          <w:rFonts w:cs="Calibri"/>
          <w:lang w:val="pt-BR"/>
        </w:rPr>
        <w:t xml:space="preserve"> com o requerido o produto ou serviço denominado de </w:t>
      </w:r>
      <w:r>
        <w:rPr>
          <w:rFonts w:cs="Calibri"/>
          <w:b/>
          <w:bCs/>
          <w:lang w:val="pt-BR"/>
        </w:rPr>
        <w:t>“Seguro Mais Proteção”</w:t>
      </w:r>
      <w:r>
        <w:rPr>
          <w:rFonts w:cs="Calibri"/>
          <w:lang w:val="pt-BR"/>
        </w:rPr>
        <w:t>, inexistindo, portanto, suporte fático ou jurídico que legitime a realização de cobranças relacionadas a tal rubrica.</w:t>
      </w:r>
    </w:p>
    <w:p>
      <w:pPr>
        <w:pStyle w:val="Normal"/>
        <w:spacing w:lineRule="auto" w:line="300"/>
        <w:ind w:firstLine="1418" w:end="0"/>
        <w:jc w:val="both"/>
        <w:rPr>
          <w:rFonts w:cs="Calibri"/>
          <w:lang w:val="pt-BR"/>
        </w:rPr>
      </w:pPr>
      <w:r>
        <w:rPr>
          <w:rFonts w:cs="Calibri"/>
          <w:lang w:val="pt-BR"/>
        </w:rPr>
      </w:r>
    </w:p>
    <w:p>
      <w:pPr>
        <w:pStyle w:val="Normal"/>
        <w:spacing w:lineRule="auto" w:line="300"/>
        <w:ind w:firstLine="1418" w:end="0"/>
        <w:jc w:val="both"/>
        <w:rPr>
          <w:rFonts w:cs="Calibri"/>
          <w:lang w:val="pt-BR"/>
        </w:rPr>
      </w:pPr>
      <w:r>
        <w:rPr>
          <w:rFonts w:cs="Calibri"/>
          <w:lang w:val="pt-BR"/>
        </w:rPr>
        <w:t xml:space="preserve">Dessa forma, revela-se manifestamente </w:t>
      </w:r>
      <w:r>
        <w:rPr>
          <w:rFonts w:cs="Calibri"/>
          <w:b/>
          <w:bCs/>
          <w:lang w:val="pt-BR"/>
        </w:rPr>
        <w:t>indevida qualquer exigência financeira</w:t>
      </w:r>
      <w:r>
        <w:rPr>
          <w:rFonts w:cs="Calibri"/>
          <w:lang w:val="pt-BR"/>
        </w:rPr>
        <w:t xml:space="preserve"> vinculada ao mencionado produto, uma vez que ausente a formação válida de relação contratual entre as partes.</w:t>
      </w:r>
    </w:p>
    <w:p>
      <w:pPr>
        <w:pStyle w:val="Normal"/>
        <w:spacing w:lineRule="auto" w:line="300"/>
        <w:ind w:firstLine="1418" w:end="0"/>
        <w:jc w:val="both"/>
        <w:rPr>
          <w:rFonts w:cs="Calibri"/>
          <w:lang w:val="pt-BR"/>
        </w:rPr>
      </w:pPr>
      <w:r>
        <w:rPr>
          <w:rFonts w:cs="Calibri"/>
          <w:lang w:val="pt-BR"/>
        </w:rPr>
      </w:r>
    </w:p>
    <w:p>
      <w:pPr>
        <w:pStyle w:val="Normal"/>
        <w:spacing w:lineRule="auto" w:line="300"/>
        <w:ind w:firstLine="1418" w:end="0"/>
        <w:jc w:val="both"/>
        <w:rPr>
          <w:rFonts w:cs="Calibri"/>
          <w:lang w:val="pt-BR"/>
        </w:rPr>
      </w:pPr>
      <w:r>
        <w:rPr>
          <w:rFonts w:cs="Calibri"/>
          <w:lang w:val="pt-BR"/>
        </w:rPr>
        <w:t xml:space="preserve">Nesse contexto, assiste razão à parte requerente quanto ao direito de ver </w:t>
      </w:r>
      <w:r>
        <w:rPr>
          <w:rFonts w:cs="Calibri"/>
          <w:b/>
          <w:bCs/>
          <w:lang w:val="pt-BR"/>
        </w:rPr>
        <w:t>declarada judicialmente a inexistência de débito</w:t>
      </w:r>
      <w:r>
        <w:rPr>
          <w:rFonts w:cs="Calibri"/>
          <w:lang w:val="pt-BR"/>
        </w:rPr>
        <w:t>, nos termos do art. 19 do Código de Processo Civil, haja vista não possuir qualquer obrigação perante o requerido, porquanto jamais anuiu ou contratou os serviços que deram ensejo às cobranças impugnadas.</w:t>
      </w:r>
    </w:p>
    <w:p>
      <w:pPr>
        <w:pStyle w:val="Normal"/>
        <w:spacing w:lineRule="auto" w:line="300"/>
        <w:ind w:firstLine="1418" w:end="0"/>
        <w:jc w:val="both"/>
        <w:rPr>
          <w:rFonts w:cs="Calibri"/>
          <w:lang w:val="pt-BR"/>
        </w:rPr>
      </w:pPr>
      <w:r>
        <w:rPr>
          <w:rFonts w:cs="Calibri"/>
          <w:lang w:val="pt-BR"/>
        </w:rPr>
      </w:r>
    </w:p>
    <w:p>
      <w:pPr>
        <w:pStyle w:val="Normal"/>
        <w:spacing w:lineRule="auto" w:line="300"/>
        <w:ind w:firstLine="1418" w:end="0"/>
        <w:jc w:val="both"/>
        <w:rPr>
          <w:rFonts w:cs="Calibri"/>
          <w:lang w:val="pt-BR"/>
        </w:rPr>
      </w:pPr>
      <w:r>
        <w:rPr>
          <w:rFonts w:cs="Calibri"/>
          <w:lang w:val="pt-BR"/>
        </w:rPr>
        <w:t xml:space="preserve">Dispõe o art. 19 do CPC que o interesse do autor pode limitar-se à declaração da existência, da inexistência ou do modo de ser de uma relação jurídica, o que se amolda perfeitamente à hipótese dos autos, em que se busca o reconhecimento da </w:t>
      </w:r>
      <w:r>
        <w:rPr>
          <w:rFonts w:cs="Calibri"/>
          <w:b/>
          <w:bCs/>
          <w:lang w:val="pt-BR"/>
        </w:rPr>
        <w:t>inexistência de relação jurídica obrigacional</w:t>
      </w:r>
      <w:r>
        <w:rPr>
          <w:rFonts w:cs="Calibri"/>
          <w:lang w:val="pt-BR"/>
        </w:rPr>
        <w:t xml:space="preserve"> entre as partes.</w:t>
      </w:r>
    </w:p>
    <w:p>
      <w:pPr>
        <w:pStyle w:val="Normal"/>
        <w:spacing w:lineRule="auto" w:line="300"/>
        <w:ind w:firstLine="1701" w:start="-567" w:end="0"/>
        <w:jc w:val="both"/>
        <w:rPr>
          <w:rFonts w:cs="Calibri"/>
          <w:lang w:val="pt-BR"/>
        </w:rPr>
      </w:pPr>
      <w:r>
        <w:rPr>
          <w:rFonts w:cs="Calibri"/>
          <w:lang w:val="pt-BR"/>
        </w:rPr>
      </w:r>
    </w:p>
    <w:p>
      <w:pPr>
        <w:pStyle w:val="Normal"/>
        <w:spacing w:lineRule="auto" w:line="240"/>
        <w:ind w:start="2268" w:end="0"/>
        <w:jc w:val="both"/>
        <w:rPr>
          <w:rFonts w:cs="Calibri"/>
          <w:sz w:val="20"/>
          <w:szCs w:val="20"/>
          <w:lang w:val="pt-BR"/>
        </w:rPr>
      </w:pPr>
      <w:r>
        <w:rPr>
          <w:rFonts w:cs="Calibri"/>
          <w:sz w:val="20"/>
          <w:szCs w:val="20"/>
          <w:lang w:val="pt-BR"/>
        </w:rPr>
        <w:t>Art. 19. O interesse do autor pode limitar-se à declaração:</w:t>
      </w:r>
    </w:p>
    <w:p>
      <w:pPr>
        <w:pStyle w:val="Normal"/>
        <w:spacing w:lineRule="auto" w:line="240"/>
        <w:ind w:start="2268" w:end="0"/>
        <w:jc w:val="both"/>
        <w:rPr>
          <w:rFonts w:cs="Calibri"/>
          <w:sz w:val="20"/>
          <w:szCs w:val="20"/>
          <w:lang w:val="pt-BR"/>
        </w:rPr>
      </w:pPr>
      <w:r>
        <w:rPr>
          <w:rFonts w:cs="Calibri"/>
          <w:sz w:val="20"/>
          <w:szCs w:val="20"/>
          <w:lang w:val="pt-BR"/>
        </w:rPr>
      </w:r>
    </w:p>
    <w:p>
      <w:pPr>
        <w:pStyle w:val="Normal"/>
        <w:spacing w:lineRule="auto" w:line="240"/>
        <w:ind w:start="2268" w:end="0"/>
        <w:jc w:val="both"/>
        <w:rPr/>
      </w:pPr>
      <w:r>
        <w:rPr>
          <w:rFonts w:cs="Calibri"/>
          <w:sz w:val="20"/>
          <w:szCs w:val="20"/>
          <w:lang w:val="pt-BR"/>
        </w:rPr>
        <w:t xml:space="preserve">I- da existência, da inexistência ou do modo de ser de uma relação jurídica; </w:t>
      </w:r>
    </w:p>
    <w:p>
      <w:pPr>
        <w:pStyle w:val="Normal"/>
        <w:spacing w:lineRule="auto" w:line="300"/>
        <w:ind w:start="1701" w:end="0"/>
        <w:jc w:val="both"/>
        <w:rPr>
          <w:rFonts w:cs="Calibri"/>
          <w:sz w:val="20"/>
          <w:szCs w:val="20"/>
          <w:lang w:val="pt-BR"/>
        </w:rPr>
      </w:pPr>
      <w:r>
        <w:rPr>
          <w:rFonts w:cs="Calibri"/>
          <w:sz w:val="20"/>
          <w:szCs w:val="20"/>
          <w:lang w:val="pt-BR"/>
        </w:rPr>
      </w:r>
    </w:p>
    <w:p>
      <w:pPr>
        <w:pStyle w:val="Normal"/>
        <w:spacing w:lineRule="auto" w:line="300"/>
        <w:ind w:firstLine="1418" w:end="0"/>
        <w:jc w:val="both"/>
        <w:rPr>
          <w:rFonts w:cs="Calibri"/>
          <w:lang w:val="pt-BR"/>
        </w:rPr>
      </w:pPr>
      <w:r>
        <w:rPr>
          <w:rFonts w:cs="Calibri"/>
          <w:lang w:val="pt-BR"/>
        </w:rPr>
        <w:t xml:space="preserve">Outrossim, constitui direito básico do consumidor a proteção contra </w:t>
      </w:r>
      <w:r>
        <w:rPr>
          <w:rFonts w:cs="Calibri"/>
          <w:b/>
          <w:bCs/>
          <w:lang w:val="pt-BR"/>
        </w:rPr>
        <w:t>práticas abusivas</w:t>
      </w:r>
      <w:r>
        <w:rPr>
          <w:rFonts w:cs="Calibri"/>
          <w:lang w:val="pt-BR"/>
        </w:rPr>
        <w:t>, conforme estabelece o art. 6º, inciso IV, do Código de Defesa do Consumidor, o qual veda métodos comerciais desleais, bem como a imposição de produtos ou serviços não solicitados pelo consumidor.</w:t>
      </w:r>
    </w:p>
    <w:p>
      <w:pPr>
        <w:pStyle w:val="Normal"/>
        <w:spacing w:lineRule="auto" w:line="240"/>
        <w:ind w:start="2268" w:end="0"/>
        <w:jc w:val="both"/>
        <w:rPr>
          <w:rFonts w:cs="Calibri"/>
          <w:sz w:val="20"/>
          <w:szCs w:val="20"/>
          <w:lang w:val="pt-BR"/>
        </w:rPr>
      </w:pPr>
      <w:r>
        <w:rPr>
          <w:rFonts w:cs="Calibri"/>
          <w:sz w:val="20"/>
          <w:szCs w:val="20"/>
          <w:lang w:val="pt-BR"/>
        </w:rPr>
      </w:r>
    </w:p>
    <w:p>
      <w:pPr>
        <w:pStyle w:val="Normal"/>
        <w:spacing w:lineRule="auto" w:line="240"/>
        <w:ind w:start="2268" w:end="0"/>
        <w:jc w:val="both"/>
        <w:rPr>
          <w:rFonts w:cs="Calibri"/>
          <w:sz w:val="20"/>
          <w:szCs w:val="20"/>
          <w:lang w:val="pt-BR"/>
        </w:rPr>
      </w:pPr>
      <w:r>
        <w:rPr>
          <w:rFonts w:cs="Calibri"/>
          <w:sz w:val="20"/>
          <w:szCs w:val="20"/>
          <w:lang w:val="pt-BR"/>
        </w:rPr>
        <w:t xml:space="preserve">Art. 6º - (omissis) </w:t>
      </w:r>
    </w:p>
    <w:p>
      <w:pPr>
        <w:pStyle w:val="Normal"/>
        <w:spacing w:lineRule="auto" w:line="240"/>
        <w:ind w:start="2268" w:end="0"/>
        <w:jc w:val="both"/>
        <w:rPr>
          <w:rFonts w:cs="Calibri"/>
          <w:sz w:val="20"/>
          <w:szCs w:val="20"/>
          <w:lang w:val="pt-BR"/>
        </w:rPr>
      </w:pPr>
      <w:r>
        <w:rPr>
          <w:rFonts w:cs="Calibri"/>
          <w:sz w:val="20"/>
          <w:szCs w:val="20"/>
          <w:lang w:val="pt-BR"/>
        </w:rPr>
        <w:t>(...)</w:t>
      </w:r>
    </w:p>
    <w:p>
      <w:pPr>
        <w:pStyle w:val="Normal"/>
        <w:spacing w:lineRule="auto" w:line="240"/>
        <w:ind w:start="2268" w:end="0"/>
        <w:jc w:val="both"/>
        <w:rPr/>
      </w:pPr>
      <w:r>
        <w:rPr>
          <w:rFonts w:cs="Calibri"/>
          <w:sz w:val="20"/>
          <w:szCs w:val="20"/>
          <w:lang w:val="pt-BR"/>
        </w:rPr>
        <w:t xml:space="preserve">IV - a proteção contra a publicidade enganosa e abusiva, métodos comerciais coercitivos ou desleais, bem como contra práticas e cláusulas abusivas ou impostas no fornecimento de produtos e serviços; </w:t>
      </w:r>
    </w:p>
    <w:p>
      <w:pPr>
        <w:pStyle w:val="Normal"/>
        <w:spacing w:lineRule="auto" w:line="300"/>
        <w:ind w:firstLine="2268" w:start="-567" w:end="0"/>
        <w:jc w:val="both"/>
        <w:rPr>
          <w:rFonts w:cs="Calibri"/>
          <w:sz w:val="20"/>
          <w:szCs w:val="20"/>
          <w:lang w:val="pt-BR"/>
        </w:rPr>
      </w:pPr>
      <w:r>
        <w:rPr>
          <w:rFonts w:cs="Calibri"/>
          <w:sz w:val="20"/>
          <w:szCs w:val="20"/>
          <w:lang w:val="pt-BR"/>
        </w:rPr>
      </w:r>
    </w:p>
    <w:p>
      <w:pPr>
        <w:pStyle w:val="Normal"/>
        <w:spacing w:lineRule="auto" w:line="300"/>
        <w:ind w:firstLine="1418" w:end="0"/>
        <w:jc w:val="both"/>
        <w:rPr>
          <w:rFonts w:cs="Calibri"/>
          <w:lang w:val="pt-BR"/>
        </w:rPr>
      </w:pPr>
      <w:r>
        <w:rPr>
          <w:rFonts w:cs="Calibri"/>
          <w:lang w:val="pt-BR"/>
        </w:rPr>
        <w:t xml:space="preserve">A doutrina consumerista, ao interpretar tais garantias, é firme ao reconhecer o caráter protetivo do sistema, como bem observa </w:t>
      </w:r>
      <w:r>
        <w:rPr>
          <w:rFonts w:cs="Calibri"/>
          <w:b/>
          <w:bCs/>
          <w:lang w:val="pt-BR"/>
        </w:rPr>
        <w:t>Gérard Cas</w:t>
      </w:r>
      <w:r>
        <w:rPr>
          <w:rFonts w:cs="Calibri"/>
          <w:lang w:val="pt-BR"/>
        </w:rPr>
        <w:t xml:space="preserve">, ao asseverar que o legislador busca proteger os mais vulneráveis na relação de consumo, impondo limites à atuação dos fornecedores em observância à chamada </w:t>
      </w:r>
      <w:r>
        <w:rPr>
          <w:rFonts w:cs="Calibri"/>
          <w:b/>
          <w:bCs/>
          <w:lang w:val="pt-BR"/>
        </w:rPr>
        <w:t>ordem pública econômica</w:t>
      </w:r>
      <w:r>
        <w:rPr>
          <w:rFonts w:cs="Calibri"/>
          <w:lang w:val="pt-BR"/>
        </w:rPr>
        <w:t>, que visa ao equilíbrio e à justiça contratual.</w:t>
      </w:r>
    </w:p>
    <w:p>
      <w:pPr>
        <w:pStyle w:val="Normal"/>
        <w:spacing w:lineRule="auto" w:line="300"/>
        <w:ind w:firstLine="1701" w:end="0"/>
        <w:jc w:val="both"/>
        <w:rPr>
          <w:rFonts w:cs="Calibri"/>
          <w:lang w:val="pt-BR"/>
        </w:rPr>
      </w:pPr>
      <w:r>
        <w:rPr>
          <w:rFonts w:cs="Calibri"/>
          <w:lang w:val="pt-BR"/>
        </w:rPr>
      </w:r>
    </w:p>
    <w:p>
      <w:pPr>
        <w:pStyle w:val="Normal"/>
        <w:spacing w:lineRule="auto" w:line="300"/>
        <w:ind w:firstLine="1418" w:end="0"/>
        <w:jc w:val="both"/>
        <w:rPr>
          <w:rFonts w:cs="Calibri"/>
          <w:lang w:val="pt-BR"/>
        </w:rPr>
      </w:pPr>
      <w:r>
        <w:rPr>
          <w:rFonts w:cs="Calibri"/>
          <w:lang w:val="pt-BR"/>
        </w:rPr>
        <w:t xml:space="preserve">Assim, diante da </w:t>
      </w:r>
      <w:r>
        <w:rPr>
          <w:rFonts w:cs="Calibri"/>
          <w:b/>
          <w:bCs/>
          <w:lang w:val="pt-BR"/>
        </w:rPr>
        <w:t>ausência de contratação</w:t>
      </w:r>
      <w:r>
        <w:rPr>
          <w:rFonts w:cs="Calibri"/>
          <w:lang w:val="pt-BR"/>
        </w:rPr>
        <w:t xml:space="preserve">, da caracterização de prática abusiva e da violação aos direitos básicos do consumidor, impõe-se o reconhecimento da </w:t>
      </w:r>
      <w:r>
        <w:rPr>
          <w:rFonts w:cs="Calibri"/>
          <w:b/>
          <w:bCs/>
          <w:lang w:val="pt-BR"/>
        </w:rPr>
        <w:t>inexistência do débito</w:t>
      </w:r>
      <w:r>
        <w:rPr>
          <w:rFonts w:cs="Calibri"/>
          <w:lang w:val="pt-BR"/>
        </w:rPr>
        <w:t xml:space="preserve"> e, por conseguinte, a </w:t>
      </w:r>
      <w:r>
        <w:rPr>
          <w:rFonts w:cs="Calibri"/>
          <w:b/>
          <w:bCs/>
          <w:lang w:val="pt-BR"/>
        </w:rPr>
        <w:t>inexigibilidade de qualquer cobrança</w:t>
      </w:r>
      <w:r>
        <w:rPr>
          <w:rFonts w:cs="Calibri"/>
          <w:lang w:val="pt-BR"/>
        </w:rPr>
        <w:t xml:space="preserve"> em desfavor da parte requerente relacionada ao produto denominado de </w:t>
      </w:r>
      <w:r>
        <w:rPr>
          <w:rFonts w:cs="Calibri"/>
          <w:b/>
          <w:bCs/>
          <w:lang w:val="pt-BR"/>
        </w:rPr>
        <w:t>“Seguro Mais Proteção”</w:t>
      </w:r>
      <w:r>
        <w:rPr>
          <w:rFonts w:cs="Calibri"/>
          <w:lang w:val="pt-BR"/>
        </w:rPr>
        <w:t>, objeto da presente demanda.</w:t>
      </w:r>
    </w:p>
    <w:p>
      <w:pPr>
        <w:pStyle w:val="Normal"/>
        <w:spacing w:lineRule="auto" w:line="300"/>
        <w:ind w:firstLine="2835" w:end="0"/>
        <w:jc w:val="both"/>
        <w:rPr>
          <w:rFonts w:cs="Calibri"/>
          <w:lang w:val="pt-BR"/>
        </w:rPr>
      </w:pPr>
      <w:r>
        <w:rPr>
          <w:rFonts w:cs="Calibri"/>
          <w:lang w:val="pt-BR"/>
        </w:rPr>
      </w:r>
    </w:p>
    <w:p>
      <w:pPr>
        <w:pStyle w:val="Normal"/>
        <w:pBdr>
          <w:top w:val="single" w:sz="12" w:space="1" w:color="000000" w:shadow="1"/>
          <w:left w:val="single" w:sz="12" w:space="4" w:color="000000" w:shadow="1"/>
          <w:bottom w:val="single" w:sz="12" w:space="1" w:color="000000" w:shadow="1"/>
          <w:right w:val="single" w:sz="12" w:space="4" w:color="000000" w:shadow="1"/>
        </w:pBdr>
        <w:shd w:fill="F2F2F2" w:val="clear"/>
        <w:spacing w:lineRule="auto" w:line="300"/>
        <w:jc w:val="both"/>
        <w:rPr>
          <w:rFonts w:cs="Calibri"/>
          <w:b/>
          <w:lang w:val="pt-BR"/>
        </w:rPr>
      </w:pPr>
      <w:r>
        <w:rPr>
          <w:rFonts w:cs="Calibri"/>
          <w:b/>
          <w:lang w:val="pt-BR"/>
        </w:rPr>
        <w:t>3.5 - DO DANO MATERIAL – DA REPETIÇÃO DO INDÉBITO (ART. 42, PARÁGRAFO ÚNICO, DO CDC)</w:t>
      </w:r>
    </w:p>
    <w:p>
      <w:pPr>
        <w:pStyle w:val="Normal"/>
        <w:spacing w:lineRule="auto" w:line="300"/>
        <w:ind w:firstLine="2835" w:end="0"/>
        <w:jc w:val="both"/>
        <w:rPr>
          <w:rFonts w:cs="Calibri"/>
          <w:b/>
          <w:lang w:val="pt-BR"/>
        </w:rPr>
      </w:pPr>
      <w:r>
        <w:rPr>
          <w:rFonts w:cs="Calibri"/>
          <w:b/>
          <w:lang w:val="pt-BR"/>
        </w:rPr>
      </w:r>
    </w:p>
    <w:p>
      <w:pPr>
        <w:pStyle w:val="Normal"/>
        <w:spacing w:lineRule="auto" w:line="300"/>
        <w:ind w:firstLine="1418" w:end="0"/>
        <w:jc w:val="both"/>
        <w:rPr/>
      </w:pPr>
      <w:r>
        <w:rPr>
          <w:rFonts w:cs="Calibri"/>
          <w:lang w:val="pt-BR"/>
        </w:rPr>
        <w:t xml:space="preserve">Conforme amplamente demonstrado, a parte requerente sofreu, no período imprescrito compreendido entre </w:t>
      </w:r>
      <w:r>
        <w:rPr>
          <w:rFonts w:cs="Calibri"/>
          <w:b/>
          <w:bCs/>
          <w:lang w:val="pt-BR"/>
        </w:rPr>
        <w:t>________ e ________</w:t>
      </w:r>
      <w:r>
        <w:rPr>
          <w:rFonts w:cs="Calibri"/>
          <w:lang w:val="pt-BR"/>
        </w:rPr>
        <w:t xml:space="preserve">, </w:t>
      </w:r>
      <w:r>
        <w:rPr>
          <w:rFonts w:cs="Calibri"/>
          <w:b/>
          <w:bCs/>
          <w:lang w:val="pt-BR"/>
        </w:rPr>
        <w:t>descontos indevidos</w:t>
      </w:r>
      <w:r>
        <w:rPr>
          <w:rFonts w:cs="Calibri"/>
          <w:lang w:val="pt-BR"/>
        </w:rPr>
        <w:t xml:space="preserve"> em sua conta bancária, sob a rubrica de </w:t>
      </w:r>
      <w:r>
        <w:rPr>
          <w:rFonts w:cs="Calibri"/>
          <w:b/>
          <w:bCs/>
          <w:lang w:val="pt-BR"/>
        </w:rPr>
        <w:t>“Seguro Mais Proteção”</w:t>
      </w:r>
      <w:r>
        <w:rPr>
          <w:rFonts w:cs="Calibri"/>
          <w:lang w:val="pt-BR"/>
        </w:rPr>
        <w:t xml:space="preserve">, perfazendo o montante de </w:t>
      </w:r>
      <w:r>
        <w:rPr>
          <w:rFonts w:cs="Calibri"/>
          <w:b/>
          <w:bCs/>
          <w:lang w:val="pt-BR"/>
        </w:rPr>
        <w:t>R$ 303,16 (trezentos e três reais e dezesseis centavos)</w:t>
      </w:r>
      <w:r>
        <w:rPr>
          <w:rFonts w:cs="Calibri"/>
          <w:lang w:val="pt-BR"/>
        </w:rPr>
        <w:t>, conforme comprovam os extratos bancários acostados aos autos.</w:t>
      </w:r>
    </w:p>
    <w:p>
      <w:pPr>
        <w:pStyle w:val="Normal"/>
        <w:spacing w:lineRule="auto" w:line="300"/>
        <w:ind w:firstLine="1418" w:end="0"/>
        <w:jc w:val="both"/>
        <w:rPr>
          <w:rFonts w:cs="Calibri"/>
          <w:lang w:val="pt-BR"/>
        </w:rPr>
      </w:pPr>
      <w:r>
        <w:rPr>
          <w:rFonts w:cs="Calibri"/>
          <w:lang w:val="pt-BR"/>
        </w:rPr>
      </w:r>
    </w:p>
    <w:p>
      <w:pPr>
        <w:pStyle w:val="Normal"/>
        <w:spacing w:lineRule="auto" w:line="300"/>
        <w:ind w:firstLine="1418" w:end="0"/>
        <w:jc w:val="both"/>
        <w:rPr/>
      </w:pPr>
      <w:r>
        <w:rPr>
          <w:rFonts w:cs="Calibri"/>
          <w:lang w:val="pt-BR"/>
        </w:rPr>
        <w:t xml:space="preserve">Cumpre destacar que tais descontos são </w:t>
      </w:r>
      <w:r>
        <w:rPr>
          <w:rFonts w:cs="Calibri"/>
          <w:b/>
          <w:bCs/>
          <w:lang w:val="pt-BR"/>
        </w:rPr>
        <w:t>manifestamente ilícitos</w:t>
      </w:r>
      <w:r>
        <w:rPr>
          <w:rFonts w:cs="Calibri"/>
          <w:lang w:val="pt-BR"/>
        </w:rPr>
        <w:t xml:space="preserve">, uma vez que a parte requerente </w:t>
      </w:r>
      <w:r>
        <w:rPr>
          <w:rFonts w:cs="Calibri"/>
          <w:b/>
          <w:bCs/>
          <w:lang w:val="pt-BR"/>
        </w:rPr>
        <w:t>jamais contratou, autorizou ou anuiu</w:t>
      </w:r>
      <w:r>
        <w:rPr>
          <w:rFonts w:cs="Calibri"/>
          <w:lang w:val="pt-BR"/>
        </w:rPr>
        <w:t xml:space="preserve"> com a contratação do referido produto, inexistindo relação jurídica válida que pudesse legitimar as cobranças realizadas.</w:t>
      </w:r>
    </w:p>
    <w:p>
      <w:pPr>
        <w:pStyle w:val="Normal"/>
        <w:spacing w:lineRule="auto" w:line="300"/>
        <w:ind w:firstLine="1418" w:end="0"/>
        <w:jc w:val="both"/>
        <w:rPr>
          <w:rFonts w:cs="Calibri"/>
          <w:lang w:val="pt-BR"/>
        </w:rPr>
      </w:pPr>
      <w:r>
        <w:rPr>
          <w:rFonts w:cs="Calibri"/>
          <w:lang w:val="pt-BR"/>
        </w:rPr>
      </w:r>
    </w:p>
    <w:p>
      <w:pPr>
        <w:pStyle w:val="Normal"/>
        <w:spacing w:lineRule="auto" w:line="300"/>
        <w:ind w:firstLine="1418" w:end="0"/>
        <w:jc w:val="both"/>
        <w:rPr>
          <w:rFonts w:cs="Calibri"/>
          <w:lang w:val="pt-BR"/>
        </w:rPr>
      </w:pPr>
      <w:r>
        <w:rPr>
          <w:rFonts w:cs="Calibri"/>
          <w:lang w:val="pt-BR"/>
        </w:rPr>
        <w:t xml:space="preserve">Diante do flagrante descumprimento das normas consumeristas, faz jus a parte requerente à </w:t>
      </w:r>
      <w:r>
        <w:rPr>
          <w:rFonts w:cs="Calibri"/>
          <w:b/>
          <w:bCs/>
          <w:lang w:val="pt-BR"/>
        </w:rPr>
        <w:t>repetição do indébito em dobro</w:t>
      </w:r>
      <w:r>
        <w:rPr>
          <w:rFonts w:cs="Calibri"/>
          <w:lang w:val="pt-BR"/>
        </w:rPr>
        <w:t xml:space="preserve">, nos termos do art. 42, parágrafo único, do Código de Defesa do Consumidor, o qual dispõe que o consumidor cobrado em quantia indevida tem direito à restituição em valor correspondente ao </w:t>
      </w:r>
      <w:r>
        <w:rPr>
          <w:rFonts w:cs="Calibri"/>
          <w:b/>
          <w:bCs/>
          <w:lang w:val="pt-BR"/>
        </w:rPr>
        <w:t>dobro do que pagou em excesso</w:t>
      </w:r>
      <w:r>
        <w:rPr>
          <w:rFonts w:cs="Calibri"/>
          <w:lang w:val="pt-BR"/>
        </w:rPr>
        <w:t>, acrescido de correção monetária e juros legais, salvo hipótese de engano justificável.</w:t>
      </w:r>
    </w:p>
    <w:p>
      <w:pPr>
        <w:pStyle w:val="Normal"/>
        <w:spacing w:lineRule="auto" w:line="300"/>
        <w:ind w:firstLine="1701" w:end="0"/>
        <w:jc w:val="both"/>
        <w:rPr>
          <w:rFonts w:cs="Calibri"/>
          <w:lang w:val="pt-BR"/>
        </w:rPr>
      </w:pPr>
      <w:r>
        <w:rPr>
          <w:rFonts w:cs="Calibri"/>
          <w:lang w:val="pt-BR"/>
        </w:rPr>
      </w:r>
    </w:p>
    <w:p>
      <w:pPr>
        <w:pStyle w:val="Normal"/>
        <w:spacing w:lineRule="auto" w:line="240"/>
        <w:ind w:start="2268" w:end="0"/>
        <w:jc w:val="both"/>
        <w:rPr>
          <w:rFonts w:cs="Calibri"/>
          <w:sz w:val="20"/>
          <w:szCs w:val="20"/>
          <w:lang w:val="pt-BR"/>
        </w:rPr>
      </w:pPr>
      <w:r>
        <w:rPr>
          <w:rFonts w:cs="Calibri"/>
          <w:sz w:val="20"/>
          <w:szCs w:val="20"/>
          <w:lang w:val="pt-BR"/>
        </w:rPr>
        <w:t xml:space="preserve">Art. 42 (...) </w:t>
      </w:r>
    </w:p>
    <w:p>
      <w:pPr>
        <w:pStyle w:val="Normal"/>
        <w:spacing w:lineRule="auto" w:line="240"/>
        <w:ind w:start="2268" w:end="0"/>
        <w:jc w:val="both"/>
        <w:rPr/>
      </w:pPr>
      <w:r>
        <w:rPr>
          <w:rFonts w:cs="Calibri"/>
          <w:sz w:val="20"/>
          <w:szCs w:val="20"/>
          <w:lang w:val="pt-BR"/>
        </w:rPr>
        <w:t xml:space="preserve">Parágrafo Único. </w:t>
      </w:r>
      <w:r>
        <w:rPr>
          <w:rFonts w:cs="Calibri"/>
          <w:b/>
          <w:sz w:val="20"/>
          <w:szCs w:val="20"/>
          <w:lang w:val="pt-BR"/>
        </w:rPr>
        <w:t>O consumidor cobrado em quantia indevida tem direito à repetição do indébito, por valor igual ao dobro do que pagou em excesso, acrescido de correção monetária e juros legais,</w:t>
      </w:r>
      <w:r>
        <w:rPr>
          <w:rFonts w:cs="Calibri"/>
          <w:sz w:val="20"/>
          <w:szCs w:val="20"/>
          <w:lang w:val="pt-BR"/>
        </w:rPr>
        <w:t xml:space="preserve"> salvo hipótese de engano justificável.  (Grifo nosso)</w:t>
      </w:r>
    </w:p>
    <w:p>
      <w:pPr>
        <w:pStyle w:val="Normal"/>
        <w:spacing w:lineRule="auto" w:line="300"/>
        <w:jc w:val="both"/>
        <w:rPr>
          <w:rFonts w:cs="Calibri"/>
          <w:sz w:val="20"/>
          <w:szCs w:val="20"/>
          <w:lang w:val="pt-BR"/>
        </w:rPr>
      </w:pPr>
      <w:r>
        <w:rPr>
          <w:rFonts w:cs="Calibri"/>
          <w:sz w:val="20"/>
          <w:szCs w:val="20"/>
          <w:lang w:val="pt-BR"/>
        </w:rPr>
      </w:r>
    </w:p>
    <w:p>
      <w:pPr>
        <w:pStyle w:val="Normal"/>
        <w:spacing w:lineRule="auto" w:line="300"/>
        <w:ind w:firstLine="1418" w:end="0"/>
        <w:jc w:val="both"/>
        <w:rPr>
          <w:rFonts w:cs="Calibri"/>
          <w:lang w:val="pt-BR"/>
        </w:rPr>
      </w:pPr>
      <w:r>
        <w:rPr>
          <w:rFonts w:cs="Calibri"/>
          <w:lang w:val="pt-BR"/>
        </w:rPr>
        <w:t xml:space="preserve">A doutrina é firme ao reconhecer que, no sistema do CDC, o engano na cobrança é, em regra, </w:t>
      </w:r>
      <w:r>
        <w:rPr>
          <w:rFonts w:cs="Calibri"/>
          <w:b/>
          <w:bCs/>
          <w:lang w:val="pt-BR"/>
        </w:rPr>
        <w:t>injustificável</w:t>
      </w:r>
      <w:r>
        <w:rPr>
          <w:rFonts w:cs="Calibri"/>
          <w:lang w:val="pt-BR"/>
        </w:rPr>
        <w:t xml:space="preserve">, cabendo ao fornecedor o ônus de demonstrar eventual exceção. </w:t>
      </w:r>
      <w:r>
        <w:rPr>
          <w:rFonts w:cs="Calibri"/>
        </w:rPr>
        <w:t xml:space="preserve">Nesse sentido, leciona </w:t>
      </w:r>
      <w:r>
        <w:rPr>
          <w:rFonts w:cs="Calibri"/>
          <w:b/>
          <w:bCs/>
        </w:rPr>
        <w:t>Cláudia Lima Marques</w:t>
      </w:r>
      <w:r>
        <w:rPr>
          <w:rFonts w:cs="Calibri"/>
        </w:rPr>
        <w:t xml:space="preserve"> que:</w:t>
      </w:r>
    </w:p>
    <w:p>
      <w:pPr>
        <w:pStyle w:val="Normal"/>
        <w:spacing w:lineRule="auto" w:line="300"/>
        <w:ind w:firstLine="2835" w:end="0"/>
        <w:jc w:val="both"/>
        <w:rPr>
          <w:rFonts w:cs="Calibri"/>
          <w:lang w:val="pt-BR"/>
        </w:rPr>
      </w:pPr>
      <w:r>
        <w:rPr>
          <w:rFonts w:cs="Calibri"/>
          <w:lang w:val="pt-BR"/>
        </w:rPr>
      </w:r>
    </w:p>
    <w:p>
      <w:pPr>
        <w:pStyle w:val="Normal"/>
        <w:spacing w:lineRule="auto" w:line="240"/>
        <w:ind w:start="2268" w:end="0"/>
        <w:jc w:val="both"/>
        <w:rPr>
          <w:rFonts w:cs="Calibri"/>
          <w:sz w:val="20"/>
          <w:szCs w:val="20"/>
          <w:lang w:val="pt-BR"/>
        </w:rPr>
      </w:pPr>
      <w:r>
        <w:rPr>
          <w:rFonts w:cs="Calibri"/>
          <w:sz w:val="20"/>
          <w:szCs w:val="20"/>
          <w:lang w:val="pt-BR"/>
        </w:rPr>
        <w:t xml:space="preserve">“No sistema do CDC, todo o engano na cobrança de consumo é, em princípio, injustificável, mesmo o baseado em cláusulas abusivas inseridas no contrato de adesão, ex vi o disposto no parágrafo único do art. 42. Caberia ao fornecedor provar que seu engano na cobrança, no caso concreto, foi justificado”. (MARQUES, Cláudia Lima. </w:t>
      </w:r>
      <w:r>
        <w:rPr>
          <w:rFonts w:cs="Calibri"/>
          <w:i/>
          <w:iCs/>
          <w:sz w:val="20"/>
          <w:szCs w:val="20"/>
          <w:lang w:val="pt-BR"/>
        </w:rPr>
        <w:t>Comentários ao Código de Defesa do Consumidor</w:t>
      </w:r>
      <w:r>
        <w:rPr>
          <w:rFonts w:cs="Calibri"/>
          <w:sz w:val="20"/>
          <w:szCs w:val="20"/>
          <w:lang w:val="pt-BR"/>
        </w:rPr>
        <w:t>. 2ª ed. São Paulo: RT, 2006, p. 593).</w:t>
      </w:r>
    </w:p>
    <w:p>
      <w:pPr>
        <w:pStyle w:val="Normal"/>
        <w:spacing w:lineRule="auto" w:line="300"/>
        <w:ind w:firstLine="2835" w:end="0"/>
        <w:jc w:val="both"/>
        <w:rPr>
          <w:rFonts w:cs="Calibri"/>
          <w:sz w:val="20"/>
          <w:szCs w:val="20"/>
          <w:lang w:val="pt-BR"/>
        </w:rPr>
      </w:pPr>
      <w:r>
        <w:rPr>
          <w:rFonts w:cs="Calibri"/>
          <w:sz w:val="20"/>
          <w:szCs w:val="20"/>
          <w:lang w:val="pt-BR"/>
        </w:rPr>
      </w:r>
    </w:p>
    <w:p>
      <w:pPr>
        <w:pStyle w:val="Normal"/>
        <w:spacing w:lineRule="auto" w:line="300"/>
        <w:ind w:firstLine="1418" w:end="0"/>
        <w:jc w:val="both"/>
        <w:rPr>
          <w:rFonts w:cs="Calibri"/>
          <w:lang w:val="pt-BR"/>
        </w:rPr>
      </w:pPr>
      <w:r>
        <w:rPr>
          <w:rFonts w:cs="Calibri"/>
          <w:lang w:val="pt-BR"/>
        </w:rPr>
        <w:t xml:space="preserve">O Superior Tribunal de Justiça, ao julgar o </w:t>
      </w:r>
      <w:r>
        <w:rPr>
          <w:rFonts w:cs="Calibri"/>
          <w:b/>
          <w:bCs/>
          <w:lang w:val="pt-BR"/>
        </w:rPr>
        <w:t>EAREsp nº 676.608/RS</w:t>
      </w:r>
      <w:r>
        <w:rPr>
          <w:rFonts w:cs="Calibri"/>
          <w:lang w:val="pt-BR"/>
        </w:rPr>
        <w:t xml:space="preserve">, sob o rito dos recursos repetitivos, pacificou o entendimento de que </w:t>
      </w:r>
      <w:r>
        <w:rPr>
          <w:rFonts w:cs="Calibri"/>
          <w:b/>
          <w:bCs/>
          <w:lang w:val="pt-BR"/>
        </w:rPr>
        <w:t>a restituição em dobro independe da comprovação de má-fé do fornecedor</w:t>
      </w:r>
      <w:r>
        <w:rPr>
          <w:rFonts w:cs="Calibri"/>
          <w:lang w:val="pt-BR"/>
        </w:rPr>
        <w:t>, sendo suficiente que a cobrança indevida consubstancie conduta contrária à boa-fé objetiva, o que se verifica no caso concreto.</w:t>
      </w:r>
    </w:p>
    <w:p>
      <w:pPr>
        <w:pStyle w:val="Normal"/>
        <w:spacing w:lineRule="auto" w:line="300"/>
        <w:ind w:firstLine="2835" w:end="0"/>
        <w:jc w:val="both"/>
        <w:rPr>
          <w:rFonts w:cs="Calibri"/>
          <w:lang w:val="pt-BR"/>
        </w:rPr>
      </w:pPr>
      <w:r>
        <w:rPr>
          <w:rFonts w:cs="Calibri"/>
          <w:lang w:val="pt-BR"/>
        </w:rPr>
      </w:r>
    </w:p>
    <w:p>
      <w:pPr>
        <w:pStyle w:val="Normal"/>
        <w:spacing w:lineRule="auto" w:line="240"/>
        <w:ind w:start="2268" w:end="0"/>
        <w:jc w:val="both"/>
        <w:rPr/>
      </w:pPr>
      <w:r>
        <w:rPr>
          <w:rFonts w:cs="Calibri"/>
          <w:sz w:val="20"/>
          <w:szCs w:val="20"/>
          <w:lang w:val="pt-BR"/>
        </w:rPr>
        <w:t xml:space="preserve">EMBARGOS DE DIVERGÊNCIA EM AGRAVO EM RECURSO ESPECIAL CIVIL. PROCESSUAL CIVIL. TELEFONIA FIXA. COBRANÇA INDEVIDA. AÇÃO DE REPETIÇÃO DE INDÉBITO DE TARIFAS. </w:t>
      </w:r>
      <w:r>
        <w:rPr>
          <w:rFonts w:cs="Calibri"/>
          <w:b/>
          <w:bCs/>
          <w:sz w:val="20"/>
          <w:szCs w:val="20"/>
          <w:lang w:val="pt-BR"/>
        </w:rPr>
        <w:t>1) RESTITUIÇÃO EM DOBRO DO INDÉBITO (PARÁGRAFO ÚNICO DO ARTIGO 42 DO CDC). DESINFLUÊNCIA DA NATUREZA DO ELEMENTO VOLITIVO DO FORNECEDOR QUE REALIZOU A COBRANÇA INDEVIDA. DOBRA CABÍVEL QUANDO A REFERIDA COBRANÇA CONSUBSTANCIAR CONDUTA CONTRÁRIA À BOA-FÉ OBJETIVA.</w:t>
      </w:r>
      <w:r>
        <w:rPr>
          <w:rFonts w:cs="Calibri"/>
          <w:sz w:val="20"/>
          <w:szCs w:val="20"/>
          <w:lang w:val="pt-BR"/>
        </w:rPr>
        <w:t xml:space="preserve"> 2) APLICAÇÃO DO PRAZO PRESCRICIONAL DECENAL DO CÓDIGO CIVIL (ART. 205 DO CÓDIGO CIVIL). APLICAÇÃO ANALÓGICA DA SÚMULA 412/STJ. 3) MODULAÇÃO PARCIAL DOS EFEITOS DA DECISÃO. CONHECIMENTO E PROVIMENTO INTEGRAL DO RECURSO.” (EAREsp 676608/RS, Relator(a) Ministro OG FERNANDES, Órgão Julgador: CE – Corte Especial, Data de Julgamento: 21/10/2020, Data da Publicação: Dje 30/03/2021) (grifo nosso)</w:t>
      </w:r>
    </w:p>
    <w:p>
      <w:pPr>
        <w:pStyle w:val="Normal"/>
        <w:spacing w:lineRule="auto" w:line="300"/>
        <w:ind w:firstLine="2835" w:end="0"/>
        <w:jc w:val="both"/>
        <w:rPr>
          <w:rFonts w:cs="Calibri"/>
          <w:sz w:val="20"/>
          <w:szCs w:val="20"/>
          <w:lang w:val="pt-BR"/>
        </w:rPr>
      </w:pPr>
      <w:r>
        <w:rPr>
          <w:rFonts w:cs="Calibri"/>
          <w:sz w:val="20"/>
          <w:szCs w:val="20"/>
          <w:lang w:val="pt-BR"/>
        </w:rPr>
      </w:r>
    </w:p>
    <w:p>
      <w:pPr>
        <w:pStyle w:val="Normal"/>
        <w:spacing w:lineRule="auto" w:line="300"/>
        <w:ind w:firstLine="1418" w:end="0"/>
        <w:jc w:val="both"/>
        <w:rPr/>
      </w:pPr>
      <w:r>
        <w:rPr>
          <w:rFonts w:cs="Calibri"/>
          <w:lang w:val="pt-BR"/>
        </w:rPr>
        <w:t xml:space="preserve">Assim, à luz do entendimento consolidado pelo STJ e diante da ausência de qualquer engano justificável, impõe-se a condenação do requerido à </w:t>
      </w:r>
      <w:r>
        <w:rPr>
          <w:rFonts w:cs="Calibri"/>
          <w:b/>
          <w:bCs/>
          <w:lang w:val="pt-BR"/>
        </w:rPr>
        <w:t>restituição em dobro</w:t>
      </w:r>
      <w:r>
        <w:rPr>
          <w:rFonts w:cs="Calibri"/>
          <w:lang w:val="pt-BR"/>
        </w:rPr>
        <w:t xml:space="preserve"> dos valores indevidamente descontados da conta da parte requerente. </w:t>
      </w:r>
    </w:p>
    <w:p>
      <w:pPr>
        <w:pStyle w:val="Normal"/>
        <w:spacing w:lineRule="auto" w:line="300"/>
        <w:ind w:firstLine="1418" w:end="0"/>
        <w:jc w:val="both"/>
        <w:rPr>
          <w:rFonts w:cs="Calibri"/>
          <w:lang w:val="pt-BR"/>
        </w:rPr>
      </w:pPr>
      <w:r>
        <w:rPr>
          <w:rFonts w:cs="Calibri"/>
          <w:lang w:val="pt-BR"/>
        </w:rPr>
      </w:r>
    </w:p>
    <w:p>
      <w:pPr>
        <w:pStyle w:val="PargrafodaLista"/>
        <w:spacing w:lineRule="auto" w:line="300" w:before="0" w:after="0"/>
        <w:ind w:firstLine="1418" w:start="0" w:end="0"/>
        <w:contextualSpacing/>
        <w:jc w:val="both"/>
        <w:rPr/>
      </w:pPr>
      <w:r>
        <w:rPr>
          <w:rFonts w:cs="Calibri"/>
        </w:rPr>
        <w:t xml:space="preserve">Dessa forma, requer a parte autora que o requerido seja condenado a restituir, em dobro, os valores descontados indevidamente de sua conta bancária referente ao produto </w:t>
      </w:r>
      <w:r>
        <w:rPr>
          <w:rFonts w:cs="Calibri"/>
          <w:b/>
          <w:bCs/>
        </w:rPr>
        <w:t>“Seguro Mais Proteção”</w:t>
      </w:r>
      <w:r>
        <w:rPr>
          <w:rFonts w:cs="Calibri"/>
        </w:rPr>
        <w:t xml:space="preserve">, no período de </w:t>
      </w:r>
      <w:r>
        <w:rPr>
          <w:rFonts w:cs="Calibri"/>
          <w:b/>
          <w:bCs/>
        </w:rPr>
        <w:t>________ e ________</w:t>
      </w:r>
      <w:r>
        <w:rPr>
          <w:rFonts w:cs="Calibri"/>
        </w:rPr>
        <w:t xml:space="preserve">, totalizando o valor de </w:t>
      </w:r>
      <w:r>
        <w:rPr>
          <w:rFonts w:cs="Calibri"/>
          <w:b/>
          <w:bCs/>
        </w:rPr>
        <w:t>R$ 303,16</w:t>
      </w:r>
      <w:r>
        <w:rPr>
          <w:rFonts w:cs="Calibri"/>
        </w:rPr>
        <w:t xml:space="preserve">, o que perfaz em dobro o montante de </w:t>
      </w:r>
      <w:r>
        <w:rPr>
          <w:rFonts w:cs="Calibri"/>
          <w:b/>
          <w:bCs/>
        </w:rPr>
        <w:t>R$ 606,32 (seiscentos e seis reais e trinta e dois centavos)</w:t>
      </w:r>
      <w:r>
        <w:rPr>
          <w:rFonts w:cs="Calibri"/>
        </w:rPr>
        <w:t>, acrescido de correção monetária e juros legais, bem como a restituição, também em dobro, de eventuais valores que venham a ser indevidamente descontados durante a tramitação do feito.</w:t>
      </w:r>
    </w:p>
    <w:p>
      <w:pPr>
        <w:pStyle w:val="PargrafodaLista"/>
        <w:spacing w:lineRule="auto" w:line="300" w:before="0" w:after="0"/>
        <w:ind w:firstLine="1418" w:start="0" w:end="0"/>
        <w:contextualSpacing/>
        <w:jc w:val="both"/>
        <w:rPr>
          <w:rFonts w:cs="Calibri"/>
        </w:rPr>
      </w:pPr>
      <w:r>
        <w:rPr>
          <w:rFonts w:cs="Calibri"/>
        </w:rPr>
      </w:r>
    </w:p>
    <w:p>
      <w:pPr>
        <w:pStyle w:val="PargrafodaLista"/>
        <w:spacing w:lineRule="auto" w:line="300" w:before="0" w:after="0"/>
        <w:ind w:firstLine="1418" w:start="0" w:end="0"/>
        <w:contextualSpacing/>
        <w:jc w:val="both"/>
        <w:rPr/>
      </w:pPr>
      <w:r>
        <w:rPr>
          <w:rFonts w:cs="Calibri"/>
        </w:rPr>
        <w:t xml:space="preserve">Subsidiariamente, caso não seja esse o entendimento de Vossa Excelência, requer-se a </w:t>
      </w:r>
      <w:r>
        <w:rPr>
          <w:rFonts w:cs="Calibri"/>
          <w:b/>
          <w:bCs/>
        </w:rPr>
        <w:t>restituição simples</w:t>
      </w:r>
      <w:r>
        <w:rPr>
          <w:rFonts w:cs="Calibri"/>
        </w:rPr>
        <w:t xml:space="preserve"> dos valores indevidamente descontados, devidamente atualizados, inclusive quanto às parcelas que porventura venham a ser cobradas no curso da demanda, como medida de justiça.</w:t>
      </w:r>
    </w:p>
    <w:p>
      <w:pPr>
        <w:pStyle w:val="PargrafodaLista"/>
        <w:spacing w:lineRule="auto" w:line="300" w:before="0" w:after="0"/>
        <w:ind w:firstLine="1418" w:start="0" w:end="0"/>
        <w:contextualSpacing/>
        <w:jc w:val="both"/>
        <w:rPr>
          <w:rFonts w:cs="Calibri"/>
        </w:rPr>
      </w:pPr>
      <w:r>
        <w:rPr>
          <w:rFonts w:cs="Calibri"/>
        </w:rPr>
      </w:r>
    </w:p>
    <w:p>
      <w:pPr>
        <w:pStyle w:val="PargrafodaLista"/>
        <w:spacing w:lineRule="auto" w:line="300" w:before="0" w:after="0"/>
        <w:ind w:firstLine="1418" w:start="0" w:end="0"/>
        <w:contextualSpacing/>
        <w:jc w:val="both"/>
        <w:rPr/>
      </w:pPr>
      <w:r>
        <w:rPr>
          <w:rFonts w:cs="Calibri"/>
        </w:rPr>
        <w:t>Por fim, em sendo julgado procedente o pedido, requer-se a aplicação de correção monetária a partir da data do efetivo prejuízo, nos termos da Súmula 43 do STJ, e juros de mora de 1% ao mês, conforme orientação da Súmula 54 do STJ, tudo como expressão da mais lídima justiça.</w:t>
      </w:r>
    </w:p>
    <w:p>
      <w:pPr>
        <w:pStyle w:val="Normal"/>
        <w:spacing w:lineRule="auto" w:line="300"/>
        <w:ind w:firstLine="2835" w:end="0"/>
        <w:jc w:val="both"/>
        <w:rPr>
          <w:rFonts w:cs="Calibri"/>
          <w:sz w:val="18"/>
          <w:szCs w:val="18"/>
          <w:lang w:val="pt-BR"/>
        </w:rPr>
      </w:pPr>
      <w:r>
        <w:rPr>
          <w:rFonts w:cs="Calibri"/>
          <w:sz w:val="18"/>
          <w:szCs w:val="18"/>
          <w:lang w:val="pt-BR"/>
        </w:rPr>
      </w:r>
    </w:p>
    <w:p>
      <w:pPr>
        <w:pStyle w:val="Normal"/>
        <w:pBdr>
          <w:top w:val="single" w:sz="12" w:space="1" w:color="000000" w:shadow="1"/>
          <w:left w:val="single" w:sz="12" w:space="4" w:color="000000" w:shadow="1"/>
          <w:bottom w:val="single" w:sz="12" w:space="1" w:color="000000" w:shadow="1"/>
          <w:right w:val="single" w:sz="12" w:space="4" w:color="000000" w:shadow="1"/>
        </w:pBdr>
        <w:shd w:fill="F2F2F2" w:val="clear"/>
        <w:spacing w:lineRule="auto" w:line="300"/>
        <w:jc w:val="both"/>
        <w:rPr/>
      </w:pPr>
      <w:r>
        <w:rPr>
          <w:rFonts w:cs="Calibri"/>
          <w:b/>
          <w:lang w:val="pt-BR"/>
        </w:rPr>
        <w:t xml:space="preserve">4.6 – DO DANO MORAL E DO DEVER DE INDENIZAR </w:t>
      </w:r>
    </w:p>
    <w:p>
      <w:pPr>
        <w:pStyle w:val="Normal"/>
        <w:spacing w:lineRule="auto" w:line="300"/>
        <w:jc w:val="both"/>
        <w:rPr>
          <w:rFonts w:cs="Calibri"/>
          <w:b/>
          <w:u w:val="single"/>
          <w:lang w:val="pt-BR"/>
        </w:rPr>
      </w:pPr>
      <w:r>
        <w:rPr>
          <w:rFonts w:cs="Calibri"/>
          <w:b/>
          <w:u w:val="single"/>
          <w:lang w:val="pt-BR"/>
        </w:rPr>
      </w:r>
    </w:p>
    <w:p>
      <w:pPr>
        <w:pStyle w:val="Normal"/>
        <w:tabs>
          <w:tab w:val="clear" w:pos="720"/>
          <w:tab w:val="left" w:pos="2694" w:leader="none"/>
        </w:tabs>
        <w:spacing w:lineRule="auto" w:line="300"/>
        <w:ind w:firstLine="1418" w:end="0"/>
        <w:jc w:val="both"/>
        <w:rPr>
          <w:rFonts w:cs="Calibri"/>
          <w:lang w:val="pt-BR"/>
        </w:rPr>
      </w:pPr>
      <w:r>
        <w:rPr>
          <w:rFonts w:cs="Calibri"/>
          <w:lang w:val="pt-BR"/>
        </w:rPr>
        <w:t xml:space="preserve">Inicialmente, cumpre destacar que a parte requerente, na condição de </w:t>
      </w:r>
      <w:r>
        <w:rPr>
          <w:rFonts w:cs="Calibri"/>
          <w:b/>
          <w:bCs/>
          <w:lang w:val="pt-BR"/>
        </w:rPr>
        <w:t>consumidora</w:t>
      </w:r>
      <w:r>
        <w:rPr>
          <w:rFonts w:cs="Calibri"/>
          <w:lang w:val="pt-BR"/>
        </w:rPr>
        <w:t xml:space="preserve">, é reconhecidamente </w:t>
      </w:r>
      <w:r>
        <w:rPr>
          <w:rFonts w:cs="Calibri"/>
          <w:b/>
          <w:bCs/>
          <w:lang w:val="pt-BR"/>
        </w:rPr>
        <w:t>vulnerável e hipossuficiente</w:t>
      </w:r>
      <w:r>
        <w:rPr>
          <w:rFonts w:cs="Calibri"/>
          <w:lang w:val="pt-BR"/>
        </w:rPr>
        <w:t xml:space="preserve"> na relação jurídica estabelecida com a instituição financeira requerida. Em razão dessa condição, o Código de Defesa do Consumidor, em seu art. 6º, assegura-lhe direitos básicos, dentre os quais se destaca a </w:t>
      </w:r>
      <w:r>
        <w:rPr>
          <w:rFonts w:cs="Calibri"/>
          <w:b/>
          <w:bCs/>
          <w:lang w:val="pt-BR"/>
        </w:rPr>
        <w:t>proteção contra práticas ilícitas e abusivas</w:t>
      </w:r>
      <w:r>
        <w:rPr>
          <w:rFonts w:cs="Calibri"/>
          <w:lang w:val="pt-BR"/>
        </w:rPr>
        <w:t>.</w:t>
      </w:r>
    </w:p>
    <w:p>
      <w:pPr>
        <w:pStyle w:val="Normal"/>
        <w:tabs>
          <w:tab w:val="clear" w:pos="720"/>
          <w:tab w:val="left" w:pos="2694" w:leader="none"/>
        </w:tabs>
        <w:spacing w:lineRule="auto" w:line="300"/>
        <w:ind w:firstLine="1418" w:end="0"/>
        <w:jc w:val="both"/>
        <w:rPr>
          <w:rFonts w:cs="Calibri"/>
          <w:lang w:val="pt-BR"/>
        </w:rPr>
      </w:pPr>
      <w:r>
        <w:rPr>
          <w:rFonts w:cs="Calibri"/>
          <w:lang w:val="pt-BR"/>
        </w:rPr>
      </w:r>
    </w:p>
    <w:p>
      <w:pPr>
        <w:pStyle w:val="Normal"/>
        <w:tabs>
          <w:tab w:val="clear" w:pos="720"/>
          <w:tab w:val="left" w:pos="2694" w:leader="none"/>
        </w:tabs>
        <w:spacing w:lineRule="auto" w:line="300"/>
        <w:ind w:firstLine="1418" w:end="0"/>
        <w:jc w:val="both"/>
        <w:rPr>
          <w:rFonts w:cs="Calibri"/>
          <w:b/>
          <w:lang w:val="pt-BR"/>
        </w:rPr>
      </w:pPr>
      <w:r>
        <w:rPr>
          <w:rFonts w:cs="Calibri"/>
          <w:bCs/>
          <w:lang w:val="pt-BR"/>
        </w:rPr>
        <w:t xml:space="preserve">No caso em apreço, restou amplamente comprovada a ocorrência de descontos indevidos e reiterados na conta corrente da parte requerente, sob a rubrica </w:t>
      </w:r>
      <w:r>
        <w:rPr>
          <w:rFonts w:cs="Calibri"/>
          <w:b/>
          <w:bCs/>
          <w:lang w:val="pt-BR"/>
        </w:rPr>
        <w:t>“Seguro Mais Proteção”</w:t>
      </w:r>
      <w:r>
        <w:rPr>
          <w:rFonts w:cs="Calibri"/>
          <w:bCs/>
          <w:lang w:val="pt-BR"/>
        </w:rPr>
        <w:t>, sem qualquer autorização ou contratação válida, conforme demonstram os extratos bancários da</w:t>
      </w:r>
      <w:r>
        <w:rPr>
          <w:rFonts w:cs="Calibri"/>
          <w:b/>
          <w:lang w:val="pt-BR"/>
        </w:rPr>
        <w:t xml:space="preserve"> conta corrente nº </w:t>
      </w:r>
      <w:r>
        <w:rPr>
          <w:rFonts w:cs="Calibri"/>
          <w:b/>
          <w:bCs/>
          <w:lang w:val="pt-BR"/>
        </w:rPr>
        <w:t>________</w:t>
      </w:r>
      <w:r>
        <w:rPr>
          <w:rFonts w:cs="Calibri"/>
          <w:b/>
          <w:lang w:val="pt-BR"/>
        </w:rPr>
        <w:t xml:space="preserve">, agência </w:t>
      </w:r>
      <w:r>
        <w:rPr>
          <w:rFonts w:cs="Calibri"/>
          <w:b/>
          <w:bCs/>
          <w:lang w:val="pt-BR"/>
        </w:rPr>
        <w:t>________</w:t>
      </w:r>
      <w:r>
        <w:rPr>
          <w:rFonts w:cs="Calibri"/>
          <w:bCs/>
          <w:lang w:val="pt-BR"/>
        </w:rPr>
        <w:t>, devidamente acostados aos autos.</w:t>
      </w:r>
    </w:p>
    <w:p>
      <w:pPr>
        <w:pStyle w:val="Normal"/>
        <w:tabs>
          <w:tab w:val="clear" w:pos="720"/>
          <w:tab w:val="left" w:pos="2694" w:leader="none"/>
        </w:tabs>
        <w:spacing w:lineRule="auto" w:line="300"/>
        <w:ind w:firstLine="1418" w:end="0"/>
        <w:jc w:val="both"/>
        <w:rPr>
          <w:rFonts w:cs="Calibri"/>
          <w:b/>
          <w:lang w:val="pt-BR"/>
        </w:rPr>
      </w:pPr>
      <w:r>
        <w:rPr>
          <w:rFonts w:cs="Calibri"/>
          <w:b/>
          <w:lang w:val="pt-BR"/>
        </w:rPr>
      </w:r>
    </w:p>
    <w:p>
      <w:pPr>
        <w:pStyle w:val="Normal"/>
        <w:tabs>
          <w:tab w:val="clear" w:pos="720"/>
          <w:tab w:val="left" w:pos="2694" w:leader="none"/>
        </w:tabs>
        <w:spacing w:lineRule="auto" w:line="300"/>
        <w:ind w:firstLine="1418" w:end="0"/>
        <w:jc w:val="both"/>
        <w:rPr>
          <w:rFonts w:cs="Calibri"/>
          <w:lang w:val="pt-BR"/>
        </w:rPr>
      </w:pPr>
      <w:r>
        <w:rPr>
          <w:rFonts w:cs="Calibri"/>
          <w:lang w:val="pt-BR"/>
        </w:rPr>
        <w:t xml:space="preserve">A conduta do requerido evidencia </w:t>
      </w:r>
      <w:r>
        <w:rPr>
          <w:rFonts w:cs="Calibri"/>
          <w:b/>
          <w:bCs/>
          <w:lang w:val="pt-BR"/>
        </w:rPr>
        <w:t>falha grave na prestação do serviço</w:t>
      </w:r>
      <w:r>
        <w:rPr>
          <w:rFonts w:cs="Calibri"/>
          <w:lang w:val="pt-BR"/>
        </w:rPr>
        <w:t xml:space="preserve">, além de violação direta às normas consumeristas, revelando-se </w:t>
      </w:r>
      <w:r>
        <w:rPr>
          <w:rFonts w:cs="Calibri"/>
          <w:b/>
          <w:bCs/>
          <w:lang w:val="pt-BR"/>
        </w:rPr>
        <w:t>ilícita e abusiva</w:t>
      </w:r>
      <w:r>
        <w:rPr>
          <w:rFonts w:cs="Calibri"/>
          <w:lang w:val="pt-BR"/>
        </w:rPr>
        <w:t>, uma vez que promoveu cobranças não autorizadas, em manifesto desrespeito aos deveres de boa-fé, transparência e segurança que devem nortear a atuação das instituições financeiras.</w:t>
      </w:r>
    </w:p>
    <w:p>
      <w:pPr>
        <w:pStyle w:val="Normal"/>
        <w:tabs>
          <w:tab w:val="clear" w:pos="720"/>
          <w:tab w:val="left" w:pos="2694" w:leader="none"/>
        </w:tabs>
        <w:spacing w:lineRule="auto" w:line="300"/>
        <w:ind w:firstLine="1418" w:end="0"/>
        <w:jc w:val="both"/>
        <w:rPr>
          <w:rFonts w:cs="Calibri"/>
          <w:lang w:val="pt-BR"/>
        </w:rPr>
      </w:pPr>
      <w:r>
        <w:rPr>
          <w:rFonts w:cs="Calibri"/>
          <w:lang w:val="pt-BR"/>
        </w:rPr>
      </w:r>
    </w:p>
    <w:p>
      <w:pPr>
        <w:pStyle w:val="Normal"/>
        <w:tabs>
          <w:tab w:val="clear" w:pos="720"/>
          <w:tab w:val="left" w:pos="2694" w:leader="none"/>
        </w:tabs>
        <w:spacing w:lineRule="auto" w:line="300"/>
        <w:ind w:firstLine="1418" w:end="0"/>
        <w:jc w:val="both"/>
        <w:rPr>
          <w:rFonts w:cs="Calibri"/>
          <w:lang w:val="pt-BR"/>
        </w:rPr>
      </w:pPr>
      <w:r>
        <w:rPr>
          <w:rFonts w:cs="Calibri"/>
          <w:bCs/>
          <w:lang w:val="pt-BR"/>
        </w:rPr>
        <w:t xml:space="preserve">É inegável, portanto, o </w:t>
      </w:r>
      <w:r>
        <w:rPr>
          <w:rFonts w:cs="Calibri"/>
          <w:b/>
          <w:bCs/>
          <w:lang w:val="pt-BR"/>
        </w:rPr>
        <w:t>dano moral suportado pela parte requerente</w:t>
      </w:r>
      <w:r>
        <w:rPr>
          <w:rFonts w:cs="Calibri"/>
          <w:bCs/>
          <w:lang w:val="pt-BR"/>
        </w:rPr>
        <w:t xml:space="preserve">, decorrente da indevida violação de sua </w:t>
      </w:r>
      <w:r>
        <w:rPr>
          <w:rFonts w:cs="Calibri"/>
          <w:b/>
          <w:bCs/>
          <w:lang w:val="pt-BR"/>
        </w:rPr>
        <w:t>segurança patrimonial</w:t>
      </w:r>
      <w:r>
        <w:rPr>
          <w:rFonts w:cs="Calibri"/>
          <w:bCs/>
          <w:lang w:val="pt-BR"/>
        </w:rPr>
        <w:t xml:space="preserve">. Os descontos mensais não autorizados extrapolam o mero aborrecimento cotidiano, configurando situação apta a gerar angústia, insegurança e sensação de impotência, sobretudo quando se considera que a parte requerente é </w:t>
      </w:r>
      <w:r>
        <w:rPr>
          <w:rFonts w:cs="Calibri"/>
          <w:b/>
          <w:bCs/>
          <w:lang w:val="pt-BR"/>
        </w:rPr>
        <w:t>assalariada</w:t>
      </w:r>
      <w:r>
        <w:rPr>
          <w:rFonts w:cs="Calibri"/>
          <w:bCs/>
          <w:lang w:val="pt-BR"/>
        </w:rPr>
        <w:t xml:space="preserve"> e enfrenta, como a maioria da população brasileira, dificuldades financeiras, sendo certo que qualquer subtração indevida de sua renda compromete o equilíbrio de seu orçamento familiar.</w:t>
      </w:r>
    </w:p>
    <w:p>
      <w:pPr>
        <w:pStyle w:val="Normal"/>
        <w:tabs>
          <w:tab w:val="clear" w:pos="720"/>
          <w:tab w:val="left" w:pos="2694" w:leader="none"/>
        </w:tabs>
        <w:spacing w:lineRule="auto" w:line="300"/>
        <w:ind w:firstLine="1418" w:end="0"/>
        <w:jc w:val="both"/>
        <w:rPr>
          <w:rFonts w:cs="Calibri"/>
          <w:b/>
          <w:lang w:val="pt-BR"/>
        </w:rPr>
      </w:pPr>
      <w:r>
        <w:rPr>
          <w:rFonts w:cs="Calibri"/>
          <w:b/>
          <w:lang w:val="pt-BR"/>
        </w:rPr>
      </w:r>
    </w:p>
    <w:p>
      <w:pPr>
        <w:pStyle w:val="Normal"/>
        <w:tabs>
          <w:tab w:val="clear" w:pos="720"/>
          <w:tab w:val="left" w:pos="2694" w:leader="none"/>
        </w:tabs>
        <w:spacing w:lineRule="auto" w:line="300"/>
        <w:ind w:firstLine="1418" w:end="0"/>
        <w:jc w:val="both"/>
        <w:rPr>
          <w:rFonts w:cs="Calibri"/>
          <w:bCs/>
          <w:lang w:val="pt-BR"/>
        </w:rPr>
      </w:pPr>
      <w:r>
        <w:rPr>
          <w:rFonts w:cs="Calibri"/>
          <w:bCs/>
          <w:lang w:val="pt-BR"/>
        </w:rPr>
        <w:t>Nessa perspectiva, a jurisprudência pátria é firme no sentido de que a cobrança indevida e reiterada em conta bancária configura</w:t>
      </w:r>
      <w:r>
        <w:rPr>
          <w:rFonts w:cs="Calibri"/>
          <w:b/>
          <w:bCs/>
          <w:lang w:val="pt-BR"/>
        </w:rPr>
        <w:t xml:space="preserve"> dano moral presumido (in re ipsa)</w:t>
      </w:r>
      <w:r>
        <w:rPr>
          <w:rFonts w:cs="Calibri"/>
          <w:b/>
          <w:lang w:val="pt-BR"/>
        </w:rPr>
        <w:t xml:space="preserve">, sendo </w:t>
      </w:r>
      <w:r>
        <w:rPr>
          <w:rFonts w:cs="Calibri"/>
          <w:b/>
          <w:bCs/>
          <w:lang w:val="pt-BR"/>
        </w:rPr>
        <w:t>dispensável a comprovação do prejuízo extrapatrimonial</w:t>
      </w:r>
      <w:r>
        <w:rPr>
          <w:rFonts w:cs="Calibri"/>
          <w:bCs/>
          <w:lang w:val="pt-BR"/>
        </w:rPr>
        <w:t>, porquanto o próprio fato ilícito é suficiente para ensejar a reparação.</w:t>
      </w:r>
    </w:p>
    <w:p>
      <w:pPr>
        <w:pStyle w:val="Normal"/>
        <w:tabs>
          <w:tab w:val="clear" w:pos="720"/>
          <w:tab w:val="left" w:pos="2694" w:leader="none"/>
        </w:tabs>
        <w:spacing w:lineRule="auto" w:line="300"/>
        <w:ind w:firstLine="1418" w:end="0"/>
        <w:jc w:val="both"/>
        <w:rPr>
          <w:rFonts w:cs="Calibri"/>
          <w:b/>
          <w:bCs/>
          <w:lang w:val="pt-BR"/>
        </w:rPr>
      </w:pPr>
      <w:r>
        <w:rPr>
          <w:rFonts w:cs="Calibri"/>
          <w:b/>
          <w:bCs/>
          <w:lang w:val="pt-BR"/>
        </w:rPr>
      </w:r>
    </w:p>
    <w:p>
      <w:pPr>
        <w:pStyle w:val="Normal"/>
        <w:tabs>
          <w:tab w:val="clear" w:pos="720"/>
          <w:tab w:val="left" w:pos="2694" w:leader="none"/>
        </w:tabs>
        <w:spacing w:lineRule="auto" w:line="300"/>
        <w:ind w:firstLine="1418" w:end="0"/>
        <w:jc w:val="both"/>
        <w:rPr>
          <w:rFonts w:cs="Calibri"/>
          <w:lang w:val="pt-BR"/>
        </w:rPr>
      </w:pPr>
      <w:r>
        <w:rPr>
          <w:rFonts w:cs="Calibri"/>
          <w:lang w:val="pt-BR"/>
        </w:rPr>
        <w:t xml:space="preserve">Com efeito, resta plenamente configurado o </w:t>
      </w:r>
      <w:r>
        <w:rPr>
          <w:rFonts w:cs="Calibri"/>
          <w:b/>
          <w:bCs/>
          <w:lang w:val="pt-BR"/>
        </w:rPr>
        <w:t>nexo de causalidade</w:t>
      </w:r>
      <w:r>
        <w:rPr>
          <w:rFonts w:cs="Calibri"/>
          <w:lang w:val="pt-BR"/>
        </w:rPr>
        <w:t xml:space="preserve"> entre a conduta ilícita do requerido e os danos experimentados pela parte requerente, o que autoriza a condenação à indenização por danos morais, nos termos do art. 5º, incisos V e X, da Constituição Federal, do art. 6º, inciso VI, do Código de Defesa do Consumidor, bem como dos arts. </w:t>
      </w:r>
      <w:r>
        <w:rPr>
          <w:rFonts w:cs="Calibri"/>
        </w:rPr>
        <w:t>186 e 927, parágrafo único, do Código Civil.</w:t>
      </w:r>
    </w:p>
    <w:p>
      <w:pPr>
        <w:pStyle w:val="Normal"/>
        <w:tabs>
          <w:tab w:val="clear" w:pos="720"/>
          <w:tab w:val="left" w:pos="2694" w:leader="none"/>
        </w:tabs>
        <w:spacing w:lineRule="auto" w:line="300"/>
        <w:ind w:firstLine="1701" w:end="0"/>
        <w:jc w:val="both"/>
        <w:rPr>
          <w:rFonts w:cs="Calibri"/>
          <w:iCs/>
          <w:lang w:val="pt-BR"/>
        </w:rPr>
      </w:pPr>
      <w:r>
        <w:rPr>
          <w:rFonts w:cs="Calibri"/>
          <w:iCs/>
          <w:lang w:val="pt-BR"/>
        </w:rPr>
      </w:r>
    </w:p>
    <w:p>
      <w:pPr>
        <w:pStyle w:val="Normal"/>
        <w:spacing w:lineRule="auto" w:line="240"/>
        <w:ind w:start="2268" w:end="0"/>
        <w:jc w:val="both"/>
        <w:rPr>
          <w:rFonts w:cs="Calibri"/>
          <w:bCs/>
          <w:iCs/>
          <w:sz w:val="20"/>
          <w:szCs w:val="20"/>
          <w:lang w:val="pt-BR"/>
        </w:rPr>
      </w:pPr>
      <w:r>
        <w:rPr>
          <w:rFonts w:cs="Calibri"/>
          <w:bCs/>
          <w:iCs/>
          <w:sz w:val="20"/>
          <w:szCs w:val="20"/>
          <w:lang w:val="pt-BR"/>
        </w:rPr>
        <w:t>Artigo 5º - (...)</w:t>
      </w:r>
    </w:p>
    <w:p>
      <w:pPr>
        <w:pStyle w:val="Normal"/>
        <w:spacing w:lineRule="auto" w:line="240"/>
        <w:ind w:start="2268" w:end="0"/>
        <w:jc w:val="both"/>
        <w:rPr>
          <w:rFonts w:cs="Calibri"/>
          <w:bCs/>
          <w:iCs/>
          <w:sz w:val="20"/>
          <w:szCs w:val="20"/>
          <w:lang w:val="pt-BR"/>
        </w:rPr>
      </w:pPr>
      <w:r>
        <w:rPr>
          <w:rFonts w:cs="Calibri"/>
          <w:bCs/>
          <w:iCs/>
          <w:sz w:val="20"/>
          <w:szCs w:val="20"/>
          <w:lang w:val="pt-BR"/>
        </w:rPr>
        <w:t>V – É assegurado o direito de resposta, proporcional ao agravo, além da indenização por dano material, moral ou à imagem;</w:t>
      </w:r>
    </w:p>
    <w:p>
      <w:pPr>
        <w:pStyle w:val="Normal"/>
        <w:spacing w:lineRule="auto" w:line="240"/>
        <w:ind w:start="2268" w:end="0"/>
        <w:jc w:val="both"/>
        <w:rPr>
          <w:rFonts w:cs="Calibri"/>
          <w:bCs/>
          <w:iCs/>
          <w:sz w:val="20"/>
          <w:szCs w:val="20"/>
          <w:lang w:val="pt-BR"/>
        </w:rPr>
      </w:pPr>
      <w:r>
        <w:rPr>
          <w:rFonts w:cs="Calibri"/>
          <w:bCs/>
          <w:iCs/>
          <w:sz w:val="20"/>
          <w:szCs w:val="20"/>
          <w:lang w:val="pt-BR"/>
        </w:rPr>
        <w:t>(...)</w:t>
      </w:r>
    </w:p>
    <w:p>
      <w:pPr>
        <w:pStyle w:val="Normal"/>
        <w:spacing w:lineRule="auto" w:line="240"/>
        <w:ind w:start="2268" w:end="0"/>
        <w:jc w:val="both"/>
        <w:rPr>
          <w:rFonts w:cs="Calibri"/>
          <w:sz w:val="20"/>
          <w:szCs w:val="20"/>
          <w:lang w:val="pt-BR"/>
        </w:rPr>
      </w:pPr>
      <w:r>
        <w:rPr>
          <w:rFonts w:cs="Calibri"/>
          <w:bCs/>
          <w:iCs/>
          <w:sz w:val="20"/>
          <w:szCs w:val="20"/>
          <w:lang w:val="pt-BR"/>
        </w:rPr>
        <w:t>X – São invioláveis a intimidade, a vida privada, a honra e a imagem das pessoas, assegurado o direito à indenização pelo dano material ou moral decorrente de sua violação;</w:t>
      </w:r>
    </w:p>
    <w:p>
      <w:pPr>
        <w:pStyle w:val="Normal"/>
        <w:tabs>
          <w:tab w:val="clear" w:pos="720"/>
          <w:tab w:val="left" w:pos="2694" w:leader="none"/>
        </w:tabs>
        <w:spacing w:lineRule="auto" w:line="240"/>
        <w:ind w:start="2268" w:end="0"/>
        <w:jc w:val="both"/>
        <w:rPr>
          <w:rFonts w:cs="Calibri"/>
          <w:sz w:val="20"/>
          <w:szCs w:val="20"/>
          <w:lang w:val="pt-BR"/>
        </w:rPr>
      </w:pPr>
      <w:r>
        <w:rPr>
          <w:rFonts w:cs="Calibri"/>
          <w:sz w:val="20"/>
          <w:szCs w:val="20"/>
          <w:lang w:val="pt-BR"/>
        </w:rPr>
        <w:t xml:space="preserve"> </w:t>
      </w:r>
    </w:p>
    <w:p>
      <w:pPr>
        <w:pStyle w:val="Normal"/>
        <w:tabs>
          <w:tab w:val="clear" w:pos="720"/>
          <w:tab w:val="left" w:pos="2694" w:leader="none"/>
        </w:tabs>
        <w:spacing w:lineRule="auto" w:line="240"/>
        <w:ind w:start="2268" w:end="0"/>
        <w:jc w:val="both"/>
        <w:rPr>
          <w:rFonts w:cs="Calibri"/>
          <w:sz w:val="20"/>
          <w:szCs w:val="20"/>
          <w:lang w:val="pt-BR"/>
        </w:rPr>
      </w:pPr>
      <w:r>
        <w:rPr>
          <w:rFonts w:cs="Calibri"/>
          <w:sz w:val="20"/>
          <w:szCs w:val="20"/>
          <w:lang w:val="pt-BR"/>
        </w:rPr>
        <w:t>Artigo 6° - (...)</w:t>
      </w:r>
    </w:p>
    <w:p>
      <w:pPr>
        <w:pStyle w:val="Normal"/>
        <w:tabs>
          <w:tab w:val="clear" w:pos="720"/>
          <w:tab w:val="left" w:pos="2694" w:leader="none"/>
        </w:tabs>
        <w:spacing w:lineRule="auto" w:line="240"/>
        <w:ind w:start="2268" w:end="0"/>
        <w:jc w:val="both"/>
        <w:rPr/>
      </w:pPr>
      <w:r>
        <w:rPr>
          <w:rFonts w:cs="Calibri"/>
          <w:sz w:val="20"/>
          <w:szCs w:val="20"/>
          <w:lang w:val="pt-BR"/>
        </w:rPr>
        <w:t>VI – a efetiva prevenção e reparação de danos patrimoniais e morais, individuais, coletivos e difusos;</w:t>
      </w:r>
    </w:p>
    <w:p>
      <w:pPr>
        <w:pStyle w:val="Normal"/>
        <w:tabs>
          <w:tab w:val="clear" w:pos="720"/>
          <w:tab w:val="left" w:pos="2694" w:leader="none"/>
        </w:tabs>
        <w:spacing w:lineRule="auto" w:line="240"/>
        <w:ind w:start="2268" w:end="0"/>
        <w:jc w:val="both"/>
        <w:rPr>
          <w:rFonts w:cs="Calibri"/>
          <w:sz w:val="20"/>
          <w:szCs w:val="20"/>
          <w:lang w:val="pt-BR"/>
        </w:rPr>
      </w:pPr>
      <w:r>
        <w:rPr>
          <w:rFonts w:cs="Calibri"/>
          <w:sz w:val="20"/>
          <w:szCs w:val="20"/>
          <w:lang w:val="pt-BR"/>
        </w:rPr>
      </w:r>
    </w:p>
    <w:p>
      <w:pPr>
        <w:pStyle w:val="Normal"/>
        <w:spacing w:lineRule="auto" w:line="240"/>
        <w:ind w:start="2268" w:end="0"/>
        <w:jc w:val="both"/>
        <w:rPr>
          <w:rFonts w:cs="Calibri"/>
          <w:sz w:val="20"/>
          <w:szCs w:val="20"/>
          <w:lang w:val="pt-BR"/>
        </w:rPr>
      </w:pPr>
      <w:r>
        <w:rPr>
          <w:rFonts w:cs="Calibri"/>
          <w:sz w:val="20"/>
          <w:szCs w:val="20"/>
          <w:lang w:val="pt-BR"/>
        </w:rPr>
        <w:t>Artigo 186 – Aquele que, por ação ou omissão voluntária, negligência ou imprudência, violar direito e causar dano a outrem, ainda que exclusivamente moral, comete ato ilícito.</w:t>
      </w:r>
    </w:p>
    <w:p>
      <w:pPr>
        <w:pStyle w:val="Normal"/>
        <w:spacing w:lineRule="auto" w:line="240"/>
        <w:ind w:start="2268" w:end="0"/>
        <w:jc w:val="both"/>
        <w:rPr>
          <w:rFonts w:cs="Calibri"/>
          <w:sz w:val="20"/>
          <w:szCs w:val="20"/>
          <w:lang w:val="pt-BR"/>
        </w:rPr>
      </w:pPr>
      <w:r>
        <w:rPr>
          <w:rFonts w:cs="Calibri"/>
          <w:sz w:val="20"/>
          <w:szCs w:val="20"/>
          <w:lang w:val="pt-BR"/>
        </w:rPr>
      </w:r>
    </w:p>
    <w:p>
      <w:pPr>
        <w:pStyle w:val="Normal"/>
        <w:spacing w:lineRule="auto" w:line="240"/>
        <w:ind w:start="2268" w:end="0"/>
        <w:jc w:val="both"/>
        <w:rPr>
          <w:rFonts w:cs="Calibri"/>
          <w:sz w:val="20"/>
          <w:szCs w:val="20"/>
          <w:lang w:val="pt-BR"/>
        </w:rPr>
      </w:pPr>
      <w:r>
        <w:rPr>
          <w:rFonts w:cs="Calibri"/>
          <w:sz w:val="20"/>
          <w:szCs w:val="20"/>
          <w:lang w:val="pt-BR"/>
        </w:rPr>
        <w:t>Artigo 927 – Aquele que, por ato ilícito (arts. 186 e 187), causar dano a outrem, fica obrigado a repará-lo.</w:t>
      </w:r>
    </w:p>
    <w:p>
      <w:pPr>
        <w:pStyle w:val="Normal"/>
        <w:spacing w:lineRule="auto" w:line="240"/>
        <w:ind w:start="2268" w:end="0"/>
        <w:jc w:val="both"/>
        <w:rPr>
          <w:rFonts w:cs="Calibri"/>
          <w:sz w:val="20"/>
          <w:szCs w:val="20"/>
          <w:lang w:val="pt-BR"/>
        </w:rPr>
      </w:pPr>
      <w:r>
        <w:rPr>
          <w:rFonts w:cs="Calibri"/>
          <w:sz w:val="20"/>
          <w:szCs w:val="20"/>
          <w:lang w:val="pt-BR"/>
        </w:rPr>
      </w:r>
    </w:p>
    <w:p>
      <w:pPr>
        <w:pStyle w:val="Normal"/>
        <w:spacing w:lineRule="auto" w:line="240"/>
        <w:ind w:start="2268" w:end="0"/>
        <w:jc w:val="both"/>
        <w:rPr/>
      </w:pPr>
      <w:r>
        <w:rPr>
          <w:rFonts w:cs="Calibri"/>
          <w:sz w:val="20"/>
          <w:szCs w:val="20"/>
          <w:lang w:val="pt-BR"/>
        </w:rPr>
        <w:t>Parágrafo Único – haverá obrigação de reparar o dano, independentemente de culpa, nos casos especificados em lei, ou quando a atividade normalmente desenvolvida pelo autor do dano implicar, por sua natureza, risco para os direitos de outrem.</w:t>
      </w:r>
    </w:p>
    <w:p>
      <w:pPr>
        <w:pStyle w:val="Normal"/>
        <w:tabs>
          <w:tab w:val="clear" w:pos="720"/>
          <w:tab w:val="left" w:pos="2694" w:leader="none"/>
        </w:tabs>
        <w:spacing w:lineRule="auto" w:line="300"/>
        <w:ind w:firstLine="2835" w:end="0"/>
        <w:jc w:val="both"/>
        <w:rPr>
          <w:rFonts w:cs="Calibri"/>
          <w:sz w:val="20"/>
          <w:szCs w:val="20"/>
          <w:lang w:val="pt-BR"/>
        </w:rPr>
      </w:pPr>
      <w:r>
        <w:rPr>
          <w:rFonts w:cs="Calibri"/>
          <w:sz w:val="20"/>
          <w:szCs w:val="20"/>
          <w:lang w:val="pt-BR"/>
        </w:rPr>
      </w:r>
    </w:p>
    <w:p>
      <w:pPr>
        <w:pStyle w:val="Normal"/>
        <w:tabs>
          <w:tab w:val="clear" w:pos="720"/>
          <w:tab w:val="left" w:pos="2694" w:leader="none"/>
        </w:tabs>
        <w:spacing w:lineRule="auto" w:line="300"/>
        <w:ind w:firstLine="1418" w:end="0"/>
        <w:jc w:val="both"/>
        <w:rPr/>
      </w:pPr>
      <w:r>
        <w:rPr>
          <w:rFonts w:cs="Calibri"/>
          <w:lang w:val="pt-BR"/>
        </w:rPr>
        <w:t xml:space="preserve">Registre-se que, comprovada a falha na prestação do serviço, a responsabilidade do fornecedor é </w:t>
      </w:r>
      <w:r>
        <w:rPr>
          <w:rFonts w:cs="Calibri"/>
          <w:b/>
          <w:bCs/>
          <w:lang w:val="pt-BR"/>
        </w:rPr>
        <w:t>objetiva</w:t>
      </w:r>
      <w:r>
        <w:rPr>
          <w:rFonts w:cs="Calibri"/>
          <w:lang w:val="pt-BR"/>
        </w:rPr>
        <w:t>, sendo desnecessária a comprovação de culpa, conforme já amplamente reconhecido pela doutrina e jurisprudência pátrias.</w:t>
      </w:r>
    </w:p>
    <w:p>
      <w:pPr>
        <w:pStyle w:val="Normal"/>
        <w:tabs>
          <w:tab w:val="clear" w:pos="720"/>
          <w:tab w:val="left" w:pos="2694" w:leader="none"/>
        </w:tabs>
        <w:spacing w:lineRule="auto" w:line="300"/>
        <w:ind w:firstLine="1418" w:end="0"/>
        <w:jc w:val="both"/>
        <w:rPr>
          <w:rFonts w:cs="Calibri"/>
          <w:lang w:val="pt-BR"/>
        </w:rPr>
      </w:pPr>
      <w:r>
        <w:rPr>
          <w:rFonts w:cs="Calibri"/>
          <w:lang w:val="pt-BR"/>
        </w:rPr>
      </w:r>
    </w:p>
    <w:p>
      <w:pPr>
        <w:pStyle w:val="Normal"/>
        <w:tabs>
          <w:tab w:val="clear" w:pos="720"/>
          <w:tab w:val="left" w:pos="2694" w:leader="none"/>
        </w:tabs>
        <w:spacing w:lineRule="auto" w:line="300"/>
        <w:ind w:firstLine="1418" w:end="0"/>
        <w:jc w:val="both"/>
        <w:rPr/>
      </w:pPr>
      <w:r>
        <w:rPr>
          <w:rFonts w:cs="Calibri"/>
          <w:lang w:val="pt-BR"/>
        </w:rPr>
        <w:t xml:space="preserve">A indenização por dano moral possui </w:t>
      </w:r>
      <w:r>
        <w:rPr>
          <w:rFonts w:cs="Calibri"/>
          <w:b/>
          <w:bCs/>
          <w:lang w:val="pt-BR"/>
        </w:rPr>
        <w:t>dupla finalidade</w:t>
      </w:r>
      <w:r>
        <w:rPr>
          <w:rFonts w:cs="Calibri"/>
          <w:lang w:val="pt-BR"/>
        </w:rPr>
        <w:t xml:space="preserve">: de um lado, </w:t>
      </w:r>
      <w:r>
        <w:rPr>
          <w:rFonts w:cs="Calibri"/>
          <w:b/>
          <w:bCs/>
          <w:lang w:val="pt-BR"/>
        </w:rPr>
        <w:t>compensar a vítima</w:t>
      </w:r>
      <w:r>
        <w:rPr>
          <w:rFonts w:cs="Calibri"/>
          <w:lang w:val="pt-BR"/>
        </w:rPr>
        <w:t xml:space="preserve"> pelos transtornos e sofrimento injustamente suportados; de outro, </w:t>
      </w:r>
      <w:r>
        <w:rPr>
          <w:rFonts w:cs="Calibri"/>
          <w:b/>
          <w:bCs/>
          <w:lang w:val="pt-BR"/>
        </w:rPr>
        <w:t>punir o ofensor</w:t>
      </w:r>
      <w:r>
        <w:rPr>
          <w:rFonts w:cs="Calibri"/>
          <w:lang w:val="pt-BR"/>
        </w:rPr>
        <w:t xml:space="preserve">, de modo a desestimular a reiteração da conduta ilícita. Assim, o quantum indenizatório deve ser fixado com observância aos princípios da </w:t>
      </w:r>
      <w:r>
        <w:rPr>
          <w:rFonts w:cs="Calibri"/>
          <w:b/>
          <w:bCs/>
          <w:lang w:val="pt-BR"/>
        </w:rPr>
        <w:t>razoabilidade e proporcionalidade</w:t>
      </w:r>
      <w:r>
        <w:rPr>
          <w:rFonts w:cs="Calibri"/>
          <w:lang w:val="pt-BR"/>
        </w:rPr>
        <w:t>, levando-se em conta a gravidade da ofensa, a condição econômica das partes e o caráter pedagógico da condenação.</w:t>
      </w:r>
    </w:p>
    <w:p>
      <w:pPr>
        <w:pStyle w:val="Normal"/>
        <w:tabs>
          <w:tab w:val="clear" w:pos="720"/>
          <w:tab w:val="left" w:pos="2694" w:leader="none"/>
        </w:tabs>
        <w:spacing w:lineRule="auto" w:line="300"/>
        <w:ind w:firstLine="1418" w:end="0"/>
        <w:jc w:val="both"/>
        <w:rPr>
          <w:rFonts w:cs="Calibri"/>
          <w:lang w:val="pt-BR"/>
        </w:rPr>
      </w:pPr>
      <w:r>
        <w:rPr>
          <w:rFonts w:cs="Calibri"/>
          <w:lang w:val="pt-BR"/>
        </w:rPr>
      </w:r>
    </w:p>
    <w:p>
      <w:pPr>
        <w:pStyle w:val="Normal"/>
        <w:tabs>
          <w:tab w:val="clear" w:pos="720"/>
          <w:tab w:val="left" w:pos="2694" w:leader="none"/>
        </w:tabs>
        <w:spacing w:lineRule="auto" w:line="300"/>
        <w:ind w:firstLine="1418" w:end="0"/>
        <w:jc w:val="both"/>
        <w:rPr>
          <w:rFonts w:cs="Calibri"/>
          <w:lang w:val="pt-BR"/>
        </w:rPr>
      </w:pPr>
      <w:r>
        <w:rPr>
          <w:rFonts w:cs="Calibri"/>
          <w:lang w:val="pt-BR"/>
        </w:rPr>
        <w:t>Nesse sentido, a doutrina clássica é uníssona ao reconhecer que o valor da indenização não pode ser irrisório, a ponto de estimular o ilícito, nem excessivo, de modo a ensejar enriquecimento sem causa, devendo atender às peculiaridades do caso concreto.</w:t>
      </w:r>
    </w:p>
    <w:p>
      <w:pPr>
        <w:pStyle w:val="Normal"/>
        <w:tabs>
          <w:tab w:val="clear" w:pos="720"/>
          <w:tab w:val="left" w:pos="2694" w:leader="none"/>
        </w:tabs>
        <w:spacing w:lineRule="auto" w:line="300"/>
        <w:ind w:firstLine="1418" w:end="0"/>
        <w:jc w:val="both"/>
        <w:rPr>
          <w:rFonts w:cs="Calibri"/>
          <w:lang w:val="pt-BR"/>
        </w:rPr>
      </w:pPr>
      <w:r>
        <w:rPr>
          <w:rFonts w:cs="Calibri"/>
          <w:lang w:val="pt-BR"/>
        </w:rPr>
      </w:r>
    </w:p>
    <w:p>
      <w:pPr>
        <w:pStyle w:val="Normal"/>
        <w:tabs>
          <w:tab w:val="clear" w:pos="720"/>
          <w:tab w:val="left" w:pos="2694" w:leader="none"/>
        </w:tabs>
        <w:spacing w:lineRule="auto" w:line="300"/>
        <w:ind w:firstLine="1418" w:end="0"/>
        <w:jc w:val="both"/>
        <w:rPr/>
      </w:pPr>
      <w:r>
        <w:rPr>
          <w:rFonts w:cs="Calibri"/>
          <w:lang w:val="pt-BR"/>
        </w:rPr>
        <w:t xml:space="preserve">Diante de todo o exposto, mostra-se </w:t>
      </w:r>
      <w:r>
        <w:rPr>
          <w:rFonts w:cs="Calibri"/>
          <w:b/>
          <w:bCs/>
          <w:lang w:val="pt-BR"/>
        </w:rPr>
        <w:t>incontroverso o direito da parte requerente à indenização por danos morais</w:t>
      </w:r>
      <w:r>
        <w:rPr>
          <w:rFonts w:cs="Calibri"/>
          <w:lang w:val="pt-BR"/>
        </w:rPr>
        <w:t xml:space="preserve">, razão pela qual requer a condenação do requerido ao pagamento do valor de </w:t>
      </w:r>
      <w:r>
        <w:rPr>
          <w:rFonts w:cs="Calibri"/>
          <w:b/>
          <w:bCs/>
          <w:lang w:val="pt-BR"/>
        </w:rPr>
        <w:t>R$ 10.000,00 (dez mil reais)</w:t>
      </w:r>
      <w:r>
        <w:rPr>
          <w:rFonts w:cs="Calibri"/>
          <w:lang w:val="pt-BR"/>
        </w:rPr>
        <w:t>, ou outro montante que Vossa Excelência entender adequado, acrescido de correção monetária a partir da data do arbitramento, nos termos da Súmula 362 do STJ, e juros de mora de 1% ao mês desde o evento danoso, conforme dispõe a Súmula 54 do STJ, como medida de justiça e efetiva tutela do consumidor.</w:t>
      </w:r>
    </w:p>
    <w:p>
      <w:pPr>
        <w:pStyle w:val="Normal"/>
        <w:spacing w:lineRule="auto" w:line="300"/>
        <w:jc w:val="both"/>
        <w:rPr>
          <w:rFonts w:cs="Calibri"/>
          <w:lang w:val="pt-BR"/>
        </w:rPr>
      </w:pPr>
      <w:r>
        <w:rPr>
          <w:rFonts w:cs="Calibri"/>
          <w:lang w:val="pt-BR"/>
        </w:rPr>
      </w:r>
    </w:p>
    <w:p>
      <w:pPr>
        <w:pStyle w:val="Normal"/>
        <w:pBdr>
          <w:top w:val="single" w:sz="12" w:space="0" w:color="000000" w:shadow="1"/>
          <w:left w:val="single" w:sz="12" w:space="4" w:color="000000" w:shadow="1"/>
          <w:bottom w:val="single" w:sz="12" w:space="1" w:color="000000" w:shadow="1"/>
          <w:right w:val="single" w:sz="12" w:space="4" w:color="000000" w:shadow="1"/>
        </w:pBdr>
        <w:shd w:fill="F2F2F2" w:val="clear"/>
        <w:spacing w:lineRule="auto" w:line="300"/>
        <w:jc w:val="center"/>
        <w:rPr>
          <w:rFonts w:cs="Calibri"/>
          <w:lang w:val="pt-BR"/>
        </w:rPr>
      </w:pPr>
      <w:r>
        <w:rPr>
          <w:rFonts w:cs="Calibri"/>
          <w:b/>
          <w:lang w:val="pt-BR"/>
        </w:rPr>
        <w:t>5 - DO PEDIDO DE TUTELA ANTECIPADA</w:t>
      </w:r>
    </w:p>
    <w:p>
      <w:pPr>
        <w:pStyle w:val="Normal"/>
        <w:spacing w:lineRule="auto" w:line="300"/>
        <w:ind w:firstLine="1701" w:end="0"/>
        <w:jc w:val="both"/>
        <w:rPr>
          <w:rFonts w:cs="Calibri"/>
          <w:b/>
          <w:u w:val="single"/>
          <w:lang w:val="pt-BR"/>
        </w:rPr>
      </w:pPr>
      <w:r>
        <w:rPr>
          <w:rFonts w:cs="Calibri"/>
          <w:b/>
          <w:u w:val="single"/>
          <w:lang w:val="pt-BR"/>
        </w:rPr>
      </w:r>
    </w:p>
    <w:p>
      <w:pPr>
        <w:pStyle w:val="Padro"/>
        <w:tabs>
          <w:tab w:val="left" w:pos="0" w:leader="none"/>
          <w:tab w:val="left" w:pos="708" w:leader="none"/>
        </w:tabs>
        <w:spacing w:lineRule="auto" w:line="300" w:before="0" w:after="0"/>
        <w:ind w:firstLine="1418" w:end="0"/>
        <w:jc w:val="both"/>
        <w:rPr>
          <w:rFonts w:ascii="Calibri" w:hAnsi="Calibri" w:eastAsia="Arial" w:cs="Calibri"/>
          <w:bCs/>
          <w:sz w:val="22"/>
          <w:szCs w:val="22"/>
        </w:rPr>
      </w:pPr>
      <w:r>
        <w:rPr>
          <w:rFonts w:eastAsia="Arial" w:cs="Calibri" w:ascii="Calibri" w:hAnsi="Calibri"/>
          <w:bCs/>
          <w:sz w:val="22"/>
          <w:szCs w:val="22"/>
        </w:rPr>
        <w:t xml:space="preserve">Senhor Julgador, é evidentemente que não se assegura um resultado útil à lide quando pela demora do processo na solução do litígio, perpetua-se uma situação danosa que tende a agredir a necessária igualdade entre as partes litigantes. </w:t>
      </w:r>
    </w:p>
    <w:p>
      <w:pPr>
        <w:pStyle w:val="Padro"/>
        <w:tabs>
          <w:tab w:val="left" w:pos="0" w:leader="none"/>
          <w:tab w:val="left" w:pos="708" w:leader="none"/>
        </w:tabs>
        <w:spacing w:lineRule="auto" w:line="300" w:before="0" w:after="0"/>
        <w:ind w:firstLine="1418" w:end="0"/>
        <w:jc w:val="both"/>
        <w:rPr>
          <w:rFonts w:ascii="Calibri" w:hAnsi="Calibri" w:eastAsia="Arial" w:cs="Calibri"/>
          <w:bCs/>
          <w:sz w:val="22"/>
          <w:szCs w:val="22"/>
        </w:rPr>
      </w:pPr>
      <w:r>
        <w:rPr>
          <w:rFonts w:eastAsia="Arial" w:cs="Calibri" w:ascii="Calibri" w:hAnsi="Calibri"/>
          <w:bCs/>
          <w:sz w:val="22"/>
          <w:szCs w:val="22"/>
        </w:rPr>
      </w:r>
    </w:p>
    <w:p>
      <w:pPr>
        <w:pStyle w:val="Padro"/>
        <w:tabs>
          <w:tab w:val="left" w:pos="0" w:leader="none"/>
          <w:tab w:val="left" w:pos="708" w:leader="none"/>
        </w:tabs>
        <w:spacing w:lineRule="auto" w:line="300" w:before="0" w:after="0"/>
        <w:ind w:firstLine="1418" w:end="0"/>
        <w:jc w:val="both"/>
        <w:rPr/>
      </w:pPr>
      <w:r>
        <w:rPr>
          <w:rFonts w:eastAsia="Arial" w:cs="Calibri" w:ascii="Calibri" w:hAnsi="Calibri"/>
          <w:bCs/>
          <w:sz w:val="22"/>
          <w:szCs w:val="22"/>
        </w:rPr>
        <w:t>Importante ainda destacar que o preceito disposto nos arts. 294 e 300, ambos do NCPC/2015, o legislador visa proteger direito que esteja prestes a ser molestado e a verossimilhança da existência de possibilidade de danos ou o risco ao resultado útil do processo.</w:t>
      </w:r>
    </w:p>
    <w:p>
      <w:pPr>
        <w:pStyle w:val="Normal"/>
        <w:tabs>
          <w:tab w:val="clear" w:pos="720"/>
          <w:tab w:val="left" w:pos="1440" w:leader="none"/>
        </w:tabs>
        <w:spacing w:lineRule="auto" w:line="300"/>
        <w:ind w:firstLine="1418" w:end="0"/>
        <w:jc w:val="both"/>
        <w:rPr>
          <w:rFonts w:ascii="Calibri" w:hAnsi="Calibri" w:eastAsia="Verdana" w:cs="Calibri"/>
          <w:bCs/>
          <w:color w:val="000000"/>
          <w:sz w:val="22"/>
          <w:szCs w:val="22"/>
          <w:shd w:fill="FFFFFF" w:val="clear"/>
          <w:lang w:val="pt-BR"/>
        </w:rPr>
      </w:pPr>
      <w:r>
        <w:rPr>
          <w:rFonts w:eastAsia="Verdana" w:cs="Calibri"/>
          <w:bCs/>
          <w:color w:val="000000"/>
          <w:sz w:val="22"/>
          <w:szCs w:val="22"/>
          <w:shd w:fill="FFFFFF" w:val="clear"/>
          <w:lang w:val="pt-BR"/>
        </w:rPr>
      </w:r>
    </w:p>
    <w:p>
      <w:pPr>
        <w:pStyle w:val="Padro"/>
        <w:tabs>
          <w:tab w:val="left" w:pos="0" w:leader="none"/>
          <w:tab w:val="left" w:pos="708" w:leader="none"/>
        </w:tabs>
        <w:spacing w:lineRule="auto" w:line="300" w:before="0" w:after="0"/>
        <w:ind w:firstLine="1418" w:end="0"/>
        <w:jc w:val="both"/>
        <w:rPr/>
      </w:pPr>
      <w:r>
        <w:rPr>
          <w:rFonts w:eastAsia="Arial" w:cs="Calibri" w:ascii="Calibri" w:hAnsi="Calibri"/>
          <w:bCs/>
          <w:sz w:val="22"/>
          <w:szCs w:val="22"/>
        </w:rPr>
        <w:t xml:space="preserve">Desta forma passamos a destacar o contido nos arts. 294 e 300 ambos do NCPC/2015, </w:t>
      </w:r>
      <w:r>
        <w:rPr>
          <w:rFonts w:eastAsia="Arial" w:cs="Calibri" w:ascii="Calibri" w:hAnsi="Calibri"/>
          <w:bCs/>
          <w:i/>
          <w:sz w:val="22"/>
          <w:szCs w:val="22"/>
        </w:rPr>
        <w:t>in verbis</w:t>
      </w:r>
      <w:r>
        <w:rPr>
          <w:rFonts w:eastAsia="Arial" w:cs="Calibri" w:ascii="Calibri" w:hAnsi="Calibri"/>
          <w:bCs/>
          <w:sz w:val="22"/>
          <w:szCs w:val="22"/>
        </w:rPr>
        <w:t>:</w:t>
      </w:r>
    </w:p>
    <w:p>
      <w:pPr>
        <w:pStyle w:val="Padro"/>
        <w:tabs>
          <w:tab w:val="left" w:pos="0" w:leader="none"/>
          <w:tab w:val="left" w:pos="708" w:leader="none"/>
        </w:tabs>
        <w:spacing w:lineRule="auto" w:line="300" w:before="0" w:after="0"/>
        <w:ind w:firstLine="1701" w:end="0"/>
        <w:jc w:val="both"/>
        <w:rPr>
          <w:rFonts w:ascii="Calibri" w:hAnsi="Calibri" w:eastAsia="Arial" w:cs="Calibri"/>
          <w:bCs/>
          <w:sz w:val="22"/>
          <w:szCs w:val="22"/>
        </w:rPr>
      </w:pPr>
      <w:r>
        <w:rPr>
          <w:rFonts w:eastAsia="Arial" w:cs="Calibri" w:ascii="Calibri" w:hAnsi="Calibri"/>
          <w:bCs/>
          <w:sz w:val="22"/>
          <w:szCs w:val="22"/>
        </w:rPr>
      </w:r>
    </w:p>
    <w:p>
      <w:pPr>
        <w:pStyle w:val="Normal"/>
        <w:spacing w:lineRule="auto" w:line="240"/>
        <w:ind w:start="2268" w:end="0"/>
        <w:jc w:val="both"/>
        <w:rPr>
          <w:rFonts w:cs="Calibri"/>
          <w:sz w:val="20"/>
          <w:szCs w:val="20"/>
          <w:lang w:val="pt-BR"/>
        </w:rPr>
      </w:pPr>
      <w:r>
        <w:rPr>
          <w:rFonts w:cs="Calibri"/>
          <w:sz w:val="20"/>
          <w:szCs w:val="20"/>
          <w:lang w:val="pt-BR"/>
        </w:rPr>
        <w:t>Art. 294. A tutela provisória pode fundamentar-se em urgência ou evidência.</w:t>
      </w:r>
    </w:p>
    <w:p>
      <w:pPr>
        <w:pStyle w:val="Normal"/>
        <w:spacing w:lineRule="auto" w:line="240"/>
        <w:ind w:start="2268" w:end="0"/>
        <w:jc w:val="both"/>
        <w:rPr>
          <w:rFonts w:cs="Calibri"/>
          <w:sz w:val="20"/>
          <w:szCs w:val="20"/>
          <w:lang w:val="pt-BR"/>
        </w:rPr>
      </w:pPr>
      <w:r>
        <w:rPr>
          <w:rFonts w:cs="Calibri"/>
          <w:sz w:val="20"/>
          <w:szCs w:val="20"/>
          <w:lang w:val="pt-BR"/>
        </w:rPr>
      </w:r>
    </w:p>
    <w:p>
      <w:pPr>
        <w:pStyle w:val="Normal"/>
        <w:spacing w:lineRule="auto" w:line="240"/>
        <w:ind w:start="2268" w:end="0"/>
        <w:jc w:val="both"/>
        <w:rPr>
          <w:rFonts w:cs="Calibri"/>
          <w:sz w:val="20"/>
          <w:szCs w:val="20"/>
          <w:lang w:val="pt-BR"/>
        </w:rPr>
      </w:pPr>
      <w:r>
        <w:rPr>
          <w:rFonts w:cs="Calibri"/>
          <w:sz w:val="20"/>
          <w:szCs w:val="20"/>
          <w:lang w:val="pt-BR"/>
        </w:rPr>
        <w:t>Parágrafo único. A tutela provisória de urgência, cautelar ou antecipada, poder ser concedida em caráter antecedente ou incidental.</w:t>
      </w:r>
    </w:p>
    <w:p>
      <w:pPr>
        <w:pStyle w:val="Normal"/>
        <w:spacing w:lineRule="auto" w:line="240"/>
        <w:ind w:start="2268" w:end="0"/>
        <w:jc w:val="both"/>
        <w:rPr>
          <w:rFonts w:cs="Calibri"/>
          <w:sz w:val="20"/>
          <w:szCs w:val="20"/>
          <w:lang w:val="pt-BR"/>
        </w:rPr>
      </w:pPr>
      <w:r>
        <w:rPr>
          <w:rFonts w:cs="Calibri"/>
          <w:sz w:val="20"/>
          <w:szCs w:val="20"/>
          <w:lang w:val="pt-BR"/>
        </w:rPr>
      </w:r>
    </w:p>
    <w:p>
      <w:pPr>
        <w:pStyle w:val="Normal"/>
        <w:spacing w:lineRule="auto" w:line="240"/>
        <w:ind w:start="2268" w:end="0"/>
        <w:jc w:val="both"/>
        <w:rPr>
          <w:rFonts w:cs="Calibri"/>
          <w:sz w:val="20"/>
          <w:szCs w:val="20"/>
          <w:lang w:val="pt-BR"/>
        </w:rPr>
      </w:pPr>
      <w:r>
        <w:rPr>
          <w:rFonts w:cs="Calibri"/>
          <w:sz w:val="20"/>
          <w:szCs w:val="20"/>
          <w:lang w:val="pt-BR"/>
        </w:rPr>
        <w:t xml:space="preserve">Art. 300. </w:t>
      </w:r>
      <w:r>
        <w:rPr>
          <w:rFonts w:cs="Calibri"/>
          <w:b/>
          <w:sz w:val="20"/>
          <w:szCs w:val="20"/>
          <w:lang w:val="pt-BR"/>
        </w:rPr>
        <w:t>A tutela de urgência será concedida quando houver elementos que evidenciem a probabilidade do direito e o perigo de dano ou o risco ao resultado útil do processo.</w:t>
      </w:r>
    </w:p>
    <w:p>
      <w:pPr>
        <w:pStyle w:val="Normal"/>
        <w:tabs>
          <w:tab w:val="clear" w:pos="720"/>
          <w:tab w:val="left" w:pos="1440" w:leader="none"/>
        </w:tabs>
        <w:spacing w:lineRule="auto" w:line="300"/>
        <w:ind w:firstLine="2835" w:end="0"/>
        <w:jc w:val="both"/>
        <w:rPr>
          <w:rFonts w:eastAsia="Verdana" w:cs="Calibri"/>
          <w:color w:val="000000"/>
          <w:sz w:val="20"/>
          <w:szCs w:val="20"/>
          <w:shd w:fill="FFFFFF" w:val="clear"/>
          <w:lang w:val="pt-BR"/>
        </w:rPr>
      </w:pPr>
      <w:r>
        <w:rPr>
          <w:rFonts w:eastAsia="Verdana" w:cs="Calibri"/>
          <w:color w:val="000000"/>
          <w:sz w:val="20"/>
          <w:szCs w:val="20"/>
          <w:shd w:fill="FFFFFF" w:val="clear"/>
          <w:lang w:val="pt-BR"/>
        </w:rPr>
      </w:r>
    </w:p>
    <w:p>
      <w:pPr>
        <w:pStyle w:val="Normal"/>
        <w:tabs>
          <w:tab w:val="clear" w:pos="720"/>
          <w:tab w:val="left" w:pos="1440" w:leader="none"/>
        </w:tabs>
        <w:spacing w:lineRule="auto" w:line="300"/>
        <w:ind w:firstLine="1429" w:start="-11" w:end="0"/>
        <w:jc w:val="both"/>
        <w:rPr/>
      </w:pPr>
      <w:r>
        <w:rPr>
          <w:rFonts w:eastAsia="Verdana" w:cs="Calibri"/>
          <w:lang w:val="pt-BR"/>
        </w:rPr>
        <w:t>Assim, tem-se que a antecipação de tutela é totalmente possível, bastando para tal a comprovação dos requisitos necessários, como por exemplo, a probabilidade do direito e o perigo de dano, uma vez que, conforme se extrai dos documentos acostados a parte requerente está sendo vítima de débitos indevidos em sua conta corrente, conforme atestam e comprovam os extratos que seguem anexo a esta exordial.</w:t>
      </w:r>
      <w:r>
        <w:rPr>
          <w:rFonts w:eastAsia="Arial" w:cs="Calibri"/>
          <w:b/>
          <w:bCs/>
          <w:lang w:val="pt-BR"/>
        </w:rPr>
        <w:t xml:space="preserve"> </w:t>
      </w:r>
    </w:p>
    <w:p>
      <w:pPr>
        <w:pStyle w:val="Padro"/>
        <w:tabs>
          <w:tab w:val="left" w:pos="0" w:leader="none"/>
          <w:tab w:val="left" w:pos="708" w:leader="none"/>
        </w:tabs>
        <w:spacing w:lineRule="auto" w:line="300" w:before="0" w:after="0"/>
        <w:ind w:firstLine="1429" w:end="0"/>
        <w:jc w:val="both"/>
        <w:rPr>
          <w:rFonts w:ascii="Calibri" w:hAnsi="Calibri" w:eastAsia="Arial" w:cs="Calibri"/>
          <w:b/>
          <w:bCs/>
          <w:sz w:val="22"/>
          <w:szCs w:val="22"/>
          <w:lang w:val="pt-BR"/>
        </w:rPr>
      </w:pPr>
      <w:r>
        <w:rPr>
          <w:rFonts w:eastAsia="Arial" w:cs="Calibri" w:ascii="Calibri" w:hAnsi="Calibri"/>
          <w:b/>
          <w:bCs/>
          <w:sz w:val="22"/>
          <w:szCs w:val="22"/>
          <w:lang w:val="pt-BR"/>
        </w:rPr>
      </w:r>
    </w:p>
    <w:p>
      <w:pPr>
        <w:pStyle w:val="PargrafodaLista"/>
        <w:spacing w:lineRule="auto" w:line="300" w:before="0" w:after="0"/>
        <w:ind w:firstLine="1429" w:start="0" w:end="0"/>
        <w:contextualSpacing/>
        <w:jc w:val="both"/>
        <w:rPr/>
      </w:pPr>
      <w:r>
        <w:rPr>
          <w:rFonts w:cs="Calibri"/>
        </w:rPr>
        <w:t>Ademais, conforme demonstrado na narração dos fatos urge, no presente caso, a concessão da tutela antecipada, com a finalidade de que seja cessado os lançamentos de débitos indevido na conta corrente da autora, objeto da lide, até o julgamento final desta ação.</w:t>
      </w:r>
    </w:p>
    <w:p>
      <w:pPr>
        <w:pStyle w:val="Padro"/>
        <w:tabs>
          <w:tab w:val="left" w:pos="0" w:leader="none"/>
          <w:tab w:val="left" w:pos="708" w:leader="none"/>
        </w:tabs>
        <w:spacing w:lineRule="auto" w:line="300" w:before="0" w:after="0"/>
        <w:ind w:firstLine="1429" w:end="0"/>
        <w:jc w:val="both"/>
        <w:rPr>
          <w:rFonts w:ascii="Calibri" w:hAnsi="Calibri" w:eastAsia="Arial" w:cs="Calibri"/>
          <w:bCs/>
          <w:sz w:val="22"/>
          <w:szCs w:val="22"/>
        </w:rPr>
      </w:pPr>
      <w:r>
        <w:rPr>
          <w:rFonts w:eastAsia="Arial" w:cs="Calibri" w:ascii="Calibri" w:hAnsi="Calibri"/>
          <w:bCs/>
          <w:sz w:val="22"/>
          <w:szCs w:val="22"/>
        </w:rPr>
      </w:r>
    </w:p>
    <w:p>
      <w:pPr>
        <w:pStyle w:val="Padro"/>
        <w:tabs>
          <w:tab w:val="left" w:pos="0" w:leader="none"/>
          <w:tab w:val="left" w:pos="708" w:leader="none"/>
        </w:tabs>
        <w:spacing w:lineRule="auto" w:line="300" w:before="0" w:after="0"/>
        <w:ind w:firstLine="1429" w:end="0"/>
        <w:jc w:val="both"/>
        <w:rPr>
          <w:rFonts w:ascii="Calibri" w:hAnsi="Calibri" w:cs="Calibri"/>
          <w:sz w:val="22"/>
          <w:szCs w:val="22"/>
        </w:rPr>
      </w:pPr>
      <w:r>
        <w:rPr>
          <w:rFonts w:eastAsia="Arial" w:cs="Calibri" w:ascii="Calibri" w:hAnsi="Calibri"/>
          <w:bCs/>
          <w:sz w:val="22"/>
          <w:szCs w:val="22"/>
        </w:rPr>
        <w:t>O CDC em seu art. 84, §§ 3° e 4°, dispõe que é perfeitamente possível a antecipação de tutela, bastando que os fatos apresentados sejam relevantes e ainda, ficará ao arbítrio de Vossa Excelência, a estipulação de multa diária nos moldes do parágrafo 4°.</w:t>
      </w:r>
    </w:p>
    <w:p>
      <w:pPr>
        <w:pStyle w:val="Padro"/>
        <w:spacing w:lineRule="auto" w:line="300" w:before="0" w:after="0"/>
        <w:ind w:firstLine="1712" w:start="4111" w:end="0"/>
        <w:jc w:val="both"/>
        <w:rPr>
          <w:rFonts w:ascii="Calibri" w:hAnsi="Calibri" w:eastAsia="Arial" w:cs="Calibri"/>
          <w:b/>
          <w:bCs/>
          <w:sz w:val="22"/>
          <w:szCs w:val="22"/>
        </w:rPr>
      </w:pPr>
      <w:r>
        <w:rPr>
          <w:rFonts w:eastAsia="Arial" w:cs="Calibri" w:ascii="Calibri" w:hAnsi="Calibri"/>
          <w:b/>
          <w:bCs/>
          <w:sz w:val="22"/>
          <w:szCs w:val="22"/>
        </w:rPr>
      </w:r>
    </w:p>
    <w:p>
      <w:pPr>
        <w:pStyle w:val="Normal"/>
        <w:spacing w:lineRule="auto" w:line="240"/>
        <w:ind w:start="2268" w:end="0"/>
        <w:jc w:val="both"/>
        <w:rPr/>
      </w:pPr>
      <w:r>
        <w:rPr>
          <w:rFonts w:cs="Calibri"/>
          <w:sz w:val="20"/>
          <w:szCs w:val="20"/>
          <w:lang w:val="pt-BR"/>
        </w:rPr>
        <w:t>Art. 84 do CDC – Na ação que tenha por objeto o cumprimento da obrigação de fazer ou não fazer, o juiz concederá a tutela específica da obrigação ou determinará providências que assegurem o resultado prático equivalente ao do adimplemento.</w:t>
      </w:r>
    </w:p>
    <w:p>
      <w:pPr>
        <w:pStyle w:val="Normal"/>
        <w:spacing w:lineRule="auto" w:line="240"/>
        <w:ind w:start="2268" w:end="0"/>
        <w:jc w:val="both"/>
        <w:rPr>
          <w:rFonts w:cs="Calibri"/>
          <w:sz w:val="20"/>
          <w:szCs w:val="20"/>
          <w:lang w:val="pt-BR"/>
        </w:rPr>
      </w:pPr>
      <w:r>
        <w:rPr>
          <w:rFonts w:cs="Calibri"/>
          <w:sz w:val="20"/>
          <w:szCs w:val="20"/>
          <w:lang w:val="pt-BR"/>
        </w:rPr>
        <w:t>§1° (...)</w:t>
      </w:r>
    </w:p>
    <w:p>
      <w:pPr>
        <w:pStyle w:val="Normal"/>
        <w:spacing w:lineRule="auto" w:line="240"/>
        <w:ind w:start="2268" w:end="0"/>
        <w:jc w:val="both"/>
        <w:rPr>
          <w:rFonts w:cs="Calibri"/>
          <w:sz w:val="20"/>
          <w:szCs w:val="20"/>
          <w:lang w:val="pt-BR"/>
        </w:rPr>
      </w:pPr>
      <w:r>
        <w:rPr>
          <w:rFonts w:cs="Calibri"/>
          <w:sz w:val="20"/>
          <w:szCs w:val="20"/>
          <w:lang w:val="pt-BR"/>
        </w:rPr>
        <w:t>§2° (...)</w:t>
      </w:r>
    </w:p>
    <w:p>
      <w:pPr>
        <w:pStyle w:val="Normal"/>
        <w:spacing w:lineRule="auto" w:line="240"/>
        <w:ind w:start="2268" w:end="0"/>
        <w:jc w:val="both"/>
        <w:rPr>
          <w:rFonts w:cs="Calibri"/>
          <w:sz w:val="20"/>
          <w:szCs w:val="20"/>
          <w:lang w:val="pt-BR"/>
        </w:rPr>
      </w:pPr>
      <w:r>
        <w:rPr>
          <w:rFonts w:cs="Calibri"/>
          <w:sz w:val="20"/>
          <w:szCs w:val="20"/>
          <w:lang w:val="pt-BR"/>
        </w:rPr>
        <w:t>§3° Sendo relevante o fundamento da demanda e havendo justificado receio de ineficácia do provimento final, é lícito ao juiz conceder a tutela liminarmente ou após justificação prévia, citado o réu.</w:t>
      </w:r>
    </w:p>
    <w:p>
      <w:pPr>
        <w:pStyle w:val="Normal"/>
        <w:spacing w:lineRule="auto" w:line="240"/>
        <w:ind w:start="2268" w:end="0"/>
        <w:jc w:val="both"/>
        <w:rPr/>
      </w:pPr>
      <w:r>
        <w:rPr>
          <w:rFonts w:cs="Calibri"/>
          <w:sz w:val="20"/>
          <w:szCs w:val="20"/>
          <w:lang w:val="pt-BR"/>
        </w:rPr>
        <w:t>§4° O juiz poderá, na hipótese do § 3° ou na sentença impor multa diária ao réu, independentemente, de pedido do autor, se for suficiente ou compatível com a obrigação, fixando prazo razoável para o cumprimento do preceito.</w:t>
      </w:r>
    </w:p>
    <w:p>
      <w:pPr>
        <w:pStyle w:val="Normal"/>
        <w:spacing w:lineRule="auto" w:line="240"/>
        <w:ind w:start="2268" w:end="0"/>
        <w:jc w:val="both"/>
        <w:rPr>
          <w:rFonts w:cs="Calibri"/>
          <w:sz w:val="20"/>
          <w:szCs w:val="20"/>
          <w:lang w:val="pt-BR"/>
        </w:rPr>
      </w:pPr>
      <w:r>
        <w:rPr>
          <w:rFonts w:cs="Calibri"/>
          <w:sz w:val="20"/>
          <w:szCs w:val="20"/>
          <w:lang w:val="pt-BR"/>
        </w:rPr>
        <w:t>§5° (...)</w:t>
      </w:r>
    </w:p>
    <w:p>
      <w:pPr>
        <w:pStyle w:val="Padro"/>
        <w:spacing w:lineRule="auto" w:line="300" w:before="0" w:after="0"/>
        <w:ind w:start="4111" w:end="0"/>
        <w:jc w:val="both"/>
        <w:rPr>
          <w:rFonts w:ascii="Calibri" w:hAnsi="Calibri" w:eastAsia="Arial" w:cs="Calibri"/>
          <w:b/>
          <w:bCs/>
          <w:sz w:val="22"/>
          <w:szCs w:val="22"/>
          <w:lang w:val="pt-BR"/>
        </w:rPr>
      </w:pPr>
      <w:r>
        <w:rPr>
          <w:rFonts w:eastAsia="Arial" w:cs="Calibri" w:ascii="Calibri" w:hAnsi="Calibri"/>
          <w:b/>
          <w:bCs/>
          <w:sz w:val="22"/>
          <w:szCs w:val="22"/>
          <w:lang w:val="pt-BR"/>
        </w:rPr>
      </w:r>
    </w:p>
    <w:p>
      <w:pPr>
        <w:pStyle w:val="PargrafodaLista"/>
        <w:spacing w:lineRule="auto" w:line="300" w:before="0" w:after="0"/>
        <w:ind w:firstLine="1418" w:start="0" w:end="0"/>
        <w:contextualSpacing/>
        <w:jc w:val="both"/>
        <w:rPr/>
      </w:pPr>
      <w:r>
        <w:rPr>
          <w:rFonts w:cs="Calibri"/>
        </w:rPr>
        <w:t xml:space="preserve">No caso, está presente o </w:t>
      </w:r>
      <w:r>
        <w:rPr>
          <w:rFonts w:cs="Calibri"/>
          <w:i/>
        </w:rPr>
        <w:t xml:space="preserve">periculum in mora, </w:t>
      </w:r>
      <w:r>
        <w:rPr>
          <w:rFonts w:cs="Calibri"/>
        </w:rPr>
        <w:t>visto que há restrição irreparável de direitos intrínsecos à pessoa da parte requerente. Outrossim, no caso em tela, há mais do que a probabilidade do direito, há sim, a certeza da sua procedência e a eficiência do provimento final quanto ao constrangimento a que a parte requerente vem passando.</w:t>
      </w:r>
    </w:p>
    <w:p>
      <w:pPr>
        <w:pStyle w:val="PargrafodaLista"/>
        <w:spacing w:lineRule="auto" w:line="300" w:before="0" w:after="0"/>
        <w:ind w:firstLine="1418" w:start="0" w:end="0"/>
        <w:contextualSpacing/>
        <w:jc w:val="both"/>
        <w:rPr>
          <w:rFonts w:cs="Calibri"/>
        </w:rPr>
      </w:pPr>
      <w:r>
        <w:rPr>
          <w:rFonts w:cs="Calibri"/>
        </w:rPr>
      </w:r>
    </w:p>
    <w:p>
      <w:pPr>
        <w:pStyle w:val="Normal"/>
        <w:spacing w:lineRule="auto" w:line="300"/>
        <w:ind w:firstLine="1418" w:end="0"/>
        <w:jc w:val="both"/>
        <w:rPr/>
      </w:pPr>
      <w:r>
        <w:rPr>
          <w:rFonts w:cs="Calibri"/>
          <w:lang w:val="pt-BR"/>
        </w:rPr>
        <w:t xml:space="preserve">Portanto, resta evidente a probabilidade do direito e o </w:t>
      </w:r>
      <w:r>
        <w:rPr>
          <w:rFonts w:cs="Calibri"/>
          <w:i/>
          <w:lang w:val="pt-BR"/>
        </w:rPr>
        <w:t>periculum in mora</w:t>
      </w:r>
      <w:r>
        <w:rPr>
          <w:rFonts w:cs="Calibri"/>
          <w:lang w:val="pt-BR"/>
        </w:rPr>
        <w:t xml:space="preserve">, que justifica a concessão da </w:t>
      </w:r>
      <w:r>
        <w:rPr>
          <w:rFonts w:cs="Calibri"/>
          <w:b/>
          <w:lang w:val="pt-BR"/>
        </w:rPr>
        <w:t xml:space="preserve">TUTELA ANTECIPADA </w:t>
      </w:r>
      <w:r>
        <w:rPr>
          <w:rFonts w:cs="Calibri"/>
          <w:lang w:val="pt-BR"/>
        </w:rPr>
        <w:t xml:space="preserve">com fundamento nos arts. 294 c/c 300, ambos do NCPC/2015, para que o requerido </w:t>
      </w:r>
      <w:r>
        <w:rPr>
          <w:rFonts w:cs="Calibri"/>
          <w:b/>
          <w:lang w:val="pt-BR"/>
        </w:rPr>
        <w:t xml:space="preserve">SUSPENDA os descontos denominados de </w:t>
      </w:r>
      <w:r>
        <w:rPr>
          <w:rFonts w:cs="Calibri"/>
          <w:b/>
          <w:bCs/>
          <w:color w:val="000000"/>
          <w:lang w:val="pt-BR"/>
        </w:rPr>
        <w:t>“Seguro Mais Proteção”</w:t>
      </w:r>
      <w:r>
        <w:rPr>
          <w:rFonts w:cs="Calibri"/>
          <w:b/>
          <w:color w:val="000000"/>
          <w:lang w:val="pt-BR"/>
        </w:rPr>
        <w:t xml:space="preserve">, </w:t>
      </w:r>
      <w:r>
        <w:rPr>
          <w:rFonts w:cs="Calibri"/>
          <w:b/>
          <w:lang w:val="pt-BR"/>
        </w:rPr>
        <w:t xml:space="preserve">realizados na </w:t>
      </w:r>
      <w:r>
        <w:rPr>
          <w:rFonts w:cs="Calibri"/>
          <w:b/>
          <w:color w:val="000000"/>
          <w:lang w:val="pt-BR"/>
        </w:rPr>
        <w:t>conta corrente ________, agência ________</w:t>
      </w:r>
      <w:r>
        <w:rPr>
          <w:rFonts w:cs="Calibri"/>
          <w:b/>
          <w:lang w:val="pt-BR"/>
        </w:rPr>
        <w:t xml:space="preserve">, de titularidade da parte requerente, sob pena de multa a ser fixada no valor de R$ 500,00 (quinhentos reais), a título sugestivo, </w:t>
      </w:r>
      <w:r>
        <w:rPr>
          <w:rFonts w:cs="Calibri"/>
          <w:b/>
          <w:u w:val="single"/>
          <w:lang w:val="pt-BR"/>
        </w:rPr>
        <w:t>por cada desconto realizado</w:t>
      </w:r>
      <w:r>
        <w:rPr>
          <w:rFonts w:cs="Calibri"/>
          <w:b/>
          <w:lang w:val="pt-BR"/>
        </w:rPr>
        <w:t>, conforme preceitua o art. 537 do CPC/2015.</w:t>
      </w:r>
    </w:p>
    <w:p>
      <w:pPr>
        <w:pStyle w:val="Normal"/>
        <w:spacing w:lineRule="auto" w:line="300"/>
        <w:jc w:val="both"/>
        <w:rPr>
          <w:rFonts w:cs="Calibri"/>
          <w:b/>
          <w:lang w:val="pt-BR"/>
        </w:rPr>
      </w:pPr>
      <w:r>
        <w:rPr>
          <w:rFonts w:cs="Calibri"/>
          <w:b/>
          <w:lang w:val="pt-BR"/>
        </w:rPr>
      </w:r>
    </w:p>
    <w:p>
      <w:pPr>
        <w:pStyle w:val="PargrafodaLista"/>
        <w:pBdr>
          <w:top w:val="single" w:sz="12" w:space="1" w:color="000000" w:shadow="1"/>
          <w:left w:val="single" w:sz="12" w:space="4" w:color="000000" w:shadow="1"/>
          <w:bottom w:val="single" w:sz="12" w:space="1" w:color="000000" w:shadow="1"/>
          <w:right w:val="single" w:sz="12" w:space="4" w:color="000000" w:shadow="1"/>
        </w:pBdr>
        <w:shd w:fill="F2F2F2" w:val="clear"/>
        <w:spacing w:lineRule="auto" w:line="300" w:before="0" w:after="0"/>
        <w:ind w:start="0" w:end="0"/>
        <w:contextualSpacing/>
        <w:jc w:val="center"/>
        <w:rPr/>
      </w:pPr>
      <w:r>
        <w:rPr>
          <w:rFonts w:cs="Calibri"/>
          <w:b/>
        </w:rPr>
        <w:t>6 - DA INVERSÃO DO ÔNUS DA PROVA</w:t>
      </w:r>
    </w:p>
    <w:p>
      <w:pPr>
        <w:pStyle w:val="Normal"/>
        <w:spacing w:lineRule="auto" w:line="300"/>
        <w:ind w:firstLine="1416" w:end="0"/>
        <w:jc w:val="both"/>
        <w:textAlignment w:val="top"/>
        <w:rPr>
          <w:rFonts w:cs="Calibri"/>
          <w:b/>
          <w:lang w:val="pt-BR"/>
        </w:rPr>
      </w:pPr>
      <w:r>
        <w:rPr>
          <w:rFonts w:cs="Calibri"/>
          <w:b/>
          <w:lang w:val="pt-BR"/>
        </w:rPr>
      </w:r>
    </w:p>
    <w:p>
      <w:pPr>
        <w:pStyle w:val="Normal"/>
        <w:spacing w:lineRule="auto" w:line="300"/>
        <w:ind w:firstLine="1418" w:end="0"/>
        <w:jc w:val="both"/>
        <w:textAlignment w:val="top"/>
        <w:rPr>
          <w:rFonts w:cs="Calibri"/>
          <w:lang w:val="pt-BR"/>
        </w:rPr>
      </w:pPr>
      <w:r>
        <w:rPr>
          <w:rFonts w:cs="Calibri"/>
          <w:lang w:val="pt-BR"/>
        </w:rPr>
        <w:t>A distribuição do ônus da prova assume especial relevância no âmbito das relações de consumo, uma vez que sua inadequada aplicação pode acarretar prejuízos significativos à parte mais vulnerável da relação jurídica, notadamente o consumidor.</w:t>
      </w:r>
    </w:p>
    <w:p>
      <w:pPr>
        <w:pStyle w:val="Normal"/>
        <w:spacing w:lineRule="auto" w:line="300"/>
        <w:ind w:firstLine="1418" w:end="0"/>
        <w:jc w:val="both"/>
        <w:textAlignment w:val="top"/>
        <w:rPr>
          <w:rFonts w:cs="Calibri"/>
          <w:lang w:val="pt-BR"/>
        </w:rPr>
      </w:pPr>
      <w:r>
        <w:rPr>
          <w:rFonts w:cs="Calibri"/>
          <w:lang w:val="pt-BR"/>
        </w:rPr>
      </w:r>
    </w:p>
    <w:p>
      <w:pPr>
        <w:pStyle w:val="Normal"/>
        <w:spacing w:lineRule="auto" w:line="300"/>
        <w:ind w:firstLine="1418" w:end="0"/>
        <w:jc w:val="both"/>
        <w:textAlignment w:val="top"/>
        <w:rPr/>
      </w:pPr>
      <w:r>
        <w:rPr>
          <w:rFonts w:cs="Calibri"/>
          <w:lang w:val="pt-BR"/>
        </w:rPr>
        <w:t>Em regra, dispõe o art. 373, incisos I e II, do Código de Processo Civil, que o ônus da prova incumbe ao autor quanto ao fato constitutivo de seu direito e ao réu quanto à existência de fato impeditivo, modificativo ou extintivo do direito alegado. Todavia, tal sistemática não se aplica de forma absoluta às relações de consumo.</w:t>
      </w:r>
    </w:p>
    <w:p>
      <w:pPr>
        <w:pStyle w:val="Normal"/>
        <w:spacing w:lineRule="auto" w:line="300"/>
        <w:ind w:firstLine="1418" w:end="0"/>
        <w:jc w:val="both"/>
        <w:textAlignment w:val="top"/>
        <w:rPr>
          <w:rFonts w:cs="Calibri"/>
          <w:lang w:val="pt-BR"/>
        </w:rPr>
      </w:pPr>
      <w:r>
        <w:rPr>
          <w:rFonts w:cs="Calibri"/>
          <w:lang w:val="pt-BR"/>
        </w:rPr>
      </w:r>
    </w:p>
    <w:p>
      <w:pPr>
        <w:pStyle w:val="Normal"/>
        <w:spacing w:lineRule="auto" w:line="300"/>
        <w:ind w:firstLine="1418" w:end="0"/>
        <w:jc w:val="both"/>
        <w:textAlignment w:val="top"/>
        <w:rPr/>
      </w:pPr>
      <w:r>
        <w:rPr>
          <w:rFonts w:cs="Calibri"/>
          <w:lang w:val="pt-BR"/>
        </w:rPr>
        <w:t xml:space="preserve">Com efeito, o Código de Defesa do Consumidor, ao reconhecer a desigualdade técnica, econômica e informacional existente entre consumidor e fornecedor, instituiu mecanismo de </w:t>
      </w:r>
      <w:r>
        <w:rPr>
          <w:rFonts w:cs="Calibri"/>
          <w:b/>
          <w:bCs/>
          <w:lang w:val="pt-BR"/>
        </w:rPr>
        <w:t>equilíbrio processual</w:t>
      </w:r>
      <w:r>
        <w:rPr>
          <w:rFonts w:cs="Calibri"/>
          <w:lang w:val="pt-BR"/>
        </w:rPr>
        <w:t xml:space="preserve">, admitindo a </w:t>
      </w:r>
      <w:r>
        <w:rPr>
          <w:rFonts w:cs="Calibri"/>
          <w:b/>
          <w:bCs/>
          <w:lang w:val="pt-BR"/>
        </w:rPr>
        <w:t>inversão do ônus da prova</w:t>
      </w:r>
      <w:r>
        <w:rPr>
          <w:rFonts w:cs="Calibri"/>
          <w:lang w:val="pt-BR"/>
        </w:rPr>
        <w:t xml:space="preserve"> como direito básico do consumidor, justamente para mitigar a disparidade de forças entre os polos da demanda.</w:t>
      </w:r>
    </w:p>
    <w:p>
      <w:pPr>
        <w:pStyle w:val="Normal"/>
        <w:spacing w:lineRule="auto" w:line="300"/>
        <w:ind w:firstLine="1418" w:end="0"/>
        <w:jc w:val="both"/>
        <w:textAlignment w:val="top"/>
        <w:rPr>
          <w:rFonts w:cs="Calibri"/>
          <w:lang w:val="pt-BR"/>
        </w:rPr>
      </w:pPr>
      <w:r>
        <w:rPr>
          <w:rFonts w:cs="Calibri"/>
          <w:lang w:val="pt-BR"/>
        </w:rPr>
      </w:r>
    </w:p>
    <w:p>
      <w:pPr>
        <w:pStyle w:val="Normal"/>
        <w:spacing w:lineRule="auto" w:line="300"/>
        <w:ind w:firstLine="1418" w:end="0"/>
        <w:jc w:val="both"/>
        <w:textAlignment w:val="top"/>
        <w:rPr/>
      </w:pPr>
      <w:r>
        <w:rPr>
          <w:rFonts w:cs="Calibri"/>
          <w:lang w:val="pt-BR"/>
        </w:rPr>
        <w:t xml:space="preserve">Nessa perspectiva, o art. 6º, inciso VIII, do CDC estabelece que é direito básico do consumidor a facilitação da defesa de seus direitos, inclusive mediante a inversão do ônus da prova, </w:t>
      </w:r>
      <w:r>
        <w:rPr>
          <w:rFonts w:cs="Calibri"/>
          <w:b/>
          <w:bCs/>
          <w:lang w:val="pt-BR"/>
        </w:rPr>
        <w:t>a critério do magistrado</w:t>
      </w:r>
      <w:r>
        <w:rPr>
          <w:rFonts w:cs="Calibri"/>
          <w:lang w:val="pt-BR"/>
        </w:rPr>
        <w:t xml:space="preserve">, quando presentes a </w:t>
      </w:r>
      <w:r>
        <w:rPr>
          <w:rFonts w:cs="Calibri"/>
          <w:b/>
          <w:bCs/>
          <w:lang w:val="pt-BR"/>
        </w:rPr>
        <w:t>verossimilhança das alegações</w:t>
      </w:r>
      <w:r>
        <w:rPr>
          <w:rFonts w:cs="Calibri"/>
          <w:lang w:val="pt-BR"/>
        </w:rPr>
        <w:t xml:space="preserve"> e/ou a </w:t>
      </w:r>
      <w:r>
        <w:rPr>
          <w:rFonts w:cs="Calibri"/>
          <w:b/>
          <w:bCs/>
          <w:lang w:val="pt-BR"/>
        </w:rPr>
        <w:t>hipossuficiência</w:t>
      </w:r>
      <w:r>
        <w:rPr>
          <w:rFonts w:cs="Calibri"/>
          <w:lang w:val="pt-BR"/>
        </w:rPr>
        <w:t xml:space="preserve"> do consumidor.</w:t>
      </w:r>
    </w:p>
    <w:p>
      <w:pPr>
        <w:pStyle w:val="Normal"/>
        <w:spacing w:lineRule="auto" w:line="300"/>
        <w:ind w:firstLine="1418" w:end="0"/>
        <w:jc w:val="both"/>
        <w:textAlignment w:val="top"/>
        <w:rPr>
          <w:rFonts w:cs="Calibri"/>
          <w:lang w:val="pt-BR"/>
        </w:rPr>
      </w:pPr>
      <w:r>
        <w:rPr>
          <w:rFonts w:cs="Calibri"/>
          <w:lang w:val="pt-BR"/>
        </w:rPr>
      </w:r>
    </w:p>
    <w:p>
      <w:pPr>
        <w:pStyle w:val="Normal"/>
        <w:spacing w:lineRule="auto" w:line="300"/>
        <w:ind w:firstLine="1418" w:end="0"/>
        <w:jc w:val="both"/>
        <w:textAlignment w:val="top"/>
        <w:rPr>
          <w:rFonts w:cs="Calibri"/>
          <w:lang w:val="pt-BR"/>
        </w:rPr>
      </w:pPr>
      <w:r>
        <w:rPr>
          <w:rFonts w:cs="Calibri"/>
          <w:lang w:val="pt-BR"/>
        </w:rPr>
        <w:t xml:space="preserve">Da interpretação do referido dispositivo legal, extrai-se que são </w:t>
      </w:r>
      <w:r>
        <w:rPr>
          <w:rFonts w:cs="Calibri"/>
          <w:b/>
          <w:bCs/>
          <w:lang w:val="pt-BR"/>
        </w:rPr>
        <w:t>dois os requisitos alternativos</w:t>
      </w:r>
      <w:r>
        <w:rPr>
          <w:rFonts w:cs="Calibri"/>
          <w:lang w:val="pt-BR"/>
        </w:rPr>
        <w:t xml:space="preserve"> aptos a ensejar a inversão do ônus probatório:</w:t>
      </w:r>
    </w:p>
    <w:p>
      <w:pPr>
        <w:pStyle w:val="Normal"/>
        <w:spacing w:lineRule="auto" w:line="300"/>
        <w:ind w:start="2268" w:end="0"/>
        <w:jc w:val="both"/>
        <w:textAlignment w:val="top"/>
        <w:rPr>
          <w:rFonts w:cs="Calibri"/>
          <w:lang w:val="pt-BR"/>
        </w:rPr>
      </w:pPr>
      <w:r>
        <w:rPr>
          <w:rFonts w:cs="Calibri"/>
          <w:lang w:val="pt-BR"/>
        </w:rPr>
        <w:br/>
        <w:t>(i) a verossimilhança das alegações deduzidas em juízo; e</w:t>
      </w:r>
    </w:p>
    <w:p>
      <w:pPr>
        <w:pStyle w:val="Normal"/>
        <w:spacing w:lineRule="auto" w:line="300"/>
        <w:ind w:start="2268" w:end="0"/>
        <w:jc w:val="both"/>
        <w:textAlignment w:val="top"/>
        <w:rPr/>
      </w:pPr>
      <w:r>
        <w:rPr>
          <w:rFonts w:cs="Calibri"/>
          <w:lang w:val="pt-BR"/>
        </w:rPr>
        <w:t>(ii) a hipossuficiência do consumidor, seja ela técnica, econômica ou informacional.</w:t>
      </w:r>
    </w:p>
    <w:p>
      <w:pPr>
        <w:pStyle w:val="Normal"/>
        <w:spacing w:lineRule="auto" w:line="300"/>
        <w:ind w:firstLine="1418" w:end="0"/>
        <w:jc w:val="both"/>
        <w:textAlignment w:val="top"/>
        <w:rPr>
          <w:rFonts w:cs="Calibri"/>
          <w:lang w:val="pt-BR"/>
        </w:rPr>
      </w:pPr>
      <w:r>
        <w:rPr>
          <w:rFonts w:cs="Calibri"/>
          <w:lang w:val="pt-BR"/>
        </w:rPr>
      </w:r>
    </w:p>
    <w:p>
      <w:pPr>
        <w:pStyle w:val="Normal"/>
        <w:spacing w:lineRule="auto" w:line="300"/>
        <w:ind w:firstLine="1418" w:end="0"/>
        <w:jc w:val="both"/>
        <w:textAlignment w:val="top"/>
        <w:rPr/>
      </w:pPr>
      <w:r>
        <w:rPr>
          <w:rFonts w:cs="Calibri"/>
          <w:lang w:val="pt-BR"/>
        </w:rPr>
        <w:t xml:space="preserve">No caso em exame, ambos os requisitos encontram-se </w:t>
      </w:r>
      <w:r>
        <w:rPr>
          <w:rFonts w:cs="Calibri"/>
          <w:b/>
          <w:bCs/>
          <w:lang w:val="pt-BR"/>
        </w:rPr>
        <w:t>plenamente caracterizados</w:t>
      </w:r>
      <w:r>
        <w:rPr>
          <w:rFonts w:cs="Calibri"/>
          <w:lang w:val="pt-BR"/>
        </w:rPr>
        <w:t xml:space="preserve">. A </w:t>
      </w:r>
      <w:r>
        <w:rPr>
          <w:rFonts w:cs="Calibri"/>
          <w:b/>
          <w:bCs/>
          <w:lang w:val="pt-BR"/>
        </w:rPr>
        <w:t>verossimilhança das alegações</w:t>
      </w:r>
      <w:r>
        <w:rPr>
          <w:rFonts w:cs="Calibri"/>
          <w:lang w:val="pt-BR"/>
        </w:rPr>
        <w:t xml:space="preserve"> resta demonstrada pelos documentos que instruem a inicial, especialmente os extratos bancários que evidenciam a realização de descontos indevidos e não autorizados. De igual modo, a </w:t>
      </w:r>
      <w:r>
        <w:rPr>
          <w:rFonts w:cs="Calibri"/>
          <w:b/>
          <w:bCs/>
          <w:lang w:val="pt-BR"/>
        </w:rPr>
        <w:t>hipossuficiência da parte requerente</w:t>
      </w:r>
      <w:r>
        <w:rPr>
          <w:rFonts w:cs="Calibri"/>
          <w:lang w:val="pt-BR"/>
        </w:rPr>
        <w:t xml:space="preserve"> é manifesta, uma vez que se trata de consumidora sem acesso aos sistemas internos, contratos, gravações, autorizações e registros mantidos exclusivamente pela instituição financeira requerida.</w:t>
      </w:r>
    </w:p>
    <w:p>
      <w:pPr>
        <w:pStyle w:val="Normal"/>
        <w:spacing w:lineRule="auto" w:line="300"/>
        <w:ind w:firstLine="1418" w:end="0"/>
        <w:jc w:val="both"/>
        <w:textAlignment w:val="top"/>
        <w:rPr>
          <w:rFonts w:cs="Calibri"/>
          <w:lang w:val="pt-BR"/>
        </w:rPr>
      </w:pPr>
      <w:r>
        <w:rPr>
          <w:rFonts w:cs="Calibri"/>
          <w:lang w:val="pt-BR"/>
        </w:rPr>
      </w:r>
    </w:p>
    <w:p>
      <w:pPr>
        <w:pStyle w:val="Normal"/>
        <w:spacing w:lineRule="auto" w:line="300"/>
        <w:ind w:firstLine="1418" w:end="0"/>
        <w:jc w:val="both"/>
        <w:textAlignment w:val="top"/>
        <w:rPr/>
      </w:pPr>
      <w:r>
        <w:rPr>
          <w:rFonts w:cs="Calibri"/>
          <w:lang w:val="pt-BR"/>
        </w:rPr>
        <w:t xml:space="preserve">Ressalte-se que a inversão do ônus da prova revela-se medida indispensável para assegurar a </w:t>
      </w:r>
      <w:r>
        <w:rPr>
          <w:rFonts w:cs="Calibri"/>
          <w:b/>
          <w:bCs/>
          <w:lang w:val="pt-BR"/>
        </w:rPr>
        <w:t>efetividade da tutela jurisdicional</w:t>
      </w:r>
      <w:r>
        <w:rPr>
          <w:rFonts w:cs="Calibri"/>
          <w:lang w:val="pt-BR"/>
        </w:rPr>
        <w:t>, impondo ao fornecedor — que detém maior capacidade técnica e probatória — o dever de demonstrar a regularidade da contratação e a legitimidade das cobranças realizadas.</w:t>
      </w:r>
    </w:p>
    <w:p>
      <w:pPr>
        <w:pStyle w:val="Normal"/>
        <w:spacing w:lineRule="auto" w:line="300"/>
        <w:ind w:firstLine="1418" w:end="0"/>
        <w:jc w:val="both"/>
        <w:textAlignment w:val="top"/>
        <w:rPr>
          <w:rFonts w:cs="Calibri"/>
          <w:lang w:val="pt-BR"/>
        </w:rPr>
      </w:pPr>
      <w:r>
        <w:rPr>
          <w:rFonts w:cs="Calibri"/>
          <w:lang w:val="pt-BR"/>
        </w:rPr>
      </w:r>
    </w:p>
    <w:p>
      <w:pPr>
        <w:pStyle w:val="Normal"/>
        <w:spacing w:lineRule="auto" w:line="300"/>
        <w:ind w:firstLine="1418" w:end="0"/>
        <w:jc w:val="both"/>
        <w:textAlignment w:val="top"/>
        <w:rPr/>
      </w:pPr>
      <w:r>
        <w:rPr>
          <w:rFonts w:cs="Calibri"/>
          <w:lang w:val="pt-BR"/>
        </w:rPr>
        <w:t xml:space="preserve">Dessa forma, diante da relação de consumo estabelecida, da verossimilhança das alegações e da hipossuficiência da parte requerente, impõe-se a aplicação do art. 6º, inciso VIII, do Código de Defesa do Consumidor, razão pela qual requer-se, desde já, a </w:t>
      </w:r>
      <w:r>
        <w:rPr>
          <w:rFonts w:cs="Calibri"/>
          <w:b/>
          <w:bCs/>
          <w:lang w:val="pt-BR"/>
        </w:rPr>
        <w:t>inversão do ônus da prova</w:t>
      </w:r>
      <w:r>
        <w:rPr>
          <w:rFonts w:cs="Calibri"/>
          <w:lang w:val="pt-BR"/>
        </w:rPr>
        <w:t>, competindo ao requerido comprovar a existência de contratação válida e a regularidade dos descontos efetuados.</w:t>
      </w:r>
    </w:p>
    <w:p>
      <w:pPr>
        <w:pStyle w:val="Normal"/>
        <w:spacing w:lineRule="auto" w:line="300"/>
        <w:ind w:firstLine="2835" w:end="0"/>
        <w:jc w:val="both"/>
        <w:textAlignment w:val="top"/>
        <w:rPr>
          <w:rFonts w:cs="Calibri"/>
          <w:color w:val="FF0000"/>
          <w:lang w:val="pt-BR"/>
        </w:rPr>
      </w:pPr>
      <w:r>
        <w:rPr>
          <w:rFonts w:cs="Calibri"/>
          <w:color w:val="FF0000"/>
          <w:lang w:val="pt-BR"/>
        </w:rPr>
      </w:r>
    </w:p>
    <w:p>
      <w:pPr>
        <w:pStyle w:val="PargrafodaLista"/>
        <w:pBdr>
          <w:top w:val="single" w:sz="12" w:space="1" w:color="000000" w:shadow="1"/>
          <w:left w:val="single" w:sz="12" w:space="4" w:color="000000" w:shadow="1"/>
          <w:bottom w:val="single" w:sz="12" w:space="1" w:color="000000" w:shadow="1"/>
          <w:right w:val="single" w:sz="12" w:space="4" w:color="000000" w:shadow="1"/>
        </w:pBdr>
        <w:shd w:fill="F2F2F2" w:val="clear"/>
        <w:spacing w:lineRule="auto" w:line="300" w:before="0" w:after="0"/>
        <w:ind w:start="0" w:end="0"/>
        <w:contextualSpacing/>
        <w:jc w:val="center"/>
        <w:rPr/>
      </w:pPr>
      <w:r>
        <w:rPr>
          <w:rFonts w:cs="Calibri"/>
          <w:b/>
        </w:rPr>
        <w:t>7 - DOS PEDIDOS</w:t>
      </w:r>
    </w:p>
    <w:p>
      <w:pPr>
        <w:pStyle w:val="Normal"/>
        <w:spacing w:lineRule="auto" w:line="300"/>
        <w:ind w:firstLine="2835" w:end="0"/>
        <w:jc w:val="both"/>
        <w:rPr>
          <w:rFonts w:cs="Calibri"/>
          <w:b/>
          <w:lang w:val="pt-BR"/>
        </w:rPr>
      </w:pPr>
      <w:r>
        <w:rPr>
          <w:rFonts w:cs="Calibri"/>
          <w:b/>
          <w:lang w:val="pt-BR"/>
        </w:rPr>
      </w:r>
    </w:p>
    <w:p>
      <w:pPr>
        <w:pStyle w:val="Normal"/>
        <w:spacing w:lineRule="auto" w:line="300"/>
        <w:ind w:firstLine="1418" w:end="0"/>
        <w:jc w:val="both"/>
        <w:rPr/>
      </w:pPr>
      <w:r>
        <w:rPr>
          <w:rFonts w:cs="Calibri"/>
          <w:lang w:val="pt-BR"/>
        </w:rPr>
        <w:t>Diante de todo o exposto, requer a parte requerente a Vossa Excelência que se digne a:</w:t>
      </w:r>
    </w:p>
    <w:p>
      <w:pPr>
        <w:pStyle w:val="Normal"/>
        <w:spacing w:lineRule="auto" w:line="300"/>
        <w:ind w:firstLine="1701" w:end="0"/>
        <w:jc w:val="both"/>
        <w:rPr>
          <w:rFonts w:cs="Calibri"/>
          <w:lang w:val="pt-BR"/>
        </w:rPr>
      </w:pPr>
      <w:r>
        <w:rPr>
          <w:rFonts w:cs="Calibri"/>
          <w:lang w:val="pt-BR"/>
        </w:rPr>
      </w:r>
    </w:p>
    <w:p>
      <w:pPr>
        <w:pStyle w:val="PargrafodaLista"/>
        <w:numPr>
          <w:ilvl w:val="0"/>
          <w:numId w:val="3"/>
        </w:numPr>
        <w:spacing w:lineRule="auto" w:line="300" w:before="0" w:after="0"/>
        <w:ind w:firstLine="1418" w:start="0" w:end="0"/>
        <w:contextualSpacing/>
        <w:jc w:val="both"/>
        <w:rPr>
          <w:rFonts w:cs="Calibri"/>
        </w:rPr>
      </w:pPr>
      <w:r>
        <w:rPr>
          <w:rFonts w:cs="Calibri"/>
        </w:rPr>
        <w:t>Determinar a citação da empresa requerida, no endereço indicado na petição inicial, na pessoa de seu representante legal, para que, querendo, apresente defesa no prazo legal, sob pena de revelia e confissão quanto à matéria de fato, nos termos dos arts. 246 e 344 do Código de Processo Civil;</w:t>
      </w:r>
    </w:p>
    <w:p>
      <w:pPr>
        <w:pStyle w:val="PargrafodaLista"/>
        <w:spacing w:lineRule="auto" w:line="300" w:before="0" w:after="0"/>
        <w:ind w:start="0" w:end="0"/>
        <w:contextualSpacing/>
        <w:jc w:val="both"/>
        <w:rPr>
          <w:rFonts w:cs="Calibri"/>
        </w:rPr>
      </w:pPr>
      <w:r>
        <w:rPr>
          <w:rFonts w:cs="Calibri"/>
        </w:rPr>
      </w:r>
    </w:p>
    <w:p>
      <w:pPr>
        <w:pStyle w:val="PargrafodaLista"/>
        <w:numPr>
          <w:ilvl w:val="0"/>
          <w:numId w:val="3"/>
        </w:numPr>
        <w:spacing w:lineRule="auto" w:line="300" w:before="0" w:after="0"/>
        <w:ind w:firstLine="1418" w:start="0" w:end="0"/>
        <w:contextualSpacing/>
        <w:jc w:val="both"/>
        <w:rPr>
          <w:rFonts w:cs="Calibri"/>
          <w:b/>
        </w:rPr>
      </w:pPr>
      <w:r>
        <w:rPr>
          <w:rFonts w:cs="Calibri"/>
          <w:bCs/>
        </w:rPr>
        <w:t>Conceder a</w:t>
      </w:r>
      <w:r>
        <w:rPr>
          <w:rFonts w:cs="Calibri"/>
          <w:b/>
        </w:rPr>
        <w:t xml:space="preserve"> TUTELA ANTECIPADA </w:t>
      </w:r>
      <w:r>
        <w:rPr>
          <w:rFonts w:cs="Calibri"/>
        </w:rPr>
        <w:t xml:space="preserve">com fundamento nos arts. 294 c/c 300, ambos do NCPC/2015, para que o requerido </w:t>
      </w:r>
      <w:r>
        <w:rPr>
          <w:rFonts w:cs="Calibri"/>
          <w:b/>
        </w:rPr>
        <w:t xml:space="preserve">SUSPENDA os descontos denominados de </w:t>
      </w:r>
      <w:r>
        <w:rPr>
          <w:rFonts w:cs="Calibri"/>
          <w:b/>
          <w:bCs/>
          <w:color w:val="000000"/>
        </w:rPr>
        <w:t>“Cesta Fácil Econômica”</w:t>
      </w:r>
      <w:r>
        <w:rPr>
          <w:rFonts w:cs="Calibri"/>
          <w:b/>
          <w:color w:val="000000"/>
        </w:rPr>
        <w:t xml:space="preserve">, </w:t>
      </w:r>
      <w:r>
        <w:rPr>
          <w:rFonts w:cs="Calibri"/>
          <w:b/>
        </w:rPr>
        <w:t xml:space="preserve">realizados na </w:t>
      </w:r>
      <w:r>
        <w:rPr>
          <w:rFonts w:cs="Calibri"/>
          <w:b/>
          <w:color w:val="000000"/>
        </w:rPr>
        <w:t>conta corrente ________, agência ________,</w:t>
      </w:r>
      <w:r>
        <w:rPr>
          <w:rFonts w:cs="Calibri"/>
          <w:b/>
        </w:rPr>
        <w:t xml:space="preserve"> de titularidade da parte requerente, sob pena de multa a ser fixada no valor de R$ 500,00 (quinhentos reais), a título sugestivo, por cada desconto realizado, conforme preceitua o art. 537 do CPC/2015.</w:t>
      </w:r>
    </w:p>
    <w:p>
      <w:pPr>
        <w:pStyle w:val="PargrafodaLista"/>
        <w:spacing w:lineRule="auto" w:line="300" w:before="0" w:after="0"/>
        <w:ind w:firstLine="1418" w:start="0" w:end="0"/>
        <w:contextualSpacing/>
        <w:jc w:val="both"/>
        <w:rPr>
          <w:rFonts w:cs="Calibri"/>
          <w:b/>
        </w:rPr>
      </w:pPr>
      <w:r>
        <w:rPr>
          <w:rFonts w:cs="Calibri"/>
          <w:b/>
        </w:rPr>
      </w:r>
    </w:p>
    <w:p>
      <w:pPr>
        <w:pStyle w:val="PargrafodaLista"/>
        <w:numPr>
          <w:ilvl w:val="0"/>
          <w:numId w:val="3"/>
        </w:numPr>
        <w:spacing w:lineRule="auto" w:line="300" w:before="0" w:after="0"/>
        <w:ind w:firstLine="1418" w:start="0" w:end="0"/>
        <w:contextualSpacing/>
        <w:jc w:val="both"/>
        <w:rPr>
          <w:rFonts w:cs="Calibri"/>
        </w:rPr>
      </w:pPr>
      <w:r>
        <w:rPr>
          <w:rFonts w:cs="Calibri"/>
        </w:rPr>
        <w:t>Reconhecer a aplicabilidade do Código de Defesa do Consumidor ao caso em apreço, declarando-se objetiva a responsabilidade civil da empresa requerida;</w:t>
      </w:r>
    </w:p>
    <w:p>
      <w:pPr>
        <w:pStyle w:val="PargrafodaLista"/>
        <w:spacing w:lineRule="auto" w:line="300" w:before="0" w:after="0"/>
        <w:ind w:firstLine="1418" w:end="0"/>
        <w:contextualSpacing/>
        <w:jc w:val="both"/>
        <w:rPr>
          <w:rFonts w:cs="Calibri"/>
        </w:rPr>
      </w:pPr>
      <w:r>
        <w:rPr>
          <w:rFonts w:cs="Calibri"/>
        </w:rPr>
      </w:r>
    </w:p>
    <w:p>
      <w:pPr>
        <w:pStyle w:val="PargrafodaLista"/>
        <w:numPr>
          <w:ilvl w:val="0"/>
          <w:numId w:val="3"/>
        </w:numPr>
        <w:spacing w:lineRule="auto" w:line="300" w:before="0" w:after="0"/>
        <w:ind w:firstLine="1418" w:start="0" w:end="0"/>
        <w:contextualSpacing/>
        <w:jc w:val="both"/>
        <w:rPr>
          <w:rFonts w:cs="Calibri"/>
        </w:rPr>
      </w:pPr>
      <w:r>
        <w:rPr>
          <w:rFonts w:cs="Calibri"/>
        </w:rPr>
        <w:t>Determinar a inversão do ônus da prova, em favor da parte requerente, diante de sua hipossuficiência e verossimilhança das alegações, nos moldes do art. 6°, VIII, do CDC;</w:t>
      </w:r>
    </w:p>
    <w:p>
      <w:pPr>
        <w:pStyle w:val="PargrafodaLista"/>
        <w:spacing w:lineRule="auto" w:line="300" w:before="0" w:after="0"/>
        <w:ind w:firstLine="1418" w:start="0" w:end="0"/>
        <w:contextualSpacing/>
        <w:jc w:val="both"/>
        <w:rPr>
          <w:rFonts w:cs="Calibri"/>
        </w:rPr>
      </w:pPr>
      <w:r>
        <w:rPr>
          <w:rFonts w:cs="Calibri"/>
        </w:rPr>
      </w:r>
    </w:p>
    <w:p>
      <w:pPr>
        <w:pStyle w:val="PargrafodaLista"/>
        <w:numPr>
          <w:ilvl w:val="0"/>
          <w:numId w:val="3"/>
        </w:numPr>
        <w:spacing w:lineRule="auto" w:line="300" w:before="0" w:after="0"/>
        <w:ind w:firstLine="1418" w:start="0" w:end="0"/>
        <w:contextualSpacing w:val="false"/>
        <w:jc w:val="both"/>
        <w:rPr>
          <w:rFonts w:cs="Calibri"/>
        </w:rPr>
      </w:pPr>
      <w:bookmarkStart w:id="1" w:name="_Hlk46234814"/>
      <w:bookmarkEnd w:id="1"/>
      <w:r>
        <w:rPr>
          <w:rFonts w:cs="Calibri"/>
        </w:rPr>
        <w:t>Conceder à parte requerente os benefícios da justiça gratuita, nos termos do art. 98 do CPC e do art. 9°, I da Constituição do Estado do Amazonas, por ser pessoa economicamente hipossuficiente;</w:t>
      </w:r>
    </w:p>
    <w:p>
      <w:pPr>
        <w:pStyle w:val="PargrafodaLista"/>
        <w:spacing w:lineRule="auto" w:line="300" w:before="0" w:after="0"/>
        <w:ind w:firstLine="1418" w:start="0" w:end="0"/>
        <w:contextualSpacing/>
        <w:jc w:val="both"/>
        <w:rPr>
          <w:rFonts w:cs="Calibri"/>
        </w:rPr>
      </w:pPr>
      <w:r>
        <w:rPr>
          <w:rFonts w:cs="Calibri"/>
        </w:rPr>
      </w:r>
      <w:bookmarkStart w:id="2" w:name="_Hlk46234814"/>
      <w:bookmarkStart w:id="3" w:name="_Hlk46234814"/>
      <w:bookmarkEnd w:id="3"/>
    </w:p>
    <w:p>
      <w:pPr>
        <w:pStyle w:val="PargrafodaLista"/>
        <w:numPr>
          <w:ilvl w:val="0"/>
          <w:numId w:val="3"/>
        </w:numPr>
        <w:spacing w:lineRule="auto" w:line="300" w:before="0" w:after="0"/>
        <w:ind w:firstLine="1418" w:start="0" w:end="0"/>
        <w:contextualSpacing/>
        <w:jc w:val="both"/>
        <w:rPr>
          <w:rFonts w:cs="Calibri"/>
        </w:rPr>
      </w:pPr>
      <w:r>
        <w:rPr>
          <w:rFonts w:cs="Calibri"/>
          <w:bCs/>
        </w:rPr>
        <w:t xml:space="preserve">Ao final, </w:t>
      </w:r>
      <w:r>
        <w:rPr>
          <w:rFonts w:cs="Calibri"/>
          <w:b/>
        </w:rPr>
        <w:t>julgar totalmente procedente</w:t>
      </w:r>
      <w:r>
        <w:rPr>
          <w:rFonts w:cs="Calibri"/>
          <w:b/>
          <w:bCs/>
        </w:rPr>
        <w:t xml:space="preserve"> a presente ação</w:t>
      </w:r>
      <w:r>
        <w:rPr>
          <w:rFonts w:cs="Calibri"/>
        </w:rPr>
        <w:t>, para:</w:t>
      </w:r>
    </w:p>
    <w:p>
      <w:pPr>
        <w:pStyle w:val="Normal"/>
        <w:spacing w:lineRule="auto" w:line="300"/>
        <w:ind w:firstLine="1418" w:start="2835" w:end="0"/>
        <w:jc w:val="both"/>
        <w:rPr>
          <w:rFonts w:cs="Calibri"/>
          <w:lang w:val="pt-BR"/>
        </w:rPr>
      </w:pPr>
      <w:r>
        <w:rPr>
          <w:rFonts w:cs="Calibri"/>
          <w:lang w:val="pt-BR"/>
        </w:rPr>
      </w:r>
    </w:p>
    <w:p>
      <w:pPr>
        <w:pStyle w:val="Normal"/>
        <w:spacing w:lineRule="auto" w:line="300"/>
        <w:ind w:firstLine="1418" w:end="0"/>
        <w:jc w:val="both"/>
        <w:rPr/>
      </w:pPr>
      <w:r>
        <w:rPr>
          <w:rFonts w:cs="Calibri"/>
          <w:lang w:val="pt-BR"/>
        </w:rPr>
        <w:t xml:space="preserve">f.1) Declarar a inexistência e inexigibilidade de qualquer débito em nome da parte requerente referente ao produto </w:t>
      </w:r>
      <w:r>
        <w:rPr>
          <w:rFonts w:cs="Calibri"/>
          <w:b/>
          <w:bCs/>
          <w:lang w:val="pt-BR"/>
        </w:rPr>
        <w:t>“Seguro Mais Proteção”</w:t>
      </w:r>
      <w:r>
        <w:rPr>
          <w:rFonts w:cs="Calibri"/>
          <w:b/>
          <w:lang w:val="pt-BR"/>
        </w:rPr>
        <w:t>,</w:t>
      </w:r>
      <w:r>
        <w:rPr>
          <w:rFonts w:cs="Calibri"/>
          <w:lang w:val="pt-BR"/>
        </w:rPr>
        <w:t xml:space="preserve"> objeto da presente demanda;</w:t>
      </w:r>
    </w:p>
    <w:p>
      <w:pPr>
        <w:pStyle w:val="Normal"/>
        <w:spacing w:lineRule="auto" w:line="300"/>
        <w:ind w:firstLine="1418" w:end="0"/>
        <w:jc w:val="both"/>
        <w:rPr>
          <w:rFonts w:cs="Calibri"/>
          <w:lang w:val="pt-BR"/>
        </w:rPr>
      </w:pPr>
      <w:r>
        <w:rPr>
          <w:rFonts w:cs="Calibri"/>
          <w:lang w:val="pt-BR"/>
        </w:rPr>
      </w:r>
    </w:p>
    <w:p>
      <w:pPr>
        <w:pStyle w:val="Normal"/>
        <w:spacing w:lineRule="auto" w:line="300"/>
        <w:ind w:firstLine="1418" w:end="0"/>
        <w:jc w:val="both"/>
        <w:rPr>
          <w:rFonts w:cs="Calibri"/>
          <w:b/>
          <w:bCs/>
          <w:lang w:val="pt-BR"/>
        </w:rPr>
      </w:pPr>
      <w:r>
        <w:rPr>
          <w:rFonts w:cs="Calibri"/>
          <w:lang w:val="pt-BR"/>
        </w:rPr>
        <w:t xml:space="preserve">f.2) Condenar a empresa requerida, nos termos do art. 42, parágrafo único do CDC, à restituição em dobro dos valores indevidamente descontados da conta bancária da parte requerente, referente ao produto </w:t>
      </w:r>
      <w:r>
        <w:rPr>
          <w:rFonts w:cs="Calibri"/>
          <w:b/>
          <w:bCs/>
          <w:lang w:val="pt-BR"/>
        </w:rPr>
        <w:t>“Seguro Mais Proteção”</w:t>
      </w:r>
      <w:r>
        <w:rPr>
          <w:rFonts w:cs="Calibri"/>
          <w:lang w:val="pt-BR"/>
        </w:rPr>
        <w:t xml:space="preserve">, no período de </w:t>
      </w:r>
      <w:r>
        <w:rPr>
          <w:rFonts w:cs="Calibri"/>
          <w:b/>
          <w:bCs/>
          <w:lang w:val="pt-BR"/>
        </w:rPr>
        <w:t>________ a ________</w:t>
      </w:r>
      <w:r>
        <w:rPr>
          <w:rFonts w:cs="Calibri"/>
          <w:lang w:val="pt-BR"/>
        </w:rPr>
        <w:t xml:space="preserve">, totalizando o valor de </w:t>
      </w:r>
      <w:r>
        <w:rPr>
          <w:rFonts w:cs="Calibri"/>
          <w:b/>
          <w:bCs/>
          <w:lang w:val="pt-BR"/>
        </w:rPr>
        <w:t>R$ 303,16</w:t>
      </w:r>
      <w:r>
        <w:rPr>
          <w:rFonts w:cs="Calibri"/>
          <w:lang w:val="pt-BR"/>
        </w:rPr>
        <w:t xml:space="preserve">, o que perfaz em dobro o montante de </w:t>
      </w:r>
      <w:r>
        <w:rPr>
          <w:rFonts w:cs="Calibri"/>
          <w:b/>
          <w:bCs/>
          <w:lang w:val="pt-BR"/>
        </w:rPr>
        <w:t>R$ 606,32 (seiscentos e seis reais e trinta e dois centavos)</w:t>
      </w:r>
      <w:r>
        <w:rPr>
          <w:rFonts w:cs="Calibri"/>
          <w:lang w:val="pt-BR"/>
        </w:rPr>
        <w:t>, bem como à restituição, também em dobro, de eventuais valores que venham a ser indevidamente descontados durante a tramitação do feito;</w:t>
      </w:r>
    </w:p>
    <w:p>
      <w:pPr>
        <w:pStyle w:val="Normal"/>
        <w:spacing w:lineRule="auto" w:line="300"/>
        <w:ind w:firstLine="1418" w:end="0"/>
        <w:jc w:val="both"/>
        <w:rPr>
          <w:rFonts w:cs="Calibri"/>
          <w:b/>
          <w:bCs/>
          <w:lang w:val="pt-BR"/>
        </w:rPr>
      </w:pPr>
      <w:r>
        <w:rPr>
          <w:rFonts w:cs="Calibri"/>
          <w:b/>
          <w:bCs/>
          <w:lang w:val="pt-BR"/>
        </w:rPr>
      </w:r>
    </w:p>
    <w:p>
      <w:pPr>
        <w:pStyle w:val="PargrafodaLista"/>
        <w:spacing w:lineRule="auto" w:line="300" w:before="0" w:after="0"/>
        <w:ind w:firstLine="1418" w:start="0" w:end="0"/>
        <w:contextualSpacing/>
        <w:jc w:val="both"/>
        <w:rPr>
          <w:rFonts w:cs="Calibri"/>
        </w:rPr>
      </w:pPr>
      <w:r>
        <w:rPr>
          <w:rFonts w:cs="Calibri"/>
          <w:iCs/>
        </w:rPr>
        <w:t>f.2.1)</w:t>
      </w:r>
      <w:r>
        <w:rPr>
          <w:rFonts w:cs="Calibri"/>
          <w:i/>
        </w:rPr>
        <w:t xml:space="preserve"> </w:t>
      </w:r>
      <w:r>
        <w:rPr>
          <w:rFonts w:cs="Calibri"/>
          <w:iCs/>
        </w:rPr>
        <w:t>Subsidiariamente</w:t>
      </w:r>
      <w:r>
        <w:rPr>
          <w:rFonts w:cs="Calibri"/>
        </w:rPr>
        <w:t xml:space="preserve">, caso não seja este o entendimento de Vossa Excelência, requer a </w:t>
      </w:r>
      <w:r>
        <w:rPr>
          <w:rFonts w:cs="Calibri"/>
          <w:b/>
          <w:bCs/>
        </w:rPr>
        <w:t>restituição simples</w:t>
      </w:r>
      <w:r>
        <w:rPr>
          <w:rFonts w:cs="Calibri"/>
        </w:rPr>
        <w:t xml:space="preserve"> dos valores indevidamente descontados, devidamente atualizados, inclusive das parcelas que eventualmente venham a ser cobradas no curso da demanda;</w:t>
      </w:r>
    </w:p>
    <w:p>
      <w:pPr>
        <w:pStyle w:val="PargrafodaLista"/>
        <w:spacing w:lineRule="auto" w:line="300" w:before="0" w:after="0"/>
        <w:ind w:firstLine="1418" w:start="0" w:end="0"/>
        <w:contextualSpacing/>
        <w:jc w:val="both"/>
        <w:rPr>
          <w:rFonts w:cs="Calibri"/>
        </w:rPr>
      </w:pPr>
      <w:r>
        <w:rPr>
          <w:rFonts w:cs="Calibri"/>
        </w:rPr>
      </w:r>
    </w:p>
    <w:p>
      <w:pPr>
        <w:pStyle w:val="Normal"/>
        <w:spacing w:lineRule="auto" w:line="300"/>
        <w:ind w:firstLine="1418" w:end="0"/>
        <w:jc w:val="both"/>
        <w:rPr>
          <w:rFonts w:cs="Calibri"/>
          <w:lang w:val="pt-BR"/>
        </w:rPr>
      </w:pPr>
      <w:r>
        <w:rPr>
          <w:rFonts w:cs="Calibri"/>
          <w:lang w:val="pt-BR"/>
        </w:rPr>
        <w:t>f.2.2) Determinar a incidência de correção monetária a partir da data do efetivo prejuízo, nos termos da Súmula 43 do STJ, e juros de mora de 1% ao mês desde o evento danoso, conforme a Súmula 54 do STJ;</w:t>
      </w:r>
    </w:p>
    <w:p>
      <w:pPr>
        <w:pStyle w:val="Normal"/>
        <w:spacing w:lineRule="auto" w:line="300"/>
        <w:ind w:firstLine="1418" w:end="0"/>
        <w:jc w:val="both"/>
        <w:rPr>
          <w:rFonts w:cs="Calibri"/>
          <w:lang w:val="pt-BR"/>
        </w:rPr>
      </w:pPr>
      <w:r>
        <w:rPr>
          <w:rFonts w:cs="Calibri"/>
          <w:lang w:val="pt-BR"/>
        </w:rPr>
      </w:r>
    </w:p>
    <w:p>
      <w:pPr>
        <w:pStyle w:val="PargrafodaLista"/>
        <w:spacing w:lineRule="auto" w:line="300" w:before="0" w:after="0"/>
        <w:ind w:firstLine="1418" w:start="0" w:end="0"/>
        <w:contextualSpacing/>
        <w:jc w:val="both"/>
        <w:rPr>
          <w:rFonts w:cs="Calibri"/>
        </w:rPr>
      </w:pPr>
      <w:r>
        <w:rPr>
          <w:rFonts w:cs="Calibri"/>
        </w:rPr>
        <w:t xml:space="preserve">f.3) Condenar o requerido ao pagamento de </w:t>
      </w:r>
      <w:r>
        <w:rPr>
          <w:rFonts w:cs="Calibri"/>
          <w:b/>
          <w:bCs/>
        </w:rPr>
        <w:t>indenização por danos morais</w:t>
      </w:r>
      <w:r>
        <w:rPr>
          <w:rFonts w:cs="Calibri"/>
        </w:rPr>
        <w:t xml:space="preserve">, no valor de </w:t>
      </w:r>
      <w:r>
        <w:rPr>
          <w:rFonts w:cs="Calibri"/>
          <w:b/>
          <w:bCs/>
        </w:rPr>
        <w:t>R$ 10.000,00 (dez mil reais)</w:t>
      </w:r>
      <w:r>
        <w:rPr>
          <w:rFonts w:cs="Calibri"/>
        </w:rPr>
        <w:t>, ou outro montante que Vossa Excelência entender adequado, com incidência de correção monetária a partir da data do arbitramento (Súmula 362 do STJ) e juros de mora de 1% ao mês desde o evento danoso (Súmula 54 do STJ), nos termos do art. 5º, incisos V e X, da Constituição Federal, c/c arts. 186 e 927 do Código Civil e art. 6º, inciso VI, do CDC;</w:t>
      </w:r>
    </w:p>
    <w:p>
      <w:pPr>
        <w:pStyle w:val="PargrafodaLista"/>
        <w:spacing w:lineRule="auto" w:line="300" w:before="0" w:after="0"/>
        <w:ind w:firstLine="1418" w:start="0" w:end="0"/>
        <w:contextualSpacing/>
        <w:jc w:val="both"/>
        <w:rPr>
          <w:rFonts w:cs="Calibri"/>
        </w:rPr>
      </w:pPr>
      <w:r>
        <w:rPr>
          <w:rFonts w:cs="Calibri"/>
        </w:rPr>
      </w:r>
    </w:p>
    <w:p>
      <w:pPr>
        <w:pStyle w:val="PargrafodaLista"/>
        <w:spacing w:lineRule="auto" w:line="300" w:before="0" w:after="0"/>
        <w:ind w:firstLine="1418" w:start="0" w:end="0"/>
        <w:contextualSpacing/>
        <w:jc w:val="both"/>
        <w:rPr/>
      </w:pPr>
      <w:r>
        <w:rPr>
          <w:rFonts w:cs="Calibri"/>
        </w:rPr>
        <w:t>f.4) Condenar o requerido ao pagamento das custas processuais e de honorários advocatícios, estes fixados no percentual de 20% (vinte por cento) sobre o valor da condenação, acrescido de juros e correção monetária, em havendo recurso;</w:t>
      </w:r>
    </w:p>
    <w:p>
      <w:pPr>
        <w:pStyle w:val="PargrafodaLista"/>
        <w:spacing w:lineRule="auto" w:line="300" w:before="0" w:after="0"/>
        <w:ind w:firstLine="1418" w:start="0" w:end="0"/>
        <w:contextualSpacing/>
        <w:jc w:val="both"/>
        <w:rPr>
          <w:rFonts w:cs="Calibri"/>
        </w:rPr>
      </w:pPr>
      <w:r>
        <w:rPr>
          <w:rFonts w:cs="Calibri"/>
        </w:rPr>
      </w:r>
    </w:p>
    <w:p>
      <w:pPr>
        <w:pStyle w:val="Normal"/>
        <w:numPr>
          <w:ilvl w:val="0"/>
          <w:numId w:val="3"/>
        </w:numPr>
        <w:spacing w:lineRule="auto" w:line="300"/>
        <w:ind w:firstLine="1418" w:start="0" w:end="0"/>
        <w:jc w:val="both"/>
        <w:rPr>
          <w:rFonts w:cs="Calibri"/>
          <w:lang w:val="pt-BR"/>
        </w:rPr>
      </w:pPr>
      <w:r>
        <w:rPr>
          <w:rFonts w:cs="Calibri"/>
          <w:lang w:val="pt-BR"/>
        </w:rPr>
        <w:t xml:space="preserve">Determinar que todas as publicações, intimações e notificações pertinentes ao presente processo sejam realizadas </w:t>
      </w:r>
      <w:r>
        <w:rPr>
          <w:rFonts w:cs="Calibri"/>
          <w:b/>
          <w:bCs/>
          <w:lang w:val="pt-BR"/>
        </w:rPr>
        <w:t>CONJUNTAMENTE</w:t>
      </w:r>
      <w:r>
        <w:rPr>
          <w:rFonts w:cs="Calibri"/>
          <w:lang w:val="pt-BR"/>
        </w:rPr>
        <w:t xml:space="preserve"> em nome dos advogados </w:t>
      </w:r>
      <w:r>
        <w:rPr>
          <w:rFonts w:cs="Calibri"/>
          <w:b/>
          <w:lang w:val="pt-BR"/>
        </w:rPr>
        <w:t>ANDREY AUGUSTO BENTES RAMOS – OAB/AM 7.526 e GUSTAVO DA SILVA GRILLO – OAB/AM 7.883</w:t>
      </w:r>
      <w:r>
        <w:rPr>
          <w:rFonts w:cs="Calibri"/>
          <w:bCs/>
          <w:lang w:val="pt-BR"/>
        </w:rPr>
        <w:t>, sob pena de nulidade, nos termos do art. 272, §5˚, do CPC</w:t>
      </w:r>
      <w:r>
        <w:rPr>
          <w:rFonts w:cs="Calibri"/>
          <w:lang w:val="pt-BR"/>
        </w:rPr>
        <w:t>.</w:t>
      </w:r>
    </w:p>
    <w:p>
      <w:pPr>
        <w:pStyle w:val="Normal"/>
        <w:spacing w:lineRule="auto" w:line="300"/>
        <w:ind w:firstLine="1418" w:end="0"/>
        <w:jc w:val="both"/>
        <w:rPr>
          <w:rFonts w:cs="Calibri"/>
          <w:lang w:val="pt-BR"/>
        </w:rPr>
      </w:pPr>
      <w:r>
        <w:rPr>
          <w:rFonts w:cs="Calibri"/>
          <w:lang w:val="pt-BR"/>
        </w:rPr>
      </w:r>
    </w:p>
    <w:p>
      <w:pPr>
        <w:pStyle w:val="Normal"/>
        <w:spacing w:lineRule="auto" w:line="300"/>
        <w:ind w:firstLine="1418" w:end="0"/>
        <w:jc w:val="both"/>
        <w:rPr/>
      </w:pPr>
      <w:r>
        <w:rPr>
          <w:rFonts w:cs="Calibri"/>
          <w:lang w:val="pt-BR"/>
        </w:rPr>
        <w:t>Por oportuno, requer, ainda, a produção de todas as provas em direito admitidas, em especial o depoimento pessoal do representante legal da requerida, bem como, prova testemunhal, documental, e de todas outras que façam necessárias ao curso da instrução processual.</w:t>
      </w:r>
    </w:p>
    <w:p>
      <w:pPr>
        <w:pStyle w:val="Normal"/>
        <w:spacing w:lineRule="auto" w:line="300"/>
        <w:ind w:firstLine="1418" w:end="0"/>
        <w:jc w:val="both"/>
        <w:rPr>
          <w:rFonts w:cs="Calibri"/>
          <w:sz w:val="18"/>
          <w:szCs w:val="18"/>
          <w:lang w:val="pt-BR"/>
        </w:rPr>
      </w:pPr>
      <w:r>
        <w:rPr>
          <w:rFonts w:cs="Calibri"/>
          <w:sz w:val="18"/>
          <w:szCs w:val="18"/>
          <w:lang w:val="pt-BR"/>
        </w:rPr>
      </w:r>
    </w:p>
    <w:p>
      <w:pPr>
        <w:pStyle w:val="Normal"/>
        <w:spacing w:lineRule="auto" w:line="300"/>
        <w:ind w:firstLine="1418" w:end="0"/>
        <w:jc w:val="both"/>
        <w:rPr>
          <w:rFonts w:cs="Calibri"/>
          <w:lang w:val="pt-BR"/>
        </w:rPr>
      </w:pPr>
      <w:r>
        <w:rPr>
          <w:rFonts w:cs="Calibri"/>
          <w:lang w:val="pt-BR"/>
        </w:rPr>
        <w:t xml:space="preserve">Dá-se a causa o valor de </w:t>
      </w:r>
      <w:r>
        <w:rPr>
          <w:rFonts w:cs="Calibri"/>
          <w:b/>
          <w:lang w:val="pt-BR"/>
        </w:rPr>
        <w:t>R$ 10.606,32 (dez mil, seiscentos e seis reais e trinta e dois centavos).</w:t>
      </w:r>
    </w:p>
    <w:p>
      <w:pPr>
        <w:pStyle w:val="Normal"/>
        <w:spacing w:lineRule="auto" w:line="300"/>
        <w:ind w:firstLine="1418" w:end="0"/>
        <w:jc w:val="both"/>
        <w:rPr>
          <w:rFonts w:cs="Calibri"/>
          <w:lang w:val="pt-BR"/>
        </w:rPr>
      </w:pPr>
      <w:r>
        <w:rPr>
          <w:rFonts w:cs="Calibri"/>
          <w:lang w:val="pt-BR"/>
        </w:rPr>
      </w:r>
    </w:p>
    <w:p>
      <w:pPr>
        <w:pStyle w:val="Normal"/>
        <w:spacing w:lineRule="auto" w:line="300"/>
        <w:ind w:firstLine="1418" w:end="0"/>
        <w:jc w:val="both"/>
        <w:rPr>
          <w:rFonts w:cs="Calibri"/>
          <w:lang w:val="pt-BR"/>
        </w:rPr>
      </w:pPr>
      <w:r>
        <w:rPr>
          <w:rFonts w:cs="Calibri"/>
          <w:lang w:val="pt-BR"/>
        </w:rPr>
        <w:t>Nestes termos,</w:t>
      </w:r>
    </w:p>
    <w:p>
      <w:pPr>
        <w:pStyle w:val="Normal"/>
        <w:spacing w:lineRule="auto" w:line="300"/>
        <w:ind w:firstLine="1418" w:end="0"/>
        <w:jc w:val="both"/>
        <w:rPr/>
      </w:pPr>
      <w:r>
        <w:rPr>
          <w:rFonts w:cs="Calibri"/>
          <w:lang w:val="pt-BR"/>
        </w:rPr>
        <w:t>pede deferimento.</w:t>
      </w:r>
    </w:p>
    <w:p>
      <w:pPr>
        <w:pStyle w:val="Normal"/>
        <w:spacing w:lineRule="auto" w:line="300"/>
        <w:ind w:firstLine="1418" w:end="0"/>
        <w:jc w:val="both"/>
        <w:rPr>
          <w:rFonts w:cs="Calibri"/>
          <w:lang w:val="pt-BR"/>
        </w:rPr>
      </w:pPr>
      <w:r>
        <w:rPr>
          <w:rFonts w:cs="Calibri"/>
          <w:lang w:val="pt-BR"/>
        </w:rPr>
      </w:r>
    </w:p>
    <w:p>
      <w:pPr>
        <w:pStyle w:val="Normal"/>
        <w:spacing w:lineRule="auto" w:line="300"/>
        <w:ind w:firstLine="1418" w:end="0"/>
        <w:jc w:val="both"/>
        <w:rPr/>
      </w:pPr>
      <w:r>
        <w:rPr>
          <w:rFonts w:cs="Calibri"/>
          <w:lang w:val="pt-BR"/>
        </w:rPr>
        <w:t>Manaus/AM, 16 de janeiro de 2026.</w:t>
      </w:r>
    </w:p>
    <w:p>
      <w:pPr>
        <w:pStyle w:val="Normal"/>
        <w:spacing w:lineRule="auto" w:line="300"/>
        <w:jc w:val="both"/>
        <w:rPr>
          <w:rFonts w:cs="Calibri"/>
          <w:color w:val="FF0000"/>
          <w:lang w:val="pt-BR"/>
        </w:rPr>
      </w:pPr>
      <w:r>
        <w:rPr>
          <w:rFonts w:cs="Calibri"/>
          <w:color w:val="FF0000"/>
          <w:lang w:val="pt-BR"/>
        </w:rPr>
      </w:r>
    </w:p>
    <w:p>
      <w:pPr>
        <w:pStyle w:val="Normal"/>
        <w:spacing w:lineRule="auto" w:line="300"/>
        <w:jc w:val="both"/>
        <w:rPr>
          <w:rFonts w:cs="Calibri"/>
          <w:color w:val="FF0000"/>
          <w:lang w:val="pt-BR"/>
        </w:rPr>
      </w:pPr>
      <w:r>
        <w:rPr>
          <w:rFonts w:cs="Calibri"/>
          <w:color w:val="FF0000"/>
          <w:lang w:val="pt-BR"/>
        </w:rPr>
      </w:r>
    </w:p>
    <w:p>
      <w:pPr>
        <w:pStyle w:val="Normal"/>
        <w:spacing w:lineRule="auto" w:line="300"/>
        <w:jc w:val="center"/>
        <w:rPr>
          <w:rFonts w:cs="Calibri"/>
          <w:b/>
          <w:lang w:val="pt-BR"/>
        </w:rPr>
      </w:pPr>
      <w:r>
        <w:rPr>
          <w:rFonts w:cs="Calibri"/>
          <w:b/>
          <w:lang w:val="pt-BR"/>
        </w:rPr>
        <w:t>- ASSINADO ELETRONICAMENTE -</w:t>
      </w:r>
    </w:p>
    <w:p>
      <w:pPr>
        <w:pStyle w:val="Normal"/>
        <w:spacing w:lineRule="auto" w:line="300"/>
        <w:jc w:val="center"/>
        <w:rPr>
          <w:rFonts w:cs="Calibri"/>
          <w:b/>
          <w:lang w:val="pt-BR"/>
        </w:rPr>
      </w:pPr>
      <w:r>
        <w:rPr>
          <w:rFonts w:cs="Calibri"/>
          <w:b/>
          <w:lang w:val="pt-BR"/>
        </w:rPr>
        <w:t>ANDREY AUGUSTO BENTES RAMOS</w:t>
      </w:r>
    </w:p>
    <w:p>
      <w:pPr>
        <w:pStyle w:val="Normal"/>
        <w:spacing w:lineRule="auto" w:line="300"/>
        <w:jc w:val="center"/>
        <w:rPr>
          <w:rFonts w:cs="Calibri"/>
          <w:b/>
          <w:lang w:val="pt-BR"/>
        </w:rPr>
      </w:pPr>
      <w:bookmarkStart w:id="4" w:name="_Hlk49872811"/>
      <w:r>
        <w:rPr>
          <w:rFonts w:cs="Calibri"/>
          <w:b/>
          <w:lang w:val="pt-BR"/>
        </w:rPr>
        <w:t>OAB/AM 7.526</w:t>
      </w:r>
      <w:bookmarkEnd w:id="4"/>
    </w:p>
    <w:p>
      <w:pPr>
        <w:pStyle w:val="Normal"/>
        <w:spacing w:lineRule="auto" w:line="300"/>
        <w:jc w:val="center"/>
        <w:rPr>
          <w:rFonts w:cs="Calibri"/>
          <w:b/>
          <w:lang w:val="pt-BR"/>
        </w:rPr>
      </w:pPr>
      <w:r>
        <w:rPr>
          <w:rFonts w:cs="Calibri"/>
          <w:b/>
          <w:lang w:val="pt-BR"/>
        </w:rPr>
      </w:r>
    </w:p>
    <w:p>
      <w:pPr>
        <w:pStyle w:val="Normal"/>
        <w:spacing w:lineRule="auto" w:line="300"/>
        <w:jc w:val="center"/>
        <w:rPr>
          <w:rFonts w:cs="Calibri"/>
          <w:b/>
          <w:lang w:val="pt-BR"/>
        </w:rPr>
      </w:pPr>
      <w:r>
        <w:rPr>
          <w:rFonts w:cs="Calibri"/>
          <w:b/>
          <w:lang w:val="pt-BR"/>
        </w:rPr>
      </w:r>
    </w:p>
    <w:p>
      <w:pPr>
        <w:pStyle w:val="Normal"/>
        <w:spacing w:lineRule="auto" w:line="300"/>
        <w:rPr>
          <w:rFonts w:cs="Calibri"/>
          <w:b/>
          <w:lang w:val="pt-BR"/>
        </w:rPr>
      </w:pPr>
      <w:r>
        <w:rPr>
          <w:rFonts w:cs="Calibri"/>
          <w:b/>
          <w:lang w:val="pt-BR"/>
        </w:rPr>
      </w:r>
    </w:p>
    <w:p>
      <w:pPr>
        <w:pStyle w:val="Normal"/>
        <w:spacing w:lineRule="auto" w:line="300"/>
        <w:rPr>
          <w:rFonts w:cs="Calibri"/>
          <w:b/>
          <w:lang w:val="pt-BR"/>
        </w:rPr>
      </w:pPr>
      <w:r>
        <w:rPr>
          <w:rFonts w:cs="Calibri"/>
          <w:b/>
          <w:lang w:val="pt-BR"/>
        </w:rPr>
      </w:r>
    </w:p>
    <w:p>
      <w:pPr>
        <w:pStyle w:val="Normal"/>
        <w:spacing w:lineRule="auto" w:line="300"/>
        <w:rPr>
          <w:rFonts w:cs="Calibri"/>
          <w:b/>
          <w:bCs/>
          <w:lang w:val="pt-BR"/>
        </w:rPr>
      </w:pPr>
      <w:r>
        <w:rPr>
          <w:rFonts w:cs="Calibri"/>
          <w:b/>
          <w:bCs/>
          <w:lang w:val="pt-BR"/>
        </w:rPr>
      </w:r>
    </w:p>
    <w:p>
      <w:pPr>
        <w:pStyle w:val="Normal"/>
        <w:spacing w:lineRule="auto" w:line="300"/>
        <w:rPr>
          <w:rFonts w:cs="Calibri"/>
          <w:bCs/>
          <w:lang w:val="pt-BR"/>
        </w:rPr>
      </w:pPr>
      <w:r>
        <w:rPr>
          <w:rFonts w:cs="Calibri"/>
          <w:bCs/>
          <w:lang w:val="pt-BR"/>
        </w:rPr>
      </w:r>
    </w:p>
    <w:p>
      <w:pPr>
        <w:pStyle w:val="Normal"/>
        <w:spacing w:lineRule="auto" w:line="300"/>
        <w:rPr>
          <w:rFonts w:cs="Calibri"/>
          <w:bCs/>
          <w:lang w:val="pt-BR"/>
        </w:rPr>
      </w:pPr>
      <w:r>
        <w:rPr>
          <w:rFonts w:cs="Calibri"/>
          <w:bCs/>
          <w:lang w:val="pt-BR"/>
        </w:rPr>
      </w:r>
    </w:p>
    <w:p>
      <w:pPr>
        <w:pStyle w:val="Normal"/>
        <w:rPr>
          <w:rFonts w:cs="Calibri"/>
          <w:lang w:val="pt-BR"/>
        </w:rPr>
      </w:pPr>
      <w:r>
        <w:rPr>
          <w:rFonts w:cs="Calibri"/>
          <w:lang w:val="pt-BR"/>
        </w:rPr>
      </w:r>
    </w:p>
    <w:p>
      <w:pPr>
        <w:pStyle w:val="Normal"/>
        <w:rPr>
          <w:rFonts w:cs="Calibri"/>
          <w:lang w:val="pt-BR"/>
        </w:rPr>
      </w:pPr>
      <w:r>
        <w:rPr>
          <w:rFonts w:cs="Calibri"/>
          <w:lang w:val="pt-BR"/>
        </w:rPr>
      </w:r>
    </w:p>
    <w:sectPr>
      <w:headerReference w:type="default" r:id="rId4"/>
      <w:footerReference w:type="default" r:id="rId5"/>
      <w:type w:val="nextPage"/>
      <w:pgSz w:w="11906" w:h="16838"/>
      <w:pgMar w:left="1440" w:right="1275" w:gutter="0" w:header="284" w:top="1440" w:footer="29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Calibri Light">
    <w:charset w:val="00" w:characterSet="windows-1252"/>
    <w:family w:val="swiss"/>
    <w:pitch w:val="variable"/>
  </w:font>
  <w:font w:name="Wingdings">
    <w:charset w:val="02"/>
    <w:family w:val="auto"/>
    <w:pitch w:val="variable"/>
  </w:font>
  <w:font w:name="Courier New">
    <w:charset w:val="00" w:characterSet="windows-1252"/>
    <w:family w:val="modern"/>
    <w:pitch w:val="default"/>
  </w:font>
  <w:font w:name="Tahoma">
    <w:charset w:val="00" w:characterSet="windows-1252"/>
    <w:family w:val="swiss"/>
    <w:pitch w:val="variable"/>
  </w:font>
  <w:font w:name="Antique Olive">
    <w:charset w:val="00" w:characterSet="windows-1252"/>
    <w:family w:val="swiss"/>
    <w:pitch w:val="variable"/>
  </w:font>
  <w:font w:name="Liberation Sans">
    <w:altName w:val="Arial"/>
    <w:charset w:val="01" w:characterSet="utf-8"/>
    <w:family w:val="swiss"/>
    <w:pitch w:val="variable"/>
  </w:font>
  <w:font w:name="Helvetica">
    <w:altName w:val="Arial"/>
    <w:charset w:val="00" w:characterSet="windows-1252"/>
    <w:family w:val="swiss"/>
    <w:pitch w:val="variable"/>
  </w:font>
  <w:font w:name="Bookman Old Style">
    <w:charset w:val="00" w:characterSet="windows-1252"/>
    <w:family w:val="roman"/>
    <w:pitch w:val="variable"/>
  </w:font>
  <w:font w:name="Segoe UI Emoji">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p>
    <w:pPr>
      <w:pStyle w:val="Normal"/>
      <w:spacing w:lineRule="auto" w:line="240"/>
      <w:jc w:val="both"/>
      <w:rPr>
        <w:rFonts w:cs="Calibri"/>
        <w:sz w:val="16"/>
        <w:szCs w:val="16"/>
        <w:lang w:val="pt-BR"/>
      </w:rPr>
    </w:pPr>
    <w:r>
      <w:rPr>
        <w:rFonts w:cs="Segoe UI Emoji" w:ascii="Segoe UI Emoji" w:hAnsi="Segoe UI Emoji"/>
        <w:sz w:val="16"/>
        <w:szCs w:val="16"/>
      </w:rPr>
      <w:t>🏛️</w:t>
    </w:r>
    <w:r>
      <w:rPr>
        <w:rFonts w:cs="Calibri"/>
        <w:b/>
        <w:bCs/>
        <w:sz w:val="16"/>
        <w:szCs w:val="16"/>
        <w:lang w:val="pt-BR"/>
      </w:rPr>
      <w:t xml:space="preserve"> </w:t>
    </w:r>
    <w:r>
      <w:rPr>
        <w:rFonts w:cs="Calibri"/>
        <w:b/>
        <w:bCs/>
        <w:sz w:val="16"/>
        <w:szCs w:val="16"/>
        <w:lang w:val="pt-BR"/>
      </w:rPr>
      <w:t>BENTES RAMOS ADVOCACIA E CONSULTORIA JURÍDICA</w:t>
    </w:r>
  </w:p>
  <w:p>
    <w:pPr>
      <w:pStyle w:val="Normal"/>
      <w:spacing w:lineRule="auto" w:line="240"/>
      <w:jc w:val="both"/>
      <w:rPr/>
    </w:pPr>
    <w:r>
      <w:rPr>
        <w:rFonts w:cs="Segoe UI Emoji" w:ascii="Segoe UI Emoji" w:hAnsi="Segoe UI Emoji"/>
        <w:sz w:val="16"/>
        <w:szCs w:val="16"/>
      </w:rPr>
      <w:t>📍</w:t>
    </w:r>
    <w:r>
      <w:rPr>
        <w:rFonts w:cs="Calibri"/>
        <w:sz w:val="16"/>
        <w:szCs w:val="16"/>
        <w:lang w:val="pt-BR"/>
      </w:rPr>
      <w:t xml:space="preserve"> </w:t>
    </w:r>
    <w:r>
      <w:rPr>
        <w:rFonts w:cs="Calibri"/>
        <w:sz w:val="16"/>
        <w:szCs w:val="16"/>
        <w:lang w:val="pt-BR"/>
      </w:rPr>
      <w:t>Rua Salvador, 120, Sala 708 – Vieiralves Business Center – Adrianópolis, Manaus/AM – CEP 69057-040</w:t>
    </w:r>
  </w:p>
  <w:p>
    <w:pPr>
      <w:pStyle w:val="Normal"/>
      <w:spacing w:lineRule="auto" w:line="240"/>
      <w:jc w:val="both"/>
      <w:rPr>
        <w:rFonts w:cs="Calibri"/>
        <w:sz w:val="16"/>
        <w:szCs w:val="16"/>
        <w:lang w:val="pt-BR"/>
      </w:rPr>
    </w:pPr>
    <w:r>
      <w:rPr>
        <w:rFonts w:cs="Segoe UI Emoji" w:ascii="Segoe UI Emoji" w:hAnsi="Segoe UI Emoji"/>
        <w:sz w:val="16"/>
        <w:szCs w:val="16"/>
      </w:rPr>
      <w:t>📞</w:t>
    </w:r>
    <w:r>
      <w:rPr>
        <w:rFonts w:cs="Calibri"/>
        <w:sz w:val="16"/>
        <w:szCs w:val="16"/>
        <w:lang w:val="pt-BR"/>
      </w:rPr>
      <w:t xml:space="preserve"> </w:t>
    </w:r>
    <w:r>
      <w:rPr>
        <w:rFonts w:cs="Calibri"/>
        <w:sz w:val="16"/>
        <w:szCs w:val="16"/>
        <w:lang w:val="pt-BR"/>
      </w:rPr>
      <w:t xml:space="preserve">(92) 3343-6173   |   </w:t>
    </w:r>
    <w:r>
      <w:rPr>
        <w:rFonts w:cs="Segoe UI Emoji" w:ascii="Segoe UI Emoji" w:hAnsi="Segoe UI Emoji"/>
        <w:sz w:val="16"/>
        <w:szCs w:val="16"/>
      </w:rPr>
      <w:t>📱</w:t>
    </w:r>
    <w:r>
      <w:rPr>
        <w:rFonts w:cs="Calibri"/>
        <w:sz w:val="16"/>
        <w:szCs w:val="16"/>
        <w:lang w:val="pt-BR"/>
      </w:rPr>
      <w:t xml:space="preserve"> (92) 98223-7330 / (92) 99160-4348 / 98588-8190</w:t>
    </w:r>
  </w:p>
  <w:p>
    <w:pPr>
      <w:pStyle w:val="Footer"/>
      <w:jc w:val="both"/>
      <w:rPr/>
    </w:pPr>
    <w:r>
      <w:rPr>
        <w:rFonts w:cs="Segoe UI Emoji" w:ascii="Segoe UI Emoji" w:hAnsi="Segoe UI Emoji"/>
        <w:sz w:val="16"/>
        <w:szCs w:val="16"/>
        <w:lang w:val="pt-BR"/>
      </w:rPr>
      <w:t>✉</w:t>
    </w:r>
    <w:r>
      <w:rPr>
        <w:rFonts w:cs="Segoe UI Emoji" w:ascii="Segoe UI Emoji" w:hAnsi="Segoe UI Emoji"/>
        <w:sz w:val="16"/>
        <w:szCs w:val="16"/>
      </w:rPr>
      <w:t>️</w:t>
    </w:r>
    <w:r>
      <w:rPr>
        <w:rFonts w:cs="Calibri"/>
        <w:sz w:val="16"/>
        <w:szCs w:val="16"/>
        <w:lang w:val="pt-BR"/>
      </w:rPr>
      <w:t xml:space="preserve"> </w:t>
    </w:r>
    <w:r>
      <w:rPr>
        <w:rFonts w:cs="Calibri"/>
        <w:sz w:val="16"/>
        <w:szCs w:val="16"/>
        <w:lang w:val="pt-BR"/>
      </w:rPr>
      <w:t xml:space="preserve">juridico@bentesramos.adv.br   |   </w:t>
    </w:r>
    <w:r>
      <w:rPr>
        <w:rFonts w:cs="Segoe UI Emoji" w:ascii="Segoe UI Emoji" w:hAnsi="Segoe UI Emoji"/>
        <w:sz w:val="16"/>
        <w:szCs w:val="16"/>
      </w:rPr>
      <w:t>🌐</w:t>
    </w:r>
    <w:r>
      <w:rPr>
        <w:rFonts w:cs="Calibri"/>
        <w:sz w:val="16"/>
        <w:szCs w:val="16"/>
        <w:lang w:val="pt-BR"/>
      </w:rPr>
      <w:t xml:space="preserve"> www.bentesramos.com.br</w:t>
    </w:r>
    <w:r>
      <w:rPr>
        <w:sz w:val="14"/>
        <w:szCs w:val="14"/>
        <w:lang w:val="pt-BR"/>
      </w:rPr>
      <w:tab/>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lang w:val="pt-BR"/>
      </w:rPr>
    </w:pPr>
    <w:r>
      <w:rPr>
        <w:lang w:val="pt-BR"/>
      </w:rPr>
      <w:drawing>
        <wp:inline distT="0" distB="0" distL="0" distR="0">
          <wp:extent cx="1892300" cy="1028700"/>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1"/>
                  <a:srcRect l="-7" t="-13" r="-7" b="-13"/>
                  <a:stretch>
                    <a:fillRect/>
                  </a:stretch>
                </pic:blipFill>
                <pic:spPr bwMode="auto">
                  <a:xfrm>
                    <a:off x="0" y="0"/>
                    <a:ext cx="1892300" cy="1028700"/>
                  </a:xfrm>
                  <a:prstGeom prst="rect">
                    <a:avLst/>
                  </a:prstGeom>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0"/>
        </w:tabs>
        <w:ind w:start="720" w:hanging="360"/>
      </w:pPr>
      <w:rPr/>
    </w:lvl>
  </w:abstractNum>
  <w:abstractNum w:abstractNumId="3">
    <w:lvl w:ilvl="0">
      <w:start w:val="1"/>
      <w:numFmt w:val="lowerLetter"/>
      <w:lvlText w:val="%1)"/>
      <w:lvlJc w:val="start"/>
      <w:pPr>
        <w:tabs>
          <w:tab w:val="num" w:pos="0"/>
        </w:tabs>
        <w:ind w:start="502" w:hanging="360"/>
      </w:pPr>
      <w:rPr>
        <w:b w:val="false"/>
        <w:bCs/>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76"/>
    </w:pPr>
    <w:rPr>
      <w:rFonts w:ascii="Calibri" w:hAnsi="Calibri" w:eastAsia="Calibri" w:cs="Times New Roman"/>
      <w:color w:val="auto"/>
      <w:sz w:val="22"/>
      <w:szCs w:val="22"/>
      <w:lang w:val="en-US" w:bidi="ar-SA" w:eastAsia="zh-CN"/>
    </w:rPr>
  </w:style>
  <w:style w:type="paragraph" w:styleId="Heading1">
    <w:name w:val="Heading 1"/>
    <w:basedOn w:val="Normal"/>
    <w:next w:val="Normal"/>
    <w:qFormat/>
    <w:pPr>
      <w:keepNext w:val="true"/>
      <w:keepLines/>
      <w:numPr>
        <w:ilvl w:val="0"/>
        <w:numId w:val="1"/>
      </w:numPr>
      <w:spacing w:lineRule="auto" w:line="240" w:before="480" w:after="0"/>
      <w:outlineLvl w:val="0"/>
    </w:pPr>
    <w:rPr>
      <w:rFonts w:ascii="Calibri Light" w:hAnsi="Calibri Light" w:eastAsia="Times New Roman" w:cs="Calibri Light"/>
      <w:b/>
      <w:bCs/>
      <w:color w:val="2E74B5"/>
      <w:sz w:val="28"/>
      <w:szCs w:val="28"/>
    </w:rPr>
  </w:style>
  <w:style w:type="paragraph" w:styleId="Heading2">
    <w:name w:val="Heading 2"/>
    <w:basedOn w:val="Normal"/>
    <w:next w:val="BodyText"/>
    <w:qFormat/>
    <w:pPr>
      <w:numPr>
        <w:ilvl w:val="1"/>
        <w:numId w:val="1"/>
      </w:numPr>
      <w:spacing w:lineRule="auto" w:line="240" w:before="280" w:after="280"/>
      <w:outlineLvl w:val="1"/>
    </w:pPr>
    <w:rPr>
      <w:rFonts w:ascii="Times New Roman" w:hAnsi="Times New Roman" w:eastAsia="Times New Roman" w:cs="Times New Roman"/>
      <w:b/>
      <w:bCs/>
      <w:sz w:val="36"/>
      <w:szCs w:val="36"/>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b w:val="false"/>
      <w:bCs/>
    </w:rPr>
  </w:style>
  <w:style w:type="character" w:styleId="WW8Num6z0">
    <w:name w:val="WW8Num6z0"/>
    <w:qFormat/>
    <w:rPr/>
  </w:style>
  <w:style w:type="character" w:styleId="WW8Num7z0">
    <w:name w:val="WW8Num7z0"/>
    <w:qFormat/>
    <w:rPr>
      <w:b/>
    </w:rPr>
  </w:style>
  <w:style w:type="character" w:styleId="WW8Num7z1">
    <w:name w:val="WW8Num7z1"/>
    <w:qFormat/>
    <w:rPr/>
  </w:style>
  <w:style w:type="character" w:styleId="WW8Num8z0">
    <w:name w:val="WW8Num8z0"/>
    <w:qFormat/>
    <w:rPr>
      <w:rFonts w:ascii="Wingdings" w:hAnsi="Wingdings" w:cs="Wingdings"/>
    </w:rPr>
  </w:style>
  <w:style w:type="character" w:styleId="WW8Num8z1">
    <w:name w:val="WW8Num8z1"/>
    <w:qFormat/>
    <w:rPr>
      <w:rFonts w:ascii="Courier New" w:hAnsi="Courier New" w:cs="Courier New"/>
    </w:rPr>
  </w:style>
  <w:style w:type="character" w:styleId="WW8Num8z3">
    <w:name w:val="WW8Num8z3"/>
    <w:qFormat/>
    <w:rPr>
      <w:rFonts w:ascii="Symbol" w:hAnsi="Symbol" w:cs="Symbol"/>
    </w:rPr>
  </w:style>
  <w:style w:type="character" w:styleId="WW8Num9z0">
    <w:name w:val="WW8Num9z0"/>
    <w:qFormat/>
    <w:rPr/>
  </w:style>
  <w:style w:type="character" w:styleId="WW8Num10z0">
    <w:name w:val="WW8Num10z0"/>
    <w:qFormat/>
    <w:rPr/>
  </w:style>
  <w:style w:type="character" w:styleId="WW8Num11z0">
    <w:name w:val="WW8Num11z0"/>
    <w:qFormat/>
    <w:rPr/>
  </w:style>
  <w:style w:type="character" w:styleId="WW8Num12z0">
    <w:name w:val="WW8Num12z0"/>
    <w:qFormat/>
    <w:rPr/>
  </w:style>
  <w:style w:type="character" w:styleId="WW8Num13z0">
    <w:name w:val="WW8Num13z0"/>
    <w:qFormat/>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Fontepargpadro">
    <w:name w:val="Fonte parág. padrão"/>
    <w:qFormat/>
    <w:rPr/>
  </w:style>
  <w:style w:type="character" w:styleId="Ttulo1Char">
    <w:name w:val="Título 1 Char"/>
    <w:qFormat/>
    <w:rPr>
      <w:rFonts w:ascii="Calibri Light" w:hAnsi="Calibri Light" w:eastAsia="Times New Roman" w:cs="Calibri Light"/>
      <w:b/>
      <w:bCs/>
      <w:color w:val="2E74B5"/>
      <w:sz w:val="28"/>
      <w:szCs w:val="28"/>
    </w:rPr>
  </w:style>
  <w:style w:type="character" w:styleId="Ttulo2Char">
    <w:name w:val="Título 2 Char"/>
    <w:qFormat/>
    <w:rPr>
      <w:rFonts w:ascii="Times New Roman" w:hAnsi="Times New Roman" w:eastAsia="Times New Roman" w:cs="Times New Roman"/>
      <w:b/>
      <w:bCs/>
      <w:sz w:val="36"/>
      <w:szCs w:val="36"/>
    </w:rPr>
  </w:style>
  <w:style w:type="character" w:styleId="CabealhoChar">
    <w:name w:val="Cabeçalho Char"/>
    <w:basedOn w:val="Fontepargpadro"/>
    <w:qFormat/>
    <w:rPr/>
  </w:style>
  <w:style w:type="character" w:styleId="RodapChar">
    <w:name w:val="Rodapé Char"/>
    <w:basedOn w:val="Fontepargpadro"/>
    <w:qFormat/>
    <w:rPr/>
  </w:style>
  <w:style w:type="character" w:styleId="TextodebaloChar">
    <w:name w:val="Texto de balão Char"/>
    <w:qFormat/>
    <w:rPr>
      <w:rFonts w:ascii="Tahoma" w:hAnsi="Tahoma" w:cs="Tahoma"/>
      <w:sz w:val="16"/>
      <w:szCs w:val="16"/>
    </w:rPr>
  </w:style>
  <w:style w:type="character" w:styleId="Corpodetexto3Char">
    <w:name w:val="Corpo de texto 3 Char"/>
    <w:qFormat/>
    <w:rPr>
      <w:rFonts w:ascii="Antique Olive" w:hAnsi="Antique Olive" w:eastAsia="Times New Roman" w:cs="Antique Olive"/>
      <w:b/>
      <w:sz w:val="22"/>
    </w:rPr>
  </w:style>
  <w:style w:type="character" w:styleId="RecuodecorpodetextoChar">
    <w:name w:val="Recuo de corpo de texto Char"/>
    <w:qFormat/>
    <w:rPr>
      <w:sz w:val="22"/>
      <w:szCs w:val="22"/>
      <w:lang w:val="en-US"/>
    </w:rPr>
  </w:style>
  <w:style w:type="character" w:styleId="CorpodetextoChar">
    <w:name w:val="Corpo de texto Char"/>
    <w:qFormat/>
    <w:rPr>
      <w:sz w:val="22"/>
      <w:szCs w:val="22"/>
      <w:lang w:val="en-US"/>
    </w:rPr>
  </w:style>
  <w:style w:type="character" w:styleId="Recuodecorpodetexto2Char">
    <w:name w:val="Recuo de corpo de texto 2 Char"/>
    <w:qFormat/>
    <w:rPr>
      <w:rFonts w:ascii="Times New Roman" w:hAnsi="Times New Roman" w:eastAsia="Times New Roman" w:cs="Times New Roman"/>
    </w:rPr>
  </w:style>
  <w:style w:type="character" w:styleId="Recuodecorpodetexto3Char">
    <w:name w:val="Recuo de corpo de texto 3 Char"/>
    <w:qFormat/>
    <w:rPr>
      <w:rFonts w:ascii="Times New Roman" w:hAnsi="Times New Roman" w:eastAsia="Times New Roman" w:cs="Times New Roman"/>
      <w:sz w:val="16"/>
      <w:szCs w:val="16"/>
    </w:rPr>
  </w:style>
  <w:style w:type="character" w:styleId="Corpodetexto2Char">
    <w:name w:val="Corpo de texto 2 Char"/>
    <w:qFormat/>
    <w:rPr>
      <w:rFonts w:ascii="Times New Roman" w:hAnsi="Times New Roman" w:eastAsia="Times New Roman" w:cs="Times New Roman"/>
    </w:rPr>
  </w:style>
  <w:style w:type="character" w:styleId="TextodenotaderodapChar">
    <w:name w:val="Texto de nota de rodapé Char"/>
    <w:qFormat/>
    <w:rPr>
      <w:rFonts w:ascii="Times New Roman" w:hAnsi="Times New Roman" w:eastAsia="Times New Roman" w:cs="Times New Roman"/>
    </w:rPr>
  </w:style>
  <w:style w:type="character" w:styleId="FootnoteCharacters">
    <w:name w:val="Footnote Characters"/>
    <w:qFormat/>
    <w:rPr>
      <w:vertAlign w:val="superscript"/>
    </w:rPr>
  </w:style>
  <w:style w:type="character" w:styleId="Hyperlink">
    <w:name w:val="Hyperlink"/>
    <w:rPr>
      <w:color w:val="0000FF"/>
      <w:u w:val="single"/>
    </w:rPr>
  </w:style>
  <w:style w:type="character" w:styleId="grame">
    <w:name w:val="grame"/>
    <w:qFormat/>
    <w:rPr/>
  </w:style>
  <w:style w:type="character" w:styleId="Strong">
    <w:name w:val="Strong"/>
    <w:qFormat/>
    <w:rPr>
      <w:b/>
      <w:bCs/>
    </w:rPr>
  </w:style>
  <w:style w:type="character" w:styleId="Emphasis">
    <w:name w:val="Emphasis"/>
    <w:qFormat/>
    <w:rPr>
      <w:i/>
      <w:iCs/>
    </w:rPr>
  </w:style>
  <w:style w:type="character" w:styleId="apple-converted-space">
    <w:name w:val="apple-converted-space"/>
    <w:basedOn w:val="Fontepargpadro"/>
    <w:qFormat/>
    <w:rPr/>
  </w:style>
  <w:style w:type="character" w:styleId="adtext">
    <w:name w:val="adtext"/>
    <w:basedOn w:val="Fontepargpadro"/>
    <w:qFormat/>
    <w:rPr/>
  </w:style>
  <w:style w:type="character" w:styleId="titulopaginas">
    <w:name w:val="titulo_paginas"/>
    <w:basedOn w:val="Fontepargpadro"/>
    <w:qFormat/>
    <w:rPr/>
  </w:style>
  <w:style w:type="character" w:styleId="cite">
    <w:name w:val="cite"/>
    <w:basedOn w:val="Fontepargpadro"/>
    <w:qFormat/>
    <w:rPr/>
  </w:style>
  <w:style w:type="character" w:styleId="MenoPendente">
    <w:name w:val="Menção Pendente"/>
    <w:qFormat/>
    <w:rPr>
      <w:color w:val="605E5C"/>
      <w:shd w:fill="E1DFDD" w:val="clear"/>
    </w:rPr>
  </w:style>
  <w:style w:type="character" w:styleId="PargrafodaListaChar">
    <w:name w:val="Parágrafo da Lista Char"/>
    <w:qFormat/>
    <w:rPr>
      <w:sz w:val="22"/>
      <w:szCs w:val="22"/>
    </w:rPr>
  </w:style>
  <w:style w:type="character" w:styleId="Link">
    <w:name w:val="Link"/>
    <w:qFormat/>
    <w:rPr>
      <w:color w:val="0563C1"/>
      <w:u w:val="single" w:color="0563C1"/>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before="0" w:after="12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spacing w:lineRule="auto" w:line="240"/>
    </w:pPr>
    <w:rPr/>
  </w:style>
  <w:style w:type="paragraph" w:styleId="Footer">
    <w:name w:val="Footer"/>
    <w:basedOn w:val="Normal"/>
    <w:pPr>
      <w:spacing w:lineRule="auto" w:line="240"/>
    </w:pPr>
    <w:rPr/>
  </w:style>
  <w:style w:type="paragraph" w:styleId="Textodebalo">
    <w:name w:val="Texto de balão"/>
    <w:basedOn w:val="Normal"/>
    <w:qFormat/>
    <w:pPr>
      <w:spacing w:lineRule="auto" w:line="240"/>
    </w:pPr>
    <w:rPr>
      <w:rFonts w:ascii="Tahoma" w:hAnsi="Tahoma" w:cs="Tahoma"/>
      <w:sz w:val="16"/>
      <w:szCs w:val="16"/>
    </w:rPr>
  </w:style>
  <w:style w:type="paragraph" w:styleId="PARAGRAFO">
    <w:name w:val="PARAGRAFO"/>
    <w:qFormat/>
    <w:pPr>
      <w:widowControl w:val="false"/>
      <w:overflowPunct w:val="false"/>
      <w:autoSpaceDE w:val="false"/>
      <w:bidi w:val="0"/>
      <w:ind w:firstLine="3600" w:start="0" w:end="288"/>
      <w:jc w:val="both"/>
    </w:pPr>
    <w:rPr>
      <w:rFonts w:ascii="Arial" w:hAnsi="Arial" w:eastAsia="Times New Roman" w:cs="Arial"/>
      <w:color w:val="000000"/>
      <w:sz w:val="24"/>
      <w:szCs w:val="20"/>
      <w:lang w:val="pt-BR" w:bidi="ar-SA" w:eastAsia="zh-CN"/>
    </w:rPr>
  </w:style>
  <w:style w:type="paragraph" w:styleId="FREE">
    <w:name w:val="FREE"/>
    <w:qFormat/>
    <w:pPr>
      <w:widowControl w:val="false"/>
      <w:bidi w:val="0"/>
      <w:jc w:val="both"/>
    </w:pPr>
    <w:rPr>
      <w:rFonts w:ascii="Arial" w:hAnsi="Arial" w:eastAsia="Times New Roman" w:cs="Arial"/>
      <w:color w:val="000000"/>
      <w:sz w:val="24"/>
      <w:szCs w:val="20"/>
      <w:lang w:val="pt-BR" w:bidi="ar-SA" w:eastAsia="zh-CN"/>
    </w:rPr>
  </w:style>
  <w:style w:type="paragraph" w:styleId="Corpodetexto3">
    <w:name w:val="Corpo de texto 3"/>
    <w:basedOn w:val="Normal"/>
    <w:qFormat/>
    <w:pPr>
      <w:spacing w:lineRule="auto" w:line="360"/>
      <w:jc w:val="both"/>
    </w:pPr>
    <w:rPr>
      <w:rFonts w:ascii="Antique Olive" w:hAnsi="Antique Olive" w:eastAsia="Times New Roman" w:cs="Antique Olive"/>
      <w:b/>
      <w:szCs w:val="20"/>
    </w:rPr>
  </w:style>
  <w:style w:type="paragraph" w:styleId="BodyTextIndent">
    <w:name w:val="Body Text Indent"/>
    <w:basedOn w:val="Normal"/>
    <w:pPr>
      <w:spacing w:before="0" w:after="120"/>
      <w:ind w:hanging="0" w:start="283" w:end="0"/>
    </w:pPr>
    <w:rPr/>
  </w:style>
  <w:style w:type="paragraph" w:styleId="Corpodetexto21">
    <w:name w:val="Corpo de texto 21"/>
    <w:basedOn w:val="Normal"/>
    <w:qFormat/>
    <w:pPr>
      <w:suppressAutoHyphens w:val="true"/>
      <w:spacing w:lineRule="auto" w:line="240"/>
      <w:ind w:firstLine="1418" w:start="0" w:end="0"/>
      <w:jc w:val="both"/>
    </w:pPr>
    <w:rPr>
      <w:rFonts w:ascii="Times New Roman" w:hAnsi="Times New Roman" w:eastAsia="Times New Roman" w:cs="Times New Roman"/>
      <w:sz w:val="28"/>
      <w:szCs w:val="20"/>
      <w:lang w:val="pt-BR"/>
    </w:rPr>
  </w:style>
  <w:style w:type="paragraph" w:styleId="PADRAO">
    <w:name w:val="PADRAO"/>
    <w:qFormat/>
    <w:pPr>
      <w:widowControl w:val="false"/>
      <w:bidi w:val="0"/>
      <w:jc w:val="both"/>
    </w:pPr>
    <w:rPr>
      <w:rFonts w:ascii="Arial" w:hAnsi="Arial" w:eastAsia="Times New Roman" w:cs="Arial"/>
      <w:color w:val="000000"/>
      <w:sz w:val="24"/>
      <w:szCs w:val="20"/>
      <w:lang w:val="pt-BR" w:bidi="ar-SA" w:eastAsia="zh-CN"/>
    </w:rPr>
  </w:style>
  <w:style w:type="paragraph" w:styleId="Recuodecorpodetexto2">
    <w:name w:val="Recuo de corpo de texto 2"/>
    <w:basedOn w:val="Normal"/>
    <w:qFormat/>
    <w:pPr>
      <w:spacing w:lineRule="auto" w:line="480" w:before="0" w:after="120"/>
      <w:ind w:hanging="0" w:start="283" w:end="0"/>
    </w:pPr>
    <w:rPr>
      <w:rFonts w:ascii="Times New Roman" w:hAnsi="Times New Roman" w:eastAsia="Times New Roman" w:cs="Times New Roman"/>
      <w:sz w:val="20"/>
      <w:szCs w:val="20"/>
    </w:rPr>
  </w:style>
  <w:style w:type="paragraph" w:styleId="Recuodecorpodetexto3">
    <w:name w:val="Recuo de corpo de texto 3"/>
    <w:basedOn w:val="Normal"/>
    <w:qFormat/>
    <w:pPr>
      <w:spacing w:lineRule="auto" w:line="240" w:before="0" w:after="120"/>
      <w:ind w:hanging="0" w:start="283" w:end="0"/>
    </w:pPr>
    <w:rPr>
      <w:rFonts w:ascii="Times New Roman" w:hAnsi="Times New Roman" w:eastAsia="Times New Roman" w:cs="Times New Roman"/>
      <w:sz w:val="16"/>
      <w:szCs w:val="16"/>
    </w:rPr>
  </w:style>
  <w:style w:type="paragraph" w:styleId="Corpodetexto2">
    <w:name w:val="Corpo de texto 2"/>
    <w:basedOn w:val="Normal"/>
    <w:qFormat/>
    <w:pPr>
      <w:spacing w:lineRule="auto" w:line="480" w:before="0" w:after="120"/>
    </w:pPr>
    <w:rPr>
      <w:rFonts w:ascii="Times New Roman" w:hAnsi="Times New Roman" w:eastAsia="Times New Roman" w:cs="Times New Roman"/>
      <w:sz w:val="20"/>
      <w:szCs w:val="20"/>
    </w:rPr>
  </w:style>
  <w:style w:type="paragraph" w:styleId="NormalWeb">
    <w:name w:val="Normal (Web)"/>
    <w:basedOn w:val="Normal"/>
    <w:qFormat/>
    <w:pPr>
      <w:spacing w:lineRule="auto" w:line="240" w:before="280" w:after="280"/>
    </w:pPr>
    <w:rPr>
      <w:rFonts w:ascii="Times New Roman" w:hAnsi="Times New Roman" w:eastAsia="Times New Roman" w:cs="Times New Roman"/>
      <w:sz w:val="24"/>
      <w:szCs w:val="24"/>
      <w:lang w:val="pt-BR"/>
    </w:rPr>
  </w:style>
  <w:style w:type="paragraph" w:styleId="FootnoteText">
    <w:name w:val="Footnote Text"/>
    <w:basedOn w:val="Normal"/>
    <w:pPr>
      <w:spacing w:lineRule="auto" w:line="240"/>
    </w:pPr>
    <w:rPr>
      <w:rFonts w:ascii="Times New Roman" w:hAnsi="Times New Roman" w:eastAsia="Times New Roman" w:cs="Times New Roman"/>
      <w:sz w:val="20"/>
      <w:szCs w:val="20"/>
    </w:rPr>
  </w:style>
  <w:style w:type="paragraph" w:styleId="Recuodecorpodetexto22">
    <w:name w:val="Recuo de corpo de texto 22"/>
    <w:basedOn w:val="Normal"/>
    <w:qFormat/>
    <w:pPr>
      <w:suppressAutoHyphens w:val="true"/>
      <w:spacing w:lineRule="auto" w:line="480" w:before="0" w:after="120"/>
      <w:ind w:hanging="0" w:start="283" w:end="0"/>
    </w:pPr>
    <w:rPr>
      <w:rFonts w:ascii="Times New Roman" w:hAnsi="Times New Roman" w:eastAsia="Times New Roman" w:cs="Times New Roman"/>
      <w:sz w:val="24"/>
      <w:szCs w:val="24"/>
      <w:lang w:val="pt-BR"/>
    </w:rPr>
  </w:style>
  <w:style w:type="paragraph" w:styleId="corpo">
    <w:name w:val="corpo"/>
    <w:basedOn w:val="Normal"/>
    <w:qFormat/>
    <w:pPr>
      <w:spacing w:lineRule="auto" w:line="240" w:before="280" w:after="280"/>
    </w:pPr>
    <w:rPr>
      <w:rFonts w:ascii="Times New Roman" w:hAnsi="Times New Roman" w:eastAsia="Times New Roman" w:cs="Times New Roman"/>
      <w:sz w:val="24"/>
      <w:szCs w:val="24"/>
      <w:lang w:val="pt-BR"/>
    </w:rPr>
  </w:style>
  <w:style w:type="paragraph" w:styleId="PargrafodaLista">
    <w:name w:val="Parágrafo da Lista"/>
    <w:basedOn w:val="Normal"/>
    <w:qFormat/>
    <w:pPr>
      <w:spacing w:lineRule="auto" w:line="256" w:before="0" w:after="160"/>
      <w:ind w:hanging="0" w:start="720" w:end="0"/>
      <w:contextualSpacing/>
    </w:pPr>
    <w:rPr>
      <w:lang w:val="pt-BR"/>
    </w:rPr>
  </w:style>
  <w:style w:type="paragraph" w:styleId="spip">
    <w:name w:val="spip"/>
    <w:basedOn w:val="Normal"/>
    <w:qFormat/>
    <w:pPr>
      <w:spacing w:lineRule="auto" w:line="240" w:before="280" w:after="280"/>
    </w:pPr>
    <w:rPr>
      <w:rFonts w:ascii="Times New Roman" w:hAnsi="Times New Roman" w:eastAsia="Times New Roman" w:cs="Times New Roman"/>
      <w:sz w:val="24"/>
      <w:szCs w:val="24"/>
      <w:lang w:val="pt-BR"/>
    </w:rPr>
  </w:style>
  <w:style w:type="paragraph" w:styleId="temapn">
    <w:name w:val="temapn"/>
    <w:basedOn w:val="Normal"/>
    <w:qFormat/>
    <w:pPr>
      <w:spacing w:lineRule="auto" w:line="240" w:before="280" w:after="280"/>
    </w:pPr>
    <w:rPr>
      <w:rFonts w:ascii="Times New Roman" w:hAnsi="Times New Roman" w:eastAsia="Times New Roman" w:cs="Times New Roman"/>
      <w:sz w:val="24"/>
      <w:szCs w:val="24"/>
      <w:lang w:val="pt-BR"/>
    </w:rPr>
  </w:style>
  <w:style w:type="paragraph" w:styleId="textoenun">
    <w:name w:val="textoenun"/>
    <w:basedOn w:val="Normal"/>
    <w:qFormat/>
    <w:pPr>
      <w:spacing w:lineRule="auto" w:line="240" w:before="280" w:after="280"/>
    </w:pPr>
    <w:rPr>
      <w:rFonts w:ascii="Times New Roman" w:hAnsi="Times New Roman" w:eastAsia="Times New Roman" w:cs="Times New Roman"/>
      <w:sz w:val="24"/>
      <w:szCs w:val="24"/>
      <w:lang w:val="pt-BR"/>
    </w:rPr>
  </w:style>
  <w:style w:type="paragraph" w:styleId="Style12">
    <w:name w:val="Style 1"/>
    <w:qFormat/>
    <w:pPr>
      <w:widowControl w:val="false"/>
      <w:autoSpaceDE w:val="false"/>
      <w:bidi w:val="0"/>
    </w:pPr>
    <w:rPr>
      <w:rFonts w:ascii="Times New Roman" w:hAnsi="Times New Roman" w:eastAsia="Times New Roman" w:cs="Times New Roman"/>
      <w:color w:val="auto"/>
      <w:sz w:val="20"/>
      <w:szCs w:val="20"/>
      <w:lang w:val="pt-BR" w:bidi="ar-SA" w:eastAsia="zh-CN"/>
    </w:rPr>
  </w:style>
  <w:style w:type="paragraph" w:styleId="p2">
    <w:name w:val="p2"/>
    <w:basedOn w:val="Normal"/>
    <w:qFormat/>
    <w:pPr>
      <w:widowControl w:val="false"/>
      <w:autoSpaceDE w:val="false"/>
      <w:spacing w:lineRule="atLeast" w:line="272"/>
    </w:pPr>
    <w:rPr>
      <w:rFonts w:ascii="Times New Roman" w:hAnsi="Times New Roman" w:eastAsia="Times New Roman" w:cs="Times New Roman"/>
      <w:sz w:val="24"/>
      <w:szCs w:val="24"/>
    </w:rPr>
  </w:style>
  <w:style w:type="paragraph" w:styleId="Pa3">
    <w:name w:val="Pa3"/>
    <w:basedOn w:val="Normal"/>
    <w:next w:val="Normal"/>
    <w:qFormat/>
    <w:pPr>
      <w:autoSpaceDE w:val="false"/>
      <w:spacing w:lineRule="atLeast" w:line="241"/>
    </w:pPr>
    <w:rPr>
      <w:rFonts w:ascii="Helvetica" w:hAnsi="Helvetica" w:eastAsia="Times New Roman" w:cs="Helvetica"/>
      <w:sz w:val="20"/>
      <w:szCs w:val="24"/>
      <w:lang w:val="pt-BR"/>
    </w:rPr>
  </w:style>
  <w:style w:type="paragraph" w:styleId="Padro">
    <w:name w:val="Padrão"/>
    <w:qFormat/>
    <w:pPr>
      <w:widowControl w:val="false"/>
      <w:tabs>
        <w:tab w:val="clear" w:pos="720"/>
        <w:tab w:val="left" w:pos="708" w:leader="none"/>
      </w:tabs>
      <w:suppressAutoHyphens w:val="true"/>
      <w:bidi w:val="0"/>
      <w:spacing w:lineRule="auto" w:line="276" w:before="0" w:after="200"/>
    </w:pPr>
    <w:rPr>
      <w:rFonts w:ascii="Times New Roman" w:hAnsi="Times New Roman" w:eastAsia="Lucida Sans Unicode" w:cs="Tahoma"/>
      <w:color w:val="00000A"/>
      <w:sz w:val="24"/>
      <w:szCs w:val="24"/>
      <w:lang w:val="pt-BR" w:eastAsia="zh-CN" w:bidi="hi-IN"/>
    </w:rPr>
  </w:style>
  <w:style w:type="paragraph" w:styleId="cab">
    <w:name w:val="cab"/>
    <w:basedOn w:val="Normal"/>
    <w:qFormat/>
    <w:pPr>
      <w:spacing w:lineRule="auto" w:line="240" w:before="280" w:after="280"/>
    </w:pPr>
    <w:rPr>
      <w:rFonts w:ascii="Times New Roman" w:hAnsi="Times New Roman" w:eastAsia="Times New Roman" w:cs="Times New Roman"/>
      <w:sz w:val="24"/>
      <w:szCs w:val="24"/>
      <w:lang w:val="pt-BR"/>
    </w:rPr>
  </w:style>
  <w:style w:type="paragraph" w:styleId="par">
    <w:name w:val="par"/>
    <w:basedOn w:val="Normal"/>
    <w:qFormat/>
    <w:pPr>
      <w:spacing w:lineRule="auto" w:line="240" w:before="280" w:after="280"/>
    </w:pPr>
    <w:rPr>
      <w:rFonts w:ascii="Times New Roman" w:hAnsi="Times New Roman" w:eastAsia="Times New Roman" w:cs="Times New Roman"/>
      <w:sz w:val="24"/>
      <w:szCs w:val="24"/>
      <w:lang w:val="pt-BR"/>
    </w:rPr>
  </w:style>
  <w:style w:type="paragraph" w:styleId="Default">
    <w:name w:val="Default"/>
    <w:qFormat/>
    <w:pPr>
      <w:widowControl/>
      <w:autoSpaceDE w:val="false"/>
      <w:bidi w:val="0"/>
    </w:pPr>
    <w:rPr>
      <w:rFonts w:ascii="Calibri" w:hAnsi="Calibri" w:eastAsia="Calibri" w:cs="Calibri"/>
      <w:color w:val="000000"/>
      <w:sz w:val="24"/>
      <w:szCs w:val="24"/>
      <w:lang w:val="pt-BR" w:bidi="ar-SA" w:eastAsia="zh-CN"/>
    </w:rPr>
  </w:style>
  <w:style w:type="paragraph" w:styleId="TextBody">
    <w:name w:val="Text Body"/>
    <w:basedOn w:val="Normal"/>
    <w:qFormat/>
    <w:pPr>
      <w:widowControl w:val="false"/>
      <w:suppressAutoHyphens w:val="true"/>
      <w:spacing w:lineRule="auto" w:line="360" w:before="397" w:after="397"/>
      <w:jc w:val="both"/>
    </w:pPr>
    <w:rPr>
      <w:rFonts w:ascii="Times New Roman" w:hAnsi="Times New Roman" w:eastAsia="Times New Roman" w:cs="Times New Roman"/>
      <w:sz w:val="24"/>
      <w:szCs w:val="24"/>
      <w:lang w:val="pt-BR" w:eastAsia="zh-CN" w:bidi="hi-IN"/>
    </w:rPr>
  </w:style>
  <w:style w:type="paragraph" w:styleId="artigo">
    <w:name w:val="artigo"/>
    <w:basedOn w:val="Normal"/>
    <w:qFormat/>
    <w:pPr>
      <w:spacing w:lineRule="auto" w:line="240" w:before="280" w:after="280"/>
    </w:pPr>
    <w:rPr>
      <w:rFonts w:ascii="Times New Roman" w:hAnsi="Times New Roman" w:eastAsia="Times New Roman" w:cs="Times New Roman"/>
      <w:sz w:val="24"/>
      <w:szCs w:val="24"/>
      <w:lang w:val="pt-BR"/>
    </w:rPr>
  </w:style>
  <w:style w:type="paragraph" w:styleId="Pargrafo">
    <w:name w:val="Parágrafo"/>
    <w:basedOn w:val="Normal"/>
    <w:qFormat/>
    <w:pPr>
      <w:widowControl w:val="false"/>
      <w:spacing w:lineRule="auto" w:line="240"/>
      <w:ind w:firstLine="3515" w:start="0" w:end="0"/>
      <w:jc w:val="both"/>
    </w:pPr>
    <w:rPr>
      <w:rFonts w:ascii="Bookman Old Style" w:hAnsi="Bookman Old Style" w:eastAsia="Times New Roman" w:cs="Bookman Old Style"/>
      <w:sz w:val="24"/>
      <w:szCs w:val="20"/>
      <w:lang w:val="pt-BR"/>
    </w:rPr>
  </w:style>
  <w:style w:type="paragraph" w:styleId="BlockQuote">
    <w:name w:val="Block Quote"/>
    <w:basedOn w:val="Normal"/>
    <w:next w:val="Normal"/>
    <w:qFormat/>
    <w:pPr>
      <w:spacing w:lineRule="auto" w:line="240" w:before="100" w:after="100"/>
    </w:pPr>
    <w:rPr>
      <w:rFonts w:eastAsia="Times New Roman"/>
      <w:bCs/>
      <w:sz w:val="20"/>
      <w:szCs w:val="20"/>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juridico@bentesramos.adv.br" TargetMode="External"/><Relationship Id="rId3" Type="http://schemas.openxmlformats.org/officeDocument/2006/relationships/hyperlink" Target="mailto:juridico@bentesramos.adv.br" TargetMode="Externa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s>
</file>

<file path=word/_rels/header1.xml.rels><?xml version="1.0" encoding="UTF-8"?><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2026-01-17T02:39:00Z</dcterms:created>
  <dc:creator>arte-02</dc:creator>
  <dc:description/>
  <cp:keywords/>
  <dc:language>en-US</dc:language>
  <cp:lastModifiedBy>Andrey Ramos</cp:lastModifiedBy>
  <cp:lastPrinted>2026-01-06T22:33:00Z</cp:lastPrinted>
  <dcterms:modified xsi:type="dcterms:W3CDTF">2026-01-17T02:39:00Z</dcterms:modified>
  <cp:revision>2</cp:revision>
  <dc:subject/>
  <dc:title/>
</cp:coreProperties>
</file>