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header1.xml.rels" ContentType="application/vnd.openxmlformats-package.relationships+xml"/>
  <Override PartName="/word/_rels/document.xml.rels" ContentType="application/vnd.openxmlformats-package.relationships+xml"/>
  <Override PartName="/word/media/image1.png" ContentType="image/png"/>
  <Override PartName="/word/media/image2.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jc w:val="both"/>
        <w:rPr/>
      </w:pPr>
      <w:r>
        <w:rPr>
          <w:rFonts w:cs="Calibri"/>
          <w:b/>
          <w:lang w:val="pt-BR"/>
        </w:rPr>
        <w:t>EXCELENTÍSSIMO(A) SENHOR(A) DOUTOR(A) JUIZ(A) DE DIREITO DA M.M. {{VARA_JUIZO}}</w:t>
      </w:r>
    </w:p>
    <w:p>
      <w:pPr>
        <w:pStyle w:val="Normal"/>
        <w:spacing w:lineRule="auto" w:line="300"/>
        <w:jc w:val="both"/>
        <w:rPr>
          <w:rFonts w:cs="Calibri"/>
          <w:b/>
          <w:lang w:val="pt-BR"/>
        </w:rPr>
      </w:pPr>
      <w:r>
        <w:rPr>
          <w:rFonts w:cs="Calibri"/>
          <w:b/>
          <w:lang w:val="pt-BR"/>
        </w:rPr>
      </w:r>
    </w:p>
    <w:p>
      <w:pPr>
        <w:pStyle w:val="Normal"/>
        <w:spacing w:lineRule="auto" w:line="300"/>
        <w:jc w:val="both"/>
        <w:rPr>
          <w:rFonts w:cs="Calibri"/>
          <w:b/>
          <w:lang w:val="pt-BR"/>
        </w:rPr>
      </w:pPr>
      <w:r>
        <w:rPr>
          <w:rFonts w:cs="Calibri"/>
          <w:b/>
          <w:lang w:val="pt-BR"/>
        </w:rPr>
      </w:r>
    </w:p>
    <w:p>
      <w:pPr>
        <w:pStyle w:val="Normal"/>
        <w:spacing w:lineRule="auto" w:line="300"/>
        <w:jc w:val="both"/>
        <w:rPr>
          <w:rFonts w:cs="Calibri"/>
          <w:b/>
          <w:lang w:val="pt-BR"/>
        </w:rPr>
      </w:pPr>
      <w:r>
        <w:rPr>
          <w:rFonts w:cs="Calibri"/>
          <w:b/>
          <w:lang w:val="pt-BR"/>
        </w:rPr>
      </w:r>
    </w:p>
    <w:p>
      <w:pPr>
        <w:pStyle w:val="Default"/>
        <w:spacing w:lineRule="auto" w:line="300"/>
        <w:ind w:firstLine="2835" w:end="0"/>
        <w:jc w:val="both"/>
        <w:rPr>
          <w:rFonts w:cs="Calibri"/>
          <w:b/>
          <w:sz w:val="22"/>
          <w:szCs w:val="22"/>
          <w:lang w:val="pt-BR"/>
        </w:rPr>
      </w:pPr>
      <w:r>
        <w:rPr>
          <w:rFonts w:cs="Calibri"/>
          <w:b/>
          <w:sz w:val="22"/>
          <w:szCs w:val="22"/>
          <w:lang w:val="pt-BR"/>
        </w:rPr>
      </w:r>
    </w:p>
    <w:p>
      <w:pPr>
        <w:pStyle w:val="Default"/>
        <w:spacing w:lineRule="auto" w:line="300"/>
        <w:ind w:firstLine="2835" w:end="0"/>
        <w:jc w:val="both"/>
        <w:rPr>
          <w:b/>
          <w:sz w:val="22"/>
          <w:szCs w:val="22"/>
        </w:rPr>
      </w:pPr>
      <w:r>
        <w:rPr>
          <w:b/>
          <w:sz w:val="22"/>
          <w:szCs w:val="22"/>
        </w:rPr>
      </w:r>
    </w:p>
    <w:p>
      <w:pPr>
        <w:pStyle w:val="Normal"/>
        <w:spacing w:lineRule="auto" w:line="300"/>
        <w:jc w:val="both"/>
        <w:rPr>
          <w:rFonts w:cs="Calibri"/>
          <w:b/>
          <w:sz w:val="22"/>
          <w:szCs w:val="22"/>
          <w:lang w:val="pt-BR"/>
        </w:rPr>
      </w:pPr>
      <w:r>
        <w:rPr>
          <w:rFonts w:cs="Calibri"/>
          <w:b/>
          <w:sz w:val="22"/>
          <w:szCs w:val="22"/>
          <w:lang w:val="pt-BR"/>
        </w:rPr>
      </w:r>
    </w:p>
    <w:p>
      <w:pPr>
        <w:pStyle w:val="Normal"/>
        <w:spacing w:lineRule="auto" w:line="300"/>
        <w:jc w:val="both"/>
        <w:rPr>
          <w:rFonts w:cs="Calibri"/>
          <w:b/>
          <w:lang w:val="pt-BR"/>
        </w:rPr>
      </w:pPr>
      <w:r>
        <w:rPr>
          <w:rFonts w:cs="Calibri"/>
          <w:b/>
          <w:lang w:val="pt-BR"/>
        </w:rPr>
      </w:r>
    </w:p>
    <w:p>
      <w:pPr>
        <w:pStyle w:val="Normal"/>
        <w:spacing w:lineRule="auto" w:line="300"/>
        <w:jc w:val="both"/>
        <w:rPr>
          <w:rFonts w:cs="Calibri"/>
          <w:b/>
          <w:lang w:val="pt-BR"/>
        </w:rPr>
      </w:pPr>
      <w:r>
        <w:rPr>
          <w:rFonts w:cs="Calibri"/>
          <w:b/>
          <w:lang w:val="pt-BR"/>
        </w:rPr>
      </w:r>
    </w:p>
    <w:p>
      <w:pPr>
        <w:pStyle w:val="Normal"/>
        <w:spacing w:lineRule="auto" w:line="300"/>
        <w:ind w:firstLine="1418" w:end="0"/>
        <w:jc w:val="both"/>
        <w:rPr>
          <w:rFonts w:cs="Calibri"/>
          <w:color w:val="000000"/>
          <w:lang w:val="pt-BR"/>
        </w:rPr>
      </w:pPr>
      <w:bookmarkStart w:id="0" w:name="_Hlk198289192"/>
      <w:r>
        <w:rPr>
          <w:rFonts w:cs="Calibri"/>
          <w:b/>
          <w:color w:val="000000"/>
          <w:lang w:val="pt-BR"/>
        </w:rPr>
        <w:t>{{NOME_COMPLETO}},</w:t>
      </w:r>
      <w:r>
        <w:rPr>
          <w:rFonts w:cs="Calibri"/>
          <w:color w:val="000000"/>
          <w:lang w:val="pt-BR"/>
        </w:rPr>
        <w:t xml:space="preserve"> {{QUALIFICACAO}}, detentor do Registro Geral n° {{DOC_ID}}, residente e domiciliado na {{ENDERECO_CLIENTE}}, por intermédio de seus advogados infra-assinados (procuração em anexo), </w:t>
      </w:r>
      <w:r>
        <w:rPr>
          <w:rFonts w:cs="Calibri"/>
          <w:lang w:val="pt-BR"/>
        </w:rPr>
        <w:t xml:space="preserve">com escritório profissional situado na Rua Salvador, n˚ 120, sala 708, 7˚ andar – Edifício Vieiralves Business Center, bairro: Adrianópolis, Manaus/AM – Cep: 69.079-210, endereço eletrônico </w:t>
      </w:r>
      <w:hyperlink r:id="rId2">
        <w:r>
          <w:rPr>
            <w:rStyle w:val="Hyperlink"/>
            <w:rFonts w:cs="Calibri"/>
            <w:b/>
            <w:lang w:val="pt-BR"/>
          </w:rPr>
          <w:t>juridico@bentesramos.adv.br</w:t>
        </w:r>
      </w:hyperlink>
      <w:r>
        <w:rPr>
          <w:rFonts w:cs="Calibri"/>
          <w:color w:val="000000"/>
          <w:lang w:val="pt-BR"/>
        </w:rPr>
        <w:t xml:space="preserve"> e </w:t>
      </w:r>
      <w:r>
        <w:rPr>
          <w:rFonts w:cs="Calibri"/>
          <w:b/>
          <w:bCs/>
          <w:color w:val="000000"/>
          <w:lang w:val="pt-BR"/>
        </w:rPr>
        <w:t>WhatsApp (92) 99160-4348 / 98223-7330</w:t>
      </w:r>
      <w:r>
        <w:rPr>
          <w:rFonts w:cs="Calibri"/>
          <w:color w:val="000000"/>
          <w:lang w:val="pt-BR"/>
        </w:rPr>
        <w:t>, onde recebem intimações e demais comunicações processuais, vem, com o devido respeito, à presença de Vossa Excelência, propor a presente</w:t>
      </w:r>
      <w:bookmarkEnd w:id="0"/>
    </w:p>
    <w:p>
      <w:pPr>
        <w:pStyle w:val="Normal"/>
        <w:spacing w:lineRule="auto" w:line="300"/>
        <w:jc w:val="both"/>
        <w:rPr>
          <w:rFonts w:cs="Calibri"/>
          <w:color w:val="000000"/>
          <w:lang w:val="pt-BR"/>
        </w:rPr>
      </w:pPr>
      <w:r>
        <w:rPr>
          <w:rFonts w:cs="Calibri"/>
          <w:color w:val="000000"/>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center"/>
        <w:rPr>
          <w:rFonts w:cs="Calibri"/>
          <w:b/>
          <w:lang w:val="pt-BR"/>
        </w:rPr>
      </w:pPr>
      <w:r>
        <w:rPr>
          <w:rFonts w:cs="Calibri"/>
          <w:b/>
          <w:lang w:val="pt-BR"/>
        </w:rPr>
        <w:t>{{TIPO_ACAO}}</w:t>
      </w:r>
    </w:p>
    <w:p>
      <w:pPr>
        <w:pStyle w:val="Normal"/>
        <w:spacing w:lineRule="auto" w:line="300"/>
        <w:jc w:val="center"/>
        <w:rPr>
          <w:rFonts w:cs="Calibri"/>
          <w:b/>
          <w:lang w:val="pt-BR"/>
        </w:rPr>
      </w:pPr>
      <w:r>
        <w:rPr>
          <w:rFonts w:cs="Calibri"/>
          <w:b/>
          <w:lang w:val="pt-BR"/>
        </w:rPr>
      </w:r>
    </w:p>
    <w:p>
      <w:pPr>
        <w:pStyle w:val="Normal"/>
        <w:spacing w:lineRule="auto" w:line="300"/>
        <w:jc w:val="both"/>
        <w:rPr>
          <w:rFonts w:cs="Calibri"/>
          <w:b/>
          <w:lang w:val="pt-BR"/>
        </w:rPr>
      </w:pPr>
      <w:r>
        <w:rPr>
          <w:rFonts w:cs="Calibri"/>
          <w:lang w:val="pt-BR"/>
        </w:rPr>
        <w:t xml:space="preserve">em face de </w:t>
      </w:r>
      <w:r>
        <w:rPr>
          <w:rFonts w:cs="Calibri"/>
          <w:b/>
          <w:lang w:val="pt-BR"/>
        </w:rPr>
        <w:t>{{REU_NOME}}</w:t>
      </w:r>
      <w:r>
        <w:rPr>
          <w:rFonts w:cs="Calibri"/>
          <w:lang w:val="pt-BR"/>
        </w:rPr>
        <w:t>, pessoa jurídica de direito privado, inscrito no CNPJ sob o n° {{REU_CNPJ}}, com endereço a {{REU_ENDERECO}}, pelos fatos e fundamentos a seguir expostos:</w:t>
      </w:r>
    </w:p>
    <w:p>
      <w:pPr>
        <w:pStyle w:val="Normal"/>
        <w:spacing w:lineRule="auto" w:line="300"/>
        <w:jc w:val="both"/>
        <w:rPr>
          <w:rFonts w:cs="Calibri"/>
          <w:b/>
          <w:lang w:val="pt-BR"/>
        </w:rPr>
      </w:pPr>
      <w:r>
        <w:rPr>
          <w:rFonts w:cs="Calibri"/>
          <w:b/>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center"/>
        <w:rPr>
          <w:rFonts w:cs="Calibri"/>
          <w:b/>
          <w:lang w:val="pt-BR"/>
        </w:rPr>
      </w:pPr>
      <w:r>
        <w:rPr>
          <w:rFonts w:cs="Calibri"/>
          <w:b/>
          <w:lang w:val="pt-BR"/>
        </w:rPr>
        <w:t>1 – DOS REQUERIMENTOS PRÉVIOS</w:t>
      </w:r>
    </w:p>
    <w:p>
      <w:pPr>
        <w:pStyle w:val="Normal"/>
        <w:tabs>
          <w:tab w:val="clear" w:pos="720"/>
          <w:tab w:val="left" w:pos="2694" w:leader="none"/>
        </w:tabs>
        <w:spacing w:lineRule="auto" w:line="300"/>
        <w:jc w:val="both"/>
        <w:rPr>
          <w:rFonts w:cs="Calibri"/>
          <w:b/>
          <w:lang w:val="pt-BR"/>
        </w:rPr>
      </w:pPr>
      <w:r>
        <w:rPr>
          <w:rFonts w:cs="Calibri"/>
          <w:b/>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rPr/>
      </w:pPr>
      <w:r>
        <w:rPr>
          <w:rFonts w:cs="Calibri"/>
          <w:b/>
          <w:lang w:val="pt-BR"/>
        </w:rPr>
        <w:t>1.1 - DA CONCESSÃO DO BENEFÍCIO DA JUSTIÇA GRATUITA</w:t>
      </w:r>
    </w:p>
    <w:p>
      <w:pPr>
        <w:pStyle w:val="Normal"/>
        <w:spacing w:lineRule="auto" w:line="300"/>
        <w:jc w:val="both"/>
        <w:rPr>
          <w:rFonts w:cs="Calibri"/>
          <w:b/>
          <w:lang w:val="pt-BR"/>
        </w:rPr>
      </w:pPr>
      <w:r>
        <w:rPr>
          <w:rFonts w:cs="Calibri"/>
          <w:b/>
          <w:lang w:val="pt-BR"/>
        </w:rPr>
      </w:r>
    </w:p>
    <w:p>
      <w:pPr>
        <w:pStyle w:val="Normal"/>
        <w:spacing w:lineRule="auto" w:line="300"/>
        <w:ind w:firstLine="1418" w:end="0"/>
        <w:jc w:val="both"/>
        <w:rPr>
          <w:rFonts w:cs="Calibri"/>
          <w:lang w:val="pt-BR"/>
        </w:rPr>
      </w:pPr>
      <w:r>
        <w:rPr>
          <w:rFonts w:cs="Calibri"/>
          <w:lang w:val="pt-BR"/>
        </w:rPr>
        <w:t>A parte requerente requer a concessão dos benefícios da gratuidade da justiça, por não possuir condições financeiras de arcar com custas e despesas processuais sem comprometer o próprio sustento e o de sua família, conforme declaração de hipossuficiência em anexo.</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 xml:space="preserve">O pleito encontra respaldo no art. 5º, inciso LXXIV, da Constituição Federal, segundo o qual </w:t>
      </w:r>
      <w:r>
        <w:rPr>
          <w:rFonts w:cs="Calibri"/>
          <w:i/>
          <w:iCs/>
          <w:lang w:val="pt-BR"/>
        </w:rPr>
        <w:t>“o Estado prestará assistência jurídica integral e gratuita aos que comprovarem insuficiência de recursos”</w:t>
      </w:r>
      <w:r>
        <w:rPr>
          <w:rFonts w:cs="Calibri"/>
          <w:lang w:val="pt-BR"/>
        </w:rPr>
        <w:t>. Além disso, o art. 5º, inciso XXXV, da CF/88 assegura o acesso à justiça como direito fundamental e indispensável ao exercício da cidadania.</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cs="Calibri"/>
          <w:lang w:val="pt-BR"/>
        </w:rPr>
        <w:t>No âmbito estadual, a Constituição do Estado do Amazonas, em seu art. 9º, I, garante ao consumidor o direito à assistência jurídica integral e gratuita, reforçando a tutela ao hipossuficiente em demandas de consumo.</w:t>
      </w:r>
    </w:p>
    <w:p>
      <w:pPr>
        <w:pStyle w:val="Normal"/>
        <w:spacing w:lineRule="auto" w:line="300"/>
        <w:ind w:firstLine="1418" w:end="0"/>
        <w:jc w:val="both"/>
        <w:rPr>
          <w:rFonts w:cs="Calibri"/>
          <w:lang w:val="pt-BR"/>
        </w:rPr>
      </w:pPr>
      <w:r>
        <w:rPr>
          <w:rFonts w:cs="Calibri"/>
          <w:lang w:val="pt-BR"/>
        </w:rPr>
      </w:r>
    </w:p>
    <w:p>
      <w:pPr>
        <w:pStyle w:val="Normal"/>
        <w:spacing w:lineRule="auto" w:line="240"/>
        <w:ind w:start="2268" w:end="0"/>
        <w:jc w:val="both"/>
        <w:rPr>
          <w:rFonts w:cs="Calibri"/>
          <w:b/>
          <w:bCs/>
          <w:sz w:val="20"/>
          <w:szCs w:val="20"/>
          <w:lang w:val="pt-BR"/>
        </w:rPr>
      </w:pPr>
      <w:r>
        <w:rPr>
          <w:rFonts w:cs="Calibri"/>
          <w:b/>
          <w:bCs/>
          <w:sz w:val="20"/>
          <w:szCs w:val="20"/>
          <w:lang w:val="pt-BR"/>
        </w:rPr>
        <w:t>CAPÍTULO III – DA DEFESA DO CONSUMIDOR</w:t>
      </w:r>
    </w:p>
    <w:p>
      <w:pPr>
        <w:pStyle w:val="Normal"/>
        <w:spacing w:lineRule="auto" w:line="240"/>
        <w:ind w:start="2268" w:end="0"/>
        <w:jc w:val="both"/>
        <w:rPr>
          <w:rFonts w:cs="Calibri"/>
          <w:b/>
          <w:bCs/>
          <w:sz w:val="20"/>
          <w:szCs w:val="20"/>
          <w:lang w:val="pt-BR"/>
        </w:rPr>
      </w:pPr>
      <w:r>
        <w:rPr>
          <w:rFonts w:cs="Calibri"/>
          <w:b/>
          <w:bCs/>
          <w:sz w:val="20"/>
          <w:szCs w:val="20"/>
          <w:lang w:val="pt-BR"/>
        </w:rPr>
      </w:r>
    </w:p>
    <w:p>
      <w:pPr>
        <w:pStyle w:val="Normal"/>
        <w:spacing w:lineRule="auto" w:line="240"/>
        <w:ind w:start="2268" w:end="0"/>
        <w:jc w:val="both"/>
        <w:rPr/>
      </w:pPr>
      <w:r>
        <w:rPr>
          <w:rFonts w:cs="Calibri"/>
          <w:sz w:val="20"/>
          <w:szCs w:val="20"/>
          <w:lang w:val="pt-BR"/>
        </w:rPr>
        <w:t xml:space="preserve">Art. 9° O </w:t>
      </w:r>
      <w:r>
        <w:rPr>
          <w:rFonts w:cs="Calibri"/>
          <w:b/>
          <w:bCs/>
          <w:sz w:val="20"/>
          <w:szCs w:val="20"/>
          <w:lang w:val="pt-BR"/>
        </w:rPr>
        <w:t>consumidor</w:t>
      </w:r>
      <w:r>
        <w:rPr>
          <w:rFonts w:cs="Calibri"/>
          <w:sz w:val="20"/>
          <w:szCs w:val="20"/>
          <w:lang w:val="pt-BR"/>
        </w:rPr>
        <w:t xml:space="preserve"> tem direito à proteção do Estado e do Município, assegurada a sua defesa, dentre outras formas estabelecidas em lei, por meio de:</w:t>
      </w:r>
    </w:p>
    <w:p>
      <w:pPr>
        <w:pStyle w:val="Normal"/>
        <w:spacing w:lineRule="auto" w:line="240"/>
        <w:ind w:start="2268" w:end="0"/>
        <w:jc w:val="both"/>
        <w:rPr>
          <w:rFonts w:cs="Calibri"/>
          <w:b/>
          <w:bCs/>
          <w:sz w:val="20"/>
          <w:szCs w:val="20"/>
          <w:lang w:val="pt-BR"/>
        </w:rPr>
      </w:pPr>
      <w:r>
        <w:rPr>
          <w:rFonts w:cs="Calibri"/>
          <w:b/>
          <w:bCs/>
          <w:sz w:val="20"/>
          <w:szCs w:val="20"/>
          <w:lang w:val="pt-BR"/>
        </w:rPr>
      </w:r>
    </w:p>
    <w:p>
      <w:pPr>
        <w:pStyle w:val="Normal"/>
        <w:spacing w:lineRule="auto" w:line="240"/>
        <w:ind w:start="2268" w:end="0"/>
        <w:jc w:val="both"/>
        <w:rPr/>
      </w:pPr>
      <w:r>
        <w:rPr>
          <w:rFonts w:cs="Calibri"/>
          <w:b/>
          <w:bCs/>
          <w:sz w:val="20"/>
          <w:szCs w:val="20"/>
          <w:lang w:val="pt-BR"/>
        </w:rPr>
        <w:t>I – assistência jurídica, integral e gratuita para o consumidor</w:t>
      </w:r>
      <w:r>
        <w:rPr>
          <w:rFonts w:cs="Calibri"/>
          <w:sz w:val="20"/>
          <w:szCs w:val="20"/>
          <w:lang w:val="pt-BR"/>
        </w:rPr>
        <w:t>; (grifo nosso)</w:t>
      </w:r>
    </w:p>
    <w:p>
      <w:pPr>
        <w:pStyle w:val="Normal"/>
        <w:spacing w:lineRule="auto" w:line="300"/>
        <w:ind w:firstLine="1418" w:end="0"/>
        <w:jc w:val="both"/>
        <w:rPr>
          <w:rFonts w:cs="Calibri"/>
          <w:sz w:val="20"/>
          <w:szCs w:val="20"/>
          <w:lang w:val="pt-BR"/>
        </w:rPr>
      </w:pPr>
      <w:r>
        <w:rPr>
          <w:rFonts w:cs="Calibri"/>
          <w:sz w:val="20"/>
          <w:szCs w:val="20"/>
          <w:lang w:val="pt-BR"/>
        </w:rPr>
      </w:r>
    </w:p>
    <w:p>
      <w:pPr>
        <w:pStyle w:val="BlockQuote"/>
        <w:spacing w:lineRule="auto" w:line="300" w:before="0" w:after="0"/>
        <w:ind w:firstLine="1418" w:end="0"/>
        <w:jc w:val="both"/>
        <w:rPr>
          <w:rFonts w:eastAsia="Calibri" w:cs="Calibri"/>
          <w:bCs w:val="false"/>
          <w:sz w:val="22"/>
          <w:szCs w:val="22"/>
          <w:lang w:val="pt-BR"/>
        </w:rPr>
      </w:pPr>
      <w:r>
        <w:rPr>
          <w:rFonts w:eastAsia="Calibri" w:cs="Calibri"/>
          <w:bCs w:val="false"/>
          <w:sz w:val="22"/>
          <w:szCs w:val="22"/>
          <w:lang w:val="pt-BR"/>
        </w:rPr>
        <w:t>A disciplina infraconstitucional da matéria encontra-se nos arts. 98 a 102 do CPC/2015, que asseguram a gratuidade a toda pessoa física ou jurídica que comprove insuficiência de recursos. O próprio art. 99, §3º, do CPC dispõe que a alegação de hipossuficiência econômica apresentada pela parte goza de presunção de veracidade.</w:t>
      </w:r>
    </w:p>
    <w:p>
      <w:pPr>
        <w:pStyle w:val="Normal"/>
        <w:spacing w:lineRule="auto" w:line="300"/>
        <w:rPr>
          <w:rFonts w:eastAsia="Calibri" w:cs="Calibri"/>
          <w:bCs/>
          <w:sz w:val="22"/>
          <w:szCs w:val="22"/>
          <w:lang w:val="pt-BR"/>
        </w:rPr>
      </w:pPr>
      <w:r>
        <w:rPr>
          <w:rFonts w:eastAsia="Calibri" w:cs="Calibri"/>
          <w:bCs/>
          <w:sz w:val="22"/>
          <w:szCs w:val="22"/>
          <w:lang w:val="pt-BR"/>
        </w:rPr>
      </w:r>
    </w:p>
    <w:p>
      <w:pPr>
        <w:pStyle w:val="Normal"/>
        <w:spacing w:lineRule="auto" w:line="300"/>
        <w:ind w:firstLine="1418" w:end="0"/>
        <w:jc w:val="both"/>
        <w:rPr/>
      </w:pPr>
      <w:r>
        <w:rPr>
          <w:rFonts w:cs="Calibri"/>
          <w:lang w:val="pt-BR"/>
        </w:rPr>
        <w:t>Ressalte-se, ainda, que o simples fato de a parte estar representada por advogado particular não afasta o direito à gratuidade (art. 99, §4º, do CPC), entendimento já pacificado na jurisprudência.</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 xml:space="preserve">Assim, demonstrada a impossibilidade financeira da requerente e atendidos os requisitos legais, impõe-se o </w:t>
      </w:r>
      <w:r>
        <w:rPr>
          <w:rFonts w:cs="Calibri"/>
          <w:b/>
          <w:bCs/>
          <w:lang w:val="pt-BR"/>
        </w:rPr>
        <w:t>deferimento da gratuidade da justiça</w:t>
      </w:r>
      <w:r>
        <w:rPr>
          <w:rFonts w:cs="Calibri"/>
          <w:lang w:val="pt-BR"/>
        </w:rPr>
        <w:t xml:space="preserve"> em sua integralidade, permitindo-lhe o pleno acesso à tutela jurisdicional, nos termos do art. 5º, LXXIV, da CF/88, do art. 9º, I, da CE/AM e dos arts. 98 e seguintes do CPC/2015.</w:t>
      </w:r>
    </w:p>
    <w:p>
      <w:pPr>
        <w:pStyle w:val="Normal"/>
        <w:spacing w:lineRule="auto" w:line="300"/>
        <w:ind w:firstLine="1985" w:end="0"/>
        <w:jc w:val="both"/>
        <w:rPr>
          <w:rFonts w:cs="Calibri"/>
          <w:lang w:val="pt-BR"/>
        </w:rPr>
      </w:pPr>
      <w:r>
        <w:rPr>
          <w:rFonts w:cs="Calibri"/>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rPr/>
      </w:pPr>
      <w:r>
        <w:rPr>
          <w:rFonts w:cs="Calibri"/>
          <w:b/>
          <w:lang w:val="pt-BR"/>
        </w:rPr>
        <w:t>1.2 - DA DECLARAÇÃO DE AUTENTICIDADE DOS DOCUMENTOS JUNTADOS</w:t>
      </w:r>
    </w:p>
    <w:p>
      <w:pPr>
        <w:pStyle w:val="Normal"/>
        <w:spacing w:lineRule="auto" w:line="300"/>
        <w:jc w:val="both"/>
        <w:rPr>
          <w:rFonts w:cs="Calibri"/>
          <w:b/>
          <w:lang w:val="pt-BR"/>
        </w:rPr>
      </w:pPr>
      <w:r>
        <w:rPr>
          <w:rFonts w:cs="Calibri"/>
          <w:b/>
          <w:lang w:val="pt-BR"/>
        </w:rPr>
      </w:r>
    </w:p>
    <w:p>
      <w:pPr>
        <w:pStyle w:val="Normal"/>
        <w:spacing w:lineRule="auto" w:line="300"/>
        <w:ind w:firstLine="1418" w:end="0"/>
        <w:jc w:val="both"/>
        <w:rPr>
          <w:rFonts w:cs="Calibri"/>
          <w:lang w:val="pt-BR"/>
        </w:rPr>
      </w:pPr>
      <w:r>
        <w:rPr>
          <w:rFonts w:cs="Calibri"/>
          <w:lang w:val="pt-BR"/>
        </w:rPr>
        <w:t>Nos termos do art. 425, inciso IV, do CPC/2015, os patronos da parte requerente declaram a autenticidade de todos os documentos apresentados em cópia simples, assegurando que estes conferem fielmente com os respectivos originais, que permanecem sob sua guarda e responsabilidade, comprometendo-se a apresentá-los em juízo, caso assim seja determinado.</w:t>
      </w:r>
    </w:p>
    <w:p>
      <w:pPr>
        <w:pStyle w:val="Normal"/>
        <w:spacing w:lineRule="auto" w:line="300"/>
        <w:ind w:firstLine="1418" w:end="0"/>
        <w:jc w:val="both"/>
        <w:rPr>
          <w:rFonts w:cs="Calibri"/>
          <w:lang w:val="pt-BR"/>
        </w:rPr>
      </w:pPr>
      <w:r>
        <w:rPr>
          <w:rFonts w:cs="Calibri"/>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both"/>
        <w:rPr/>
      </w:pPr>
      <w:r>
        <w:rPr>
          <w:rFonts w:cs="Calibri"/>
          <w:b/>
          <w:lang w:val="pt-BR"/>
        </w:rPr>
        <w:t>1.3 – DA AUDIÊNCIA DE CONCILIAÇÃO E OPÇÃO PELO JUÍZO 100% DIGITAL</w:t>
      </w:r>
    </w:p>
    <w:p>
      <w:pPr>
        <w:pStyle w:val="Normal"/>
        <w:spacing w:lineRule="auto" w:line="300"/>
        <w:ind w:firstLine="2835" w:end="0"/>
        <w:jc w:val="both"/>
        <w:rPr>
          <w:rFonts w:cs="Calibri"/>
          <w:b/>
          <w:lang w:val="pt-BR"/>
        </w:rPr>
      </w:pPr>
      <w:r>
        <w:rPr>
          <w:rFonts w:cs="Calibri"/>
          <w:b/>
          <w:lang w:val="pt-BR"/>
        </w:rPr>
      </w:r>
    </w:p>
    <w:p>
      <w:pPr>
        <w:pStyle w:val="Normal"/>
        <w:spacing w:lineRule="auto" w:line="300"/>
        <w:ind w:firstLine="1418" w:end="0"/>
        <w:jc w:val="both"/>
        <w:rPr/>
      </w:pPr>
      <w:r>
        <w:rPr>
          <w:rFonts w:cs="Calibri"/>
          <w:lang w:val="pt-BR"/>
        </w:rPr>
        <w:t>A parte requerente manifesta interesse na autocomposição e não se opõe à designação de audiência de conciliação, nos termos dos arts. 3º, §§2º e 3º, e 334 do CPC.</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cs="Calibri"/>
          <w:lang w:val="pt-BR"/>
        </w:rPr>
        <w:t>Requer, desde já, que a audiência seja realizada por videoconferência e que o feito tramite no Juízo 100% Digital, com a prática de todos os atos processuais por meio eletrônico, conforme Resolução CNJ nº 345/2020 (art. 3º) e Portaria TJAM nº 2330/2020.</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 xml:space="preserve">Para o encaminhamento do link de acesso e comunicações operacionais, indica-se o e-mail: </w:t>
      </w:r>
      <w:hyperlink r:id="rId3">
        <w:r>
          <w:rPr>
            <w:rStyle w:val="Hyperlink"/>
            <w:rFonts w:cs="Calibri"/>
            <w:b/>
            <w:bCs/>
            <w:lang w:val="pt-BR"/>
          </w:rPr>
          <w:t>juridico@bentesramos.adv.br</w:t>
        </w:r>
      </w:hyperlink>
      <w:r>
        <w:rPr>
          <w:rFonts w:cs="Calibri"/>
          <w:lang w:val="pt-BR"/>
        </w:rPr>
        <w:t>.</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cs="Calibri"/>
          <w:lang w:val="pt-BR"/>
        </w:rPr>
        <w:t>Subsidiariamente, caso o juízo entenda inviável a modalidade virtual, requer-se a designação de ato presencial, em pauta compatível com as partes e patronos.</w:t>
      </w:r>
    </w:p>
    <w:p>
      <w:pPr>
        <w:pStyle w:val="Normal"/>
        <w:spacing w:lineRule="auto" w:line="300"/>
        <w:jc w:val="both"/>
        <w:rPr>
          <w:rFonts w:cs="Calibri"/>
          <w:lang w:val="pt-BR"/>
        </w:rPr>
      </w:pPr>
      <w:r>
        <w:rPr>
          <w:rFonts w:cs="Calibri"/>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center"/>
        <w:rPr>
          <w:rFonts w:cs="Calibri"/>
          <w:b/>
          <w:u w:val="single"/>
          <w:lang w:val="pt-BR"/>
        </w:rPr>
      </w:pPr>
      <w:r>
        <w:rPr>
          <w:rFonts w:cs="Calibri"/>
          <w:b/>
          <w:lang w:val="pt-BR"/>
        </w:rPr>
        <w:t>2 – DOS FATOS</w:t>
      </w:r>
    </w:p>
    <w:p>
      <w:pPr>
        <w:pStyle w:val="Normal"/>
        <w:spacing w:lineRule="auto" w:line="300"/>
        <w:jc w:val="both"/>
        <w:rPr>
          <w:rFonts w:cs="Calibri"/>
          <w:b/>
          <w:u w:val="single"/>
          <w:lang w:val="pt-BR"/>
        </w:rPr>
      </w:pPr>
      <w:r>
        <w:rPr>
          <w:rFonts w:cs="Calibri"/>
          <w:b/>
          <w:u w:val="single"/>
          <w:lang w:val="pt-BR"/>
        </w:rPr>
      </w:r>
    </w:p>
    <w:p>
      <w:pPr>
        <w:pStyle w:val="Normal"/>
        <w:spacing w:lineRule="auto" w:line="300"/>
        <w:ind w:firstLine="1418" w:end="0"/>
        <w:jc w:val="both"/>
        <w:rPr/>
      </w:pPr>
      <w:r>
        <w:rPr>
          <w:rFonts w:cs="Calibri"/>
          <w:lang w:val="pt-BR"/>
        </w:rPr>
        <w:t xml:space="preserve">A parte requerente celebrou </w:t>
      </w:r>
      <w:r>
        <w:rPr>
          <w:rFonts w:cs="Calibri"/>
          <w:b/>
          <w:bCs/>
          <w:lang w:val="pt-BR"/>
        </w:rPr>
        <w:t>contrato de renegociação de empréstimo consignado nº ________,</w:t>
      </w:r>
      <w:r>
        <w:rPr>
          <w:rFonts w:cs="Calibri"/>
          <w:lang w:val="pt-BR"/>
        </w:rPr>
        <w:t xml:space="preserve"> no valor de </w:t>
      </w:r>
      <w:r>
        <w:rPr>
          <w:rFonts w:cs="Calibri"/>
          <w:b/>
          <w:bCs/>
          <w:lang w:val="pt-BR"/>
        </w:rPr>
        <w:t>R$ ________</w:t>
      </w:r>
      <w:r>
        <w:rPr>
          <w:rFonts w:cs="Calibri"/>
          <w:lang w:val="pt-BR"/>
        </w:rPr>
        <w:t xml:space="preserve">, já incluído todas as taxas e impostos. Contudo, a liberação do crédito foi condicionada à contratação de produto não desejado denominado de </w:t>
      </w:r>
      <w:r>
        <w:rPr>
          <w:rFonts w:cs="Calibri"/>
          <w:b/>
          <w:bCs/>
          <w:lang w:val="pt-BR"/>
        </w:rPr>
        <w:t>“Seguro Consignado Protegido”</w:t>
      </w:r>
      <w:r>
        <w:rPr>
          <w:rFonts w:cs="Calibri"/>
          <w:lang w:val="pt-BR"/>
        </w:rPr>
        <w:t xml:space="preserve"> no valor de </w:t>
      </w:r>
      <w:r>
        <w:rPr>
          <w:rFonts w:cs="Calibri"/>
          <w:b/>
          <w:bCs/>
          <w:lang w:val="pt-BR"/>
        </w:rPr>
        <w:t>R$ ________ (________)</w:t>
      </w:r>
      <w:r>
        <w:rPr>
          <w:rFonts w:cs="Calibri"/>
          <w:lang w:val="pt-BR"/>
        </w:rPr>
        <w:t xml:space="preserve"> embutido no próprio contrato, conforme documento anexo.</w:t>
      </w:r>
    </w:p>
    <w:p>
      <w:pPr>
        <w:pStyle w:val="Normal"/>
        <w:spacing w:lineRule="auto" w:line="300"/>
        <w:jc w:val="both"/>
        <w:rPr>
          <w:rFonts w:cs="Calibri"/>
          <w:bCs/>
          <w:lang w:val="pt-BR"/>
        </w:rPr>
      </w:pPr>
      <w:r>
        <w:rPr>
          <w:rFonts w:cs="Calibri"/>
          <w:bCs/>
          <w:lang w:val="pt-BR"/>
        </w:rPr>
      </w:r>
    </w:p>
    <w:p>
      <w:pPr>
        <w:pStyle w:val="Normal"/>
        <w:spacing w:lineRule="auto" w:line="300"/>
        <w:jc w:val="center"/>
        <w:rPr>
          <w:rFonts w:cs="Calibri"/>
          <w:bCs/>
          <w:lang w:val="pt-BR"/>
        </w:rPr>
      </w:pPr>
      <w:r>
        <w:rPr>
          <w:rFonts w:cs="Calibri"/>
          <w:lang w:val="pt-BR" w:eastAsia="en-US"/>
        </w:rPr>
        <mc:AlternateContent>
          <mc:Choice Requires="wps">
            <w:drawing>
              <wp:anchor behindDoc="0" distT="0" distB="0" distL="114935" distR="114935" simplePos="0" locked="0" layoutInCell="1" allowOverlap="1" relativeHeight="20">
                <wp:simplePos x="0" y="0"/>
                <wp:positionH relativeFrom="column">
                  <wp:posOffset>409575</wp:posOffset>
                </wp:positionH>
                <wp:positionV relativeFrom="paragraph">
                  <wp:posOffset>1132840</wp:posOffset>
                </wp:positionV>
                <wp:extent cx="4213860" cy="153670"/>
                <wp:effectExtent l="6350" t="6350" r="19050" b="28575"/>
                <wp:wrapNone/>
                <wp:docPr id="1" name=""/>
                <a:graphic xmlns:a="http://schemas.openxmlformats.org/drawingml/2006/main">
                  <a:graphicData uri="http://schemas.microsoft.com/office/word/2010/wordprocessingShape">
                    <wps:wsp>
                      <wps:cNvSpPr/>
                      <wps:spPr>
                        <a:xfrm>
                          <a:off x="0" y="0"/>
                          <a:ext cx="4213800" cy="153720"/>
                        </a:xfrm>
                        <a:prstGeom prst="rect">
                          <a:avLst/>
                        </a:prstGeom>
                        <a:noFill/>
                        <a:ln w="12600">
                          <a:solidFill>
                            <a:srgbClr val="ee0000"/>
                          </a:solidFill>
                          <a:miter/>
                        </a:ln>
                        <a:effectLst>
                          <a:outerShdw dist="25630" dir="3633274" blurRad="0" rotWithShape="0">
                            <a:srgbClr val="4f1548">
                              <a:alpha val="50000"/>
                            </a:srgbClr>
                          </a:outerShdw>
                        </a:effectLst>
                      </wps:spPr>
                      <wps:style>
                        <a:lnRef idx="0"/>
                        <a:fillRef idx="0"/>
                        <a:effectRef idx="0"/>
                        <a:fontRef idx="minor"/>
                      </wps:style>
                      <wps:bodyPr/>
                    </wps:wsp>
                  </a:graphicData>
                </a:graphic>
              </wp:anchor>
            </w:drawing>
          </mc:Choice>
          <mc:Fallback>
            <w:pict>
              <v:rect id="shape_0" stroked="t" o:allowincell="f" style="position:absolute;margin-left:32.25pt;margin-top:89.2pt;width:331.75pt;height:12.05pt;mso-wrap-style:none;v-text-anchor:middle">
                <v:fill o:detectmouseclick="t" on="false"/>
                <v:stroke color="#ee0000" weight="12600" joinstyle="miter" endcap="flat"/>
                <v:shadow on="t" obscured="f" color="#4f1548"/>
                <w10:wrap type="none"/>
              </v:rect>
            </w:pict>
          </mc:Fallback>
        </mc:AlternateContent>
        <w:drawing>
          <wp:inline distT="0" distB="0" distL="0" distR="0">
            <wp:extent cx="5191760" cy="2753360"/>
            <wp:effectExtent l="0" t="0" r="0" b="0"/>
            <wp:docPr id="2" name="Imagem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descr="" title=""/>
                    <pic:cNvPicPr>
                      <a:picLocks noChangeAspect="1" noChangeArrowheads="1"/>
                    </pic:cNvPicPr>
                  </pic:nvPicPr>
                  <pic:blipFill>
                    <a:blip r:embed="rId4"/>
                    <a:srcRect l="-7" t="-13" r="-7" b="-13"/>
                    <a:stretch>
                      <a:fillRect/>
                    </a:stretch>
                  </pic:blipFill>
                  <pic:spPr bwMode="auto">
                    <a:xfrm>
                      <a:off x="0" y="0"/>
                      <a:ext cx="5191760" cy="2753360"/>
                    </a:xfrm>
                    <a:prstGeom prst="rect">
                      <a:avLst/>
                    </a:prstGeom>
                  </pic:spPr>
                </pic:pic>
              </a:graphicData>
            </a:graphic>
          </wp:inline>
        </w:drawing>
      </w:r>
    </w:p>
    <w:p>
      <w:pPr>
        <w:pStyle w:val="Normal"/>
        <w:spacing w:lineRule="auto" w:line="300"/>
        <w:jc w:val="both"/>
        <w:rPr>
          <w:rFonts w:cs="Calibri"/>
          <w:bCs/>
          <w:lang w:val="pt-BR"/>
        </w:rPr>
      </w:pPr>
      <w:r>
        <w:rPr>
          <w:rFonts w:cs="Calibri"/>
          <w:bCs/>
          <w:lang w:val="pt-BR"/>
        </w:rPr>
      </w:r>
    </w:p>
    <w:p>
      <w:pPr>
        <w:pStyle w:val="Normal"/>
        <w:spacing w:lineRule="auto" w:line="300"/>
        <w:ind w:firstLine="1418" w:end="0"/>
        <w:jc w:val="both"/>
        <w:rPr/>
      </w:pPr>
      <w:r>
        <w:rPr>
          <w:rFonts w:cs="Calibri"/>
          <w:bCs/>
          <w:lang w:val="pt-BR"/>
        </w:rPr>
        <w:t>A parte requerente manifestou expressamente que pretendia somente o empréstimo, por necessitar dos recursos para quitar compromissos pessoais. Ainda assim, foi informada de que sem a adesão ao seguro, o crédito não seria liberado. Não houve informação clara, adequada e prévia sobre a natureza, utilidade, custo e facultatividade do referido produto.</w:t>
      </w:r>
    </w:p>
    <w:p>
      <w:pPr>
        <w:pStyle w:val="Normal"/>
        <w:spacing w:lineRule="auto" w:line="300"/>
        <w:ind w:firstLine="1418" w:end="0"/>
        <w:jc w:val="both"/>
        <w:rPr>
          <w:rFonts w:cs="Calibri"/>
          <w:bCs/>
          <w:lang w:val="pt-BR"/>
        </w:rPr>
      </w:pPr>
      <w:r>
        <w:rPr>
          <w:rFonts w:cs="Calibri"/>
          <w:bCs/>
          <w:lang w:val="pt-BR"/>
        </w:rPr>
      </w:r>
    </w:p>
    <w:p>
      <w:pPr>
        <w:pStyle w:val="Normal"/>
        <w:spacing w:lineRule="auto" w:line="300"/>
        <w:ind w:firstLine="1418" w:end="0"/>
        <w:jc w:val="both"/>
        <w:rPr/>
      </w:pPr>
      <w:r>
        <w:rPr>
          <w:rFonts w:cs="Calibri"/>
          <w:bCs/>
          <w:lang w:val="pt-BR"/>
        </w:rPr>
        <w:t xml:space="preserve">Trata-se, portanto, de imposição contratual disfarçada, prática reiteradamente utilizada no mercado bancário, que subverte a lógica da liberdade contratual, viola a boa-fé objetiva e transfere ao consumidor encargos indevidos e não desejados. </w:t>
      </w:r>
    </w:p>
    <w:p>
      <w:pPr>
        <w:pStyle w:val="Normal"/>
        <w:spacing w:lineRule="auto" w:line="300"/>
        <w:ind w:firstLine="1418" w:end="0"/>
        <w:jc w:val="both"/>
        <w:rPr>
          <w:rFonts w:cs="Calibri"/>
          <w:bCs/>
          <w:lang w:val="pt-BR"/>
        </w:rPr>
      </w:pPr>
      <w:r>
        <w:rPr>
          <w:rFonts w:cs="Calibri"/>
          <w:bCs/>
          <w:lang w:val="pt-BR"/>
        </w:rPr>
      </w:r>
    </w:p>
    <w:p>
      <w:pPr>
        <w:pStyle w:val="Normal"/>
        <w:spacing w:lineRule="auto" w:line="300"/>
        <w:ind w:firstLine="1418" w:end="0"/>
        <w:jc w:val="both"/>
        <w:rPr>
          <w:rFonts w:cs="Calibri"/>
          <w:lang w:val="pt-BR"/>
        </w:rPr>
      </w:pPr>
      <w:r>
        <w:rPr>
          <w:rFonts w:cs="Calibri"/>
          <w:lang w:val="pt-BR"/>
        </w:rPr>
        <w:t>Tal conduta caracteriza prática abusiva de venda casada, vedada pelo art. 39, I, do CDC, e viola os deveres de informação e transparência (arts. 6º, III, 31 e 46 do CDC), além de ensejar a nulidade de cláusulas abusivas (art. 51, IV e §1º, II, do CDC). Registre-se que, nas relações bancárias, o CDC é plenamente aplicável (Súmula 297 do STJ).</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 xml:space="preserve">O Requerido reitera essa prática ao condicionar a </w:t>
      </w:r>
      <w:r>
        <w:rPr>
          <w:rFonts w:cs="Calibri"/>
          <w:b/>
          <w:bCs/>
          <w:lang w:val="pt-BR"/>
        </w:rPr>
        <w:t>liberação de empréstimo à aquisição de produto acessório</w:t>
      </w:r>
      <w:r>
        <w:rPr>
          <w:rFonts w:cs="Calibri"/>
          <w:lang w:val="pt-BR"/>
        </w:rPr>
        <w:t>, restringindo a liberdade de escolha do consumidor, parte mais vulnerável na relação (arts. 4º, I, e 6º, I, do CDC). A parte requerente discordou da imposição, mas, diante da necessidade imediata dos recursos, acabou por aderir ao seguro sem real vontade, não tendo recebido explicações suficientes sobre cobertura, carência, vigência, cancelamento e custo efetivo.</w:t>
      </w:r>
    </w:p>
    <w:p>
      <w:pPr>
        <w:pStyle w:val="Normal"/>
        <w:spacing w:lineRule="auto" w:line="300"/>
        <w:ind w:firstLine="1418" w:end="0"/>
        <w:jc w:val="both"/>
        <w:rPr>
          <w:rFonts w:cs="Calibri"/>
          <w:lang w:val="pt-BR"/>
        </w:rPr>
      </w:pPr>
      <w:r>
        <w:rPr>
          <w:rFonts w:cs="Calibri"/>
          <w:lang w:val="pt-BR"/>
        </w:rPr>
      </w:r>
    </w:p>
    <w:p>
      <w:pPr>
        <w:pStyle w:val="Padro"/>
        <w:tabs>
          <w:tab w:val="clear" w:pos="708"/>
          <w:tab w:val="left" w:pos="567" w:leader="none"/>
        </w:tabs>
        <w:spacing w:lineRule="auto" w:line="300" w:before="0" w:after="0"/>
        <w:ind w:firstLine="1418" w:end="0"/>
        <w:jc w:val="both"/>
        <w:rPr/>
      </w:pPr>
      <w:r>
        <w:rPr>
          <w:rFonts w:cs="Calibri" w:ascii="Calibri" w:hAnsi="Calibri"/>
          <w:color w:val="000000"/>
          <w:sz w:val="22"/>
          <w:szCs w:val="22"/>
        </w:rPr>
        <w:t>Diante desse quadro, resta evidenciada a conduta abusiva e ilícita do Requerido, impondo-se a reparação e a restituição do valor indevidamente cobrado, além da declaração de nulidade das cláusulas que condicionaram a contratação do seguro à liberação do empréstimo, como se demonstrará nos tópicos seguintes.</w:t>
      </w:r>
    </w:p>
    <w:p>
      <w:pPr>
        <w:pStyle w:val="Padro"/>
        <w:tabs>
          <w:tab w:val="clear" w:pos="708"/>
          <w:tab w:val="left" w:pos="567" w:leader="none"/>
        </w:tabs>
        <w:spacing w:lineRule="auto" w:line="300" w:before="0" w:after="0"/>
        <w:ind w:firstLine="1418" w:end="0"/>
        <w:jc w:val="both"/>
        <w:rPr>
          <w:rFonts w:ascii="Calibri" w:hAnsi="Calibri" w:cs="Calibri"/>
          <w:color w:val="000000"/>
          <w:sz w:val="22"/>
          <w:szCs w:val="22"/>
        </w:rPr>
      </w:pPr>
      <w:r>
        <w:rPr>
          <w:rFonts w:cs="Calibri" w:ascii="Calibri" w:hAnsi="Calibri"/>
          <w:color w:val="000000"/>
          <w:sz w:val="22"/>
          <w:szCs w:val="22"/>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center"/>
        <w:rPr>
          <w:rFonts w:cs="Calibri"/>
          <w:b/>
          <w:lang w:val="pt-BR"/>
        </w:rPr>
      </w:pPr>
      <w:r>
        <w:rPr>
          <w:rFonts w:cs="Calibri"/>
          <w:b/>
          <w:lang w:val="pt-BR"/>
        </w:rPr>
        <w:t>3 – DO DIREITO</w:t>
      </w:r>
    </w:p>
    <w:p>
      <w:pPr>
        <w:pStyle w:val="Normal"/>
        <w:spacing w:lineRule="auto" w:line="300"/>
        <w:ind w:firstLine="2268" w:start="-567" w:end="0"/>
        <w:jc w:val="both"/>
        <w:rPr>
          <w:rFonts w:cs="Calibri"/>
          <w:b/>
          <w:lang w:val="pt-BR"/>
        </w:rPr>
      </w:pPr>
      <w:r>
        <w:rPr>
          <w:rFonts w:cs="Calibri"/>
          <w:b/>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both"/>
        <w:rPr>
          <w:rFonts w:cs="Calibri"/>
          <w:b/>
          <w:lang w:val="pt-BR"/>
        </w:rPr>
      </w:pPr>
      <w:r>
        <w:rPr>
          <w:rFonts w:cs="Calibri"/>
          <w:b/>
          <w:lang w:val="pt-BR"/>
        </w:rPr>
        <w:t>3.1 – DA RELAÇÃO DE CONSUMO – INCIDÊNCIA DO CÓDIGO DE DEFESA DO CONSUMIDOR</w:t>
      </w:r>
    </w:p>
    <w:p>
      <w:pPr>
        <w:pStyle w:val="Normal"/>
        <w:spacing w:lineRule="auto" w:line="300"/>
        <w:jc w:val="both"/>
        <w:rPr>
          <w:rFonts w:cs="Calibri"/>
          <w:b/>
          <w:lang w:val="pt-BR"/>
        </w:rPr>
      </w:pPr>
      <w:r>
        <w:rPr>
          <w:rFonts w:cs="Calibri"/>
          <w:b/>
          <w:lang w:val="pt-BR"/>
        </w:rPr>
      </w:r>
    </w:p>
    <w:p>
      <w:pPr>
        <w:pStyle w:val="Normal"/>
        <w:spacing w:lineRule="auto" w:line="300"/>
        <w:ind w:firstLine="1418" w:end="0"/>
        <w:jc w:val="both"/>
        <w:rPr>
          <w:rFonts w:cs="Calibri"/>
          <w:lang w:val="pt-BR"/>
        </w:rPr>
      </w:pPr>
      <w:r>
        <w:rPr>
          <w:rFonts w:cs="Calibri"/>
          <w:lang w:val="pt-BR"/>
        </w:rPr>
        <w:t xml:space="preserve">Na pretensa demanda verifica-se a presença de uma relação de consumo, nos moldes estabelecidos no Código de Defesa do Consumidor, na qual o consumidor é a parte requerente, conforme preceitua o art. 2° do CDC. </w:t>
      </w:r>
    </w:p>
    <w:p>
      <w:pPr>
        <w:pStyle w:val="Normal"/>
        <w:spacing w:lineRule="auto" w:line="300"/>
        <w:ind w:firstLine="2835" w:end="0"/>
        <w:jc w:val="both"/>
        <w:rPr>
          <w:rFonts w:cs="Calibri"/>
          <w:lang w:val="pt-BR"/>
        </w:rPr>
      </w:pPr>
      <w:r>
        <w:rPr>
          <w:rFonts w:cs="Calibri"/>
          <w:lang w:val="pt-BR"/>
        </w:rPr>
      </w:r>
    </w:p>
    <w:p>
      <w:pPr>
        <w:pStyle w:val="Normal"/>
        <w:spacing w:lineRule="auto" w:line="240"/>
        <w:ind w:start="2268" w:end="0"/>
        <w:jc w:val="both"/>
        <w:rPr>
          <w:rFonts w:cs="Calibri"/>
          <w:sz w:val="20"/>
          <w:szCs w:val="20"/>
          <w:lang w:val="pt-BR"/>
        </w:rPr>
      </w:pPr>
      <w:r>
        <w:rPr>
          <w:rFonts w:cs="Calibri"/>
          <w:sz w:val="20"/>
          <w:szCs w:val="20"/>
          <w:lang w:val="pt-BR"/>
        </w:rPr>
        <w:t xml:space="preserve">Art. 2° do CDC – </w:t>
      </w:r>
      <w:r>
        <w:rPr>
          <w:rFonts w:cs="Calibri"/>
          <w:b/>
          <w:sz w:val="20"/>
          <w:szCs w:val="20"/>
          <w:lang w:val="pt-BR"/>
        </w:rPr>
        <w:t>Consumidor é toda pessoa física ou jurídica que adquire ou utilize produto ou serviço como destinatário final.</w:t>
      </w:r>
    </w:p>
    <w:p>
      <w:pPr>
        <w:pStyle w:val="Normal"/>
        <w:spacing w:lineRule="auto" w:line="240"/>
        <w:ind w:start="2268" w:end="0"/>
        <w:jc w:val="both"/>
        <w:rPr>
          <w:rFonts w:cs="Calibri"/>
          <w:sz w:val="20"/>
          <w:szCs w:val="20"/>
          <w:lang w:val="pt-BR"/>
        </w:rPr>
      </w:pPr>
      <w:r>
        <w:rPr>
          <w:rFonts w:cs="Calibri"/>
          <w:sz w:val="20"/>
          <w:szCs w:val="20"/>
          <w:lang w:val="pt-BR"/>
        </w:rPr>
      </w:r>
    </w:p>
    <w:p>
      <w:pPr>
        <w:pStyle w:val="Normal"/>
        <w:spacing w:lineRule="auto" w:line="240"/>
        <w:ind w:start="2268" w:end="0"/>
        <w:jc w:val="both"/>
        <w:rPr>
          <w:rFonts w:cs="Calibri"/>
          <w:sz w:val="20"/>
          <w:szCs w:val="20"/>
          <w:lang w:val="pt-BR"/>
        </w:rPr>
      </w:pPr>
      <w:r>
        <w:rPr>
          <w:rFonts w:cs="Calibri"/>
          <w:sz w:val="20"/>
          <w:szCs w:val="20"/>
          <w:lang w:val="pt-BR"/>
        </w:rPr>
        <w:t>Parágrafo único. Equipara-se a consumidor a coletividade de pessoas, ainda que indetermináveis, que haja intervindo nas relações de consumo. (Grifo nosso)</w:t>
      </w:r>
    </w:p>
    <w:p>
      <w:pPr>
        <w:pStyle w:val="Normal"/>
        <w:spacing w:lineRule="auto" w:line="300"/>
        <w:ind w:firstLine="2835" w:end="0"/>
        <w:jc w:val="both"/>
        <w:rPr>
          <w:rFonts w:cs="Calibri"/>
          <w:sz w:val="20"/>
          <w:szCs w:val="20"/>
          <w:lang w:val="pt-BR"/>
        </w:rPr>
      </w:pPr>
      <w:r>
        <w:rPr>
          <w:rFonts w:cs="Calibri"/>
          <w:sz w:val="20"/>
          <w:szCs w:val="20"/>
          <w:lang w:val="pt-BR"/>
        </w:rPr>
      </w:r>
    </w:p>
    <w:p>
      <w:pPr>
        <w:pStyle w:val="Normal"/>
        <w:spacing w:lineRule="auto" w:line="300"/>
        <w:ind w:firstLine="1418" w:end="0"/>
        <w:jc w:val="both"/>
        <w:rPr>
          <w:rFonts w:cs="Calibri"/>
          <w:lang w:val="pt-BR"/>
        </w:rPr>
      </w:pPr>
      <w:r>
        <w:rPr>
          <w:rFonts w:cs="Calibri"/>
          <w:lang w:val="pt-BR"/>
        </w:rPr>
        <w:t xml:space="preserve">De outro lado, encontra-se o requerido na qualidade de fornecedor como pessoa jurídica de direito privado, nos termos do art. 3° do CDC. </w:t>
      </w:r>
    </w:p>
    <w:p>
      <w:pPr>
        <w:pStyle w:val="Normal"/>
        <w:spacing w:lineRule="auto" w:line="300"/>
        <w:ind w:firstLine="1701" w:end="0"/>
        <w:jc w:val="both"/>
        <w:rPr>
          <w:rFonts w:cs="Calibri"/>
          <w:lang w:val="pt-BR"/>
        </w:rPr>
      </w:pPr>
      <w:r>
        <w:rPr>
          <w:rFonts w:cs="Calibri"/>
          <w:lang w:val="pt-BR"/>
        </w:rPr>
      </w:r>
    </w:p>
    <w:p>
      <w:pPr>
        <w:pStyle w:val="Normal"/>
        <w:spacing w:lineRule="auto" w:line="240"/>
        <w:ind w:start="2268" w:end="0"/>
        <w:jc w:val="both"/>
        <w:rPr/>
      </w:pPr>
      <w:r>
        <w:rPr>
          <w:rFonts w:cs="Calibri"/>
          <w:sz w:val="20"/>
          <w:szCs w:val="20"/>
          <w:lang w:val="pt-BR"/>
        </w:rPr>
        <w:t xml:space="preserve">Art. 3° do CDC – Fornecedor é toda pessoa física ou jurídica, pública ou privada, nacional ou estrangeira, bem como os entes despersonalizados, que desenvolvem atividade de produção, montagem, criação, construção, transformação, importação, exportação, </w:t>
      </w:r>
      <w:r>
        <w:rPr>
          <w:rFonts w:cs="Calibri"/>
          <w:b/>
          <w:sz w:val="20"/>
          <w:szCs w:val="20"/>
          <w:lang w:val="pt-BR"/>
        </w:rPr>
        <w:t>distribuição ou comercialização de produtos ou prestação de serviços</w:t>
      </w:r>
      <w:r>
        <w:rPr>
          <w:rFonts w:cs="Calibri"/>
          <w:sz w:val="20"/>
          <w:szCs w:val="20"/>
          <w:lang w:val="pt-BR"/>
        </w:rPr>
        <w:t xml:space="preserve">. </w:t>
      </w:r>
    </w:p>
    <w:p>
      <w:pPr>
        <w:pStyle w:val="Normal"/>
        <w:spacing w:lineRule="auto" w:line="240"/>
        <w:ind w:start="2268" w:end="0"/>
        <w:jc w:val="both"/>
        <w:rPr>
          <w:rFonts w:cs="Calibri"/>
          <w:sz w:val="20"/>
          <w:szCs w:val="20"/>
          <w:lang w:val="pt-BR"/>
        </w:rPr>
      </w:pPr>
      <w:r>
        <w:rPr>
          <w:rFonts w:cs="Calibri"/>
          <w:sz w:val="20"/>
          <w:szCs w:val="20"/>
          <w:lang w:val="pt-BR"/>
        </w:rPr>
      </w:r>
    </w:p>
    <w:p>
      <w:pPr>
        <w:pStyle w:val="Normal"/>
        <w:spacing w:lineRule="auto" w:line="240"/>
        <w:ind w:start="2268" w:end="0"/>
        <w:jc w:val="both"/>
        <w:rPr>
          <w:rFonts w:cs="Calibri"/>
          <w:sz w:val="20"/>
          <w:szCs w:val="20"/>
          <w:lang w:val="pt-BR"/>
        </w:rPr>
      </w:pPr>
      <w:r>
        <w:rPr>
          <w:rFonts w:cs="Calibri"/>
          <w:sz w:val="20"/>
          <w:szCs w:val="20"/>
          <w:lang w:val="pt-BR"/>
        </w:rPr>
        <w:t>§1° Produto é qualquer bem, móvel ou imóvel, material ou imaterial.</w:t>
      </w:r>
    </w:p>
    <w:p>
      <w:pPr>
        <w:pStyle w:val="Normal"/>
        <w:spacing w:lineRule="auto" w:line="240"/>
        <w:ind w:start="2268" w:end="0"/>
        <w:jc w:val="both"/>
        <w:rPr>
          <w:rFonts w:cs="Calibri"/>
          <w:sz w:val="20"/>
          <w:szCs w:val="20"/>
          <w:lang w:val="pt-BR"/>
        </w:rPr>
      </w:pPr>
      <w:r>
        <w:rPr>
          <w:rFonts w:cs="Calibri"/>
          <w:sz w:val="20"/>
          <w:szCs w:val="20"/>
          <w:lang w:val="pt-BR"/>
        </w:rPr>
      </w:r>
    </w:p>
    <w:p>
      <w:pPr>
        <w:pStyle w:val="Normal"/>
        <w:spacing w:lineRule="auto" w:line="240"/>
        <w:ind w:start="2268" w:end="0"/>
        <w:jc w:val="both"/>
        <w:rPr/>
      </w:pPr>
      <w:r>
        <w:rPr>
          <w:rFonts w:cs="Calibri"/>
          <w:sz w:val="20"/>
          <w:szCs w:val="20"/>
          <w:lang w:val="pt-BR"/>
        </w:rPr>
        <w:t xml:space="preserve">§2° Serviço é qualquer atividade fornecida no mercado de consumo, mediante remuneração, inclusive as de natureza bancária, financeira, de crédito e securitária, salvo as decorrentes das relações de caráter trabalhista. (Grifo nosso)  </w:t>
      </w:r>
    </w:p>
    <w:p>
      <w:pPr>
        <w:pStyle w:val="Normal"/>
        <w:spacing w:lineRule="auto" w:line="300"/>
        <w:ind w:firstLine="1701" w:end="0"/>
        <w:jc w:val="both"/>
        <w:rPr>
          <w:rFonts w:cs="Calibri"/>
          <w:sz w:val="20"/>
          <w:szCs w:val="20"/>
          <w:lang w:val="pt-BR"/>
        </w:rPr>
      </w:pPr>
      <w:r>
        <w:rPr>
          <w:rFonts w:cs="Calibri"/>
          <w:sz w:val="20"/>
          <w:szCs w:val="20"/>
          <w:lang w:val="pt-BR"/>
        </w:rPr>
      </w:r>
    </w:p>
    <w:p>
      <w:pPr>
        <w:pStyle w:val="Normal"/>
        <w:spacing w:lineRule="auto" w:line="300"/>
        <w:ind w:firstLine="1418" w:end="0"/>
        <w:jc w:val="both"/>
        <w:rPr>
          <w:rFonts w:cs="Calibri"/>
          <w:lang w:val="pt-BR"/>
        </w:rPr>
      </w:pPr>
      <w:r>
        <w:rPr>
          <w:rFonts w:cs="Calibri"/>
          <w:lang w:val="pt-BR"/>
        </w:rPr>
        <w:t>Não há como se olvidar a qualidade de fornecedores das empresas requeridas, assim cabe lembrar a sempre abalizada lição de Rizzatto Nunes, o qual nos ensina que:</w:t>
      </w:r>
    </w:p>
    <w:p>
      <w:pPr>
        <w:pStyle w:val="Normal"/>
        <w:spacing w:lineRule="auto" w:line="300"/>
        <w:ind w:firstLine="1701" w:end="0"/>
        <w:jc w:val="both"/>
        <w:rPr>
          <w:rFonts w:cs="Calibri"/>
          <w:lang w:val="pt-BR"/>
        </w:rPr>
      </w:pPr>
      <w:r>
        <w:rPr>
          <w:rFonts w:cs="Calibri"/>
          <w:lang w:val="pt-BR"/>
        </w:rPr>
      </w:r>
    </w:p>
    <w:p>
      <w:pPr>
        <w:pStyle w:val="Normal"/>
        <w:spacing w:lineRule="auto" w:line="240"/>
        <w:ind w:start="2268" w:end="0"/>
        <w:jc w:val="both"/>
        <w:rPr/>
      </w:pPr>
      <w:r>
        <w:rPr>
          <w:rFonts w:cs="Calibri"/>
          <w:sz w:val="20"/>
          <w:szCs w:val="20"/>
          <w:lang w:val="pt-BR"/>
        </w:rPr>
        <w:t xml:space="preserve">“São fornecedores as pessoas jurídicas públicas ou privadas, nacionais ou estrangeiras, com sede ou não no país, as sociedades anônimas, as por quotas de responsabilidade limitada, as sociedades civis com ou sem fins lucrativos, as fundações, as sociedades de economia mista, as empresas públicas, as autarquias, os órgãos da Administração direta, etc. (in Curso de Direito do Consumidor, 2008, 3ª edição, Ed. Saraiva, pág. 86)” </w:t>
      </w:r>
    </w:p>
    <w:p>
      <w:pPr>
        <w:pStyle w:val="Normal"/>
        <w:spacing w:lineRule="auto" w:line="300"/>
        <w:ind w:firstLine="1985" w:end="0"/>
        <w:jc w:val="both"/>
        <w:rPr>
          <w:rFonts w:cs="Calibri"/>
          <w:sz w:val="20"/>
          <w:szCs w:val="20"/>
          <w:lang w:val="pt-BR"/>
        </w:rPr>
      </w:pPr>
      <w:r>
        <w:rPr>
          <w:rFonts w:cs="Calibri"/>
          <w:sz w:val="20"/>
          <w:szCs w:val="20"/>
          <w:lang w:val="pt-BR"/>
        </w:rPr>
      </w:r>
    </w:p>
    <w:p>
      <w:pPr>
        <w:pStyle w:val="Normal"/>
        <w:spacing w:lineRule="auto" w:line="300"/>
        <w:ind w:firstLine="1418" w:end="0"/>
        <w:jc w:val="both"/>
        <w:rPr>
          <w:rFonts w:cs="Calibri"/>
          <w:lang w:val="pt-BR"/>
        </w:rPr>
      </w:pPr>
      <w:r>
        <w:rPr>
          <w:rFonts w:cs="Calibri"/>
          <w:lang w:val="pt-BR"/>
        </w:rPr>
        <w:t>Assim, na qualidade de fornecedora, a requerida deve suportar as consequências da prática abusiva de venda casada, vedada pelo art. 39, I, do CDC, respondendo objetivamente e sendo condenada à integral reparação dos prejuízos, inclusive dos danos morais causados à parte requerente.</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Destarte, não remanescem dúvidas quanto à aplicabilidade do CDC, porquanto a relação firmada envolve consumidor e fornecedor (arts. 2º e 3º, CDC) e serviços bancário/financeiros alcançados pelo microssistema consumerista (Súmula 297/STJ).</w:t>
      </w:r>
    </w:p>
    <w:p>
      <w:pPr>
        <w:pStyle w:val="Normal"/>
        <w:spacing w:lineRule="auto" w:line="300"/>
        <w:ind w:firstLine="1985" w:end="0"/>
        <w:jc w:val="both"/>
        <w:rPr>
          <w:rFonts w:cs="Calibri"/>
          <w:lang w:val="pt-BR"/>
        </w:rPr>
      </w:pPr>
      <w:r>
        <w:rPr>
          <w:rFonts w:cs="Calibri"/>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both"/>
        <w:rPr>
          <w:rFonts w:cs="Calibri"/>
          <w:b/>
          <w:lang w:val="pt-BR"/>
        </w:rPr>
      </w:pPr>
      <w:r>
        <w:rPr>
          <w:rFonts w:cs="Calibri"/>
          <w:b/>
          <w:lang w:val="pt-BR"/>
        </w:rPr>
        <w:t xml:space="preserve">3.2 - DA RESPONSABILIDADE OBJETIVA NO CDC </w:t>
      </w:r>
    </w:p>
    <w:p>
      <w:pPr>
        <w:pStyle w:val="Normal"/>
        <w:spacing w:lineRule="auto" w:line="300"/>
        <w:jc w:val="both"/>
        <w:rPr>
          <w:rFonts w:cs="Calibri"/>
          <w:lang w:val="pt-BR"/>
        </w:rPr>
      </w:pPr>
      <w:r>
        <w:rPr>
          <w:rFonts w:cs="Calibri"/>
          <w:lang w:val="pt-BR"/>
        </w:rPr>
        <w:t xml:space="preserve"> </w:t>
      </w:r>
    </w:p>
    <w:p>
      <w:pPr>
        <w:pStyle w:val="Normal"/>
        <w:spacing w:lineRule="auto" w:line="300"/>
        <w:ind w:firstLine="1418" w:end="0"/>
        <w:jc w:val="both"/>
        <w:rPr/>
      </w:pPr>
      <w:r>
        <w:rPr>
          <w:rFonts w:cs="Calibri"/>
          <w:lang w:val="pt-BR"/>
        </w:rPr>
        <w:t xml:space="preserve">No caso concreto, incide a responsabilidade civil objetiva da requerida, na qualidade de fornecedora e prestadora de serviços, nos termos do art. 14 do Código de Defesa do Consumidor, </w:t>
      </w:r>
      <w:r>
        <w:rPr>
          <w:rFonts w:cs="Calibri"/>
          <w:i/>
          <w:iCs/>
          <w:lang w:val="pt-BR"/>
        </w:rPr>
        <w:t>in verbis</w:t>
      </w:r>
      <w:r>
        <w:rPr>
          <w:rFonts w:cs="Calibri"/>
          <w:lang w:val="pt-BR"/>
        </w:rPr>
        <w:t xml:space="preserve">: </w:t>
      </w:r>
    </w:p>
    <w:p>
      <w:pPr>
        <w:pStyle w:val="Normal"/>
        <w:spacing w:lineRule="auto" w:line="300"/>
        <w:ind w:start="2268" w:end="0"/>
        <w:jc w:val="both"/>
        <w:rPr>
          <w:rFonts w:cs="Calibri"/>
          <w:sz w:val="20"/>
          <w:szCs w:val="20"/>
          <w:lang w:val="pt-BR"/>
        </w:rPr>
      </w:pPr>
      <w:r>
        <w:rPr>
          <w:rFonts w:cs="Calibri"/>
          <w:sz w:val="20"/>
          <w:szCs w:val="20"/>
          <w:lang w:val="pt-BR"/>
        </w:rPr>
      </w:r>
    </w:p>
    <w:p>
      <w:pPr>
        <w:pStyle w:val="Normal"/>
        <w:spacing w:lineRule="auto" w:line="240"/>
        <w:ind w:start="2268" w:end="0"/>
        <w:jc w:val="both"/>
        <w:rPr/>
      </w:pPr>
      <w:r>
        <w:rPr>
          <w:rFonts w:cs="Calibri"/>
          <w:sz w:val="20"/>
          <w:szCs w:val="20"/>
          <w:lang w:val="pt-BR"/>
        </w:rPr>
        <w:t xml:space="preserve">Art. 14. O fornecedor de serviços responde independentemente da existência de culpa, pela reparação dos danos causados aos consumidores por defeitos relativos à prestação dos serviços, bem como por informações insuficientes ou inadequadas sobre sua fruição e riscos. </w:t>
      </w:r>
    </w:p>
    <w:p>
      <w:pPr>
        <w:pStyle w:val="Normal"/>
        <w:spacing w:lineRule="auto" w:line="240"/>
        <w:ind w:start="2268" w:end="0"/>
        <w:jc w:val="both"/>
        <w:rPr>
          <w:rFonts w:cs="Calibri"/>
          <w:sz w:val="16"/>
          <w:szCs w:val="16"/>
          <w:lang w:val="pt-BR"/>
        </w:rPr>
      </w:pPr>
      <w:r>
        <w:rPr>
          <w:rFonts w:cs="Calibri"/>
          <w:sz w:val="16"/>
          <w:szCs w:val="16"/>
          <w:lang w:val="pt-BR"/>
        </w:rPr>
      </w:r>
    </w:p>
    <w:p>
      <w:pPr>
        <w:pStyle w:val="Normal"/>
        <w:spacing w:lineRule="auto" w:line="240"/>
        <w:ind w:start="2268" w:end="0"/>
        <w:jc w:val="both"/>
        <w:rPr>
          <w:rFonts w:cs="Calibri"/>
          <w:sz w:val="20"/>
          <w:szCs w:val="20"/>
          <w:lang w:val="pt-BR"/>
        </w:rPr>
      </w:pPr>
      <w:r>
        <w:rPr>
          <w:rFonts w:cs="Calibri"/>
          <w:sz w:val="20"/>
          <w:szCs w:val="20"/>
          <w:lang w:val="pt-BR"/>
        </w:rPr>
        <w:t>§1º - O serviço é defeituoso quando não fornece a segurança que o consumidor dele pode esperar, levando-se em consideração as circunstâncias relevantes, entre as quais:</w:t>
      </w:r>
    </w:p>
    <w:p>
      <w:pPr>
        <w:pStyle w:val="Normal"/>
        <w:spacing w:lineRule="auto" w:line="240"/>
        <w:ind w:start="2268" w:end="0"/>
        <w:jc w:val="both"/>
        <w:rPr>
          <w:rFonts w:cs="Calibri"/>
          <w:sz w:val="20"/>
          <w:szCs w:val="20"/>
          <w:lang w:val="pt-BR"/>
        </w:rPr>
      </w:pPr>
      <w:r>
        <w:rPr>
          <w:rFonts w:cs="Calibri"/>
          <w:sz w:val="20"/>
          <w:szCs w:val="20"/>
          <w:lang w:val="pt-BR"/>
        </w:rPr>
        <w:t xml:space="preserve"> </w:t>
      </w:r>
    </w:p>
    <w:p>
      <w:pPr>
        <w:pStyle w:val="Normal"/>
        <w:spacing w:lineRule="auto" w:line="240"/>
        <w:ind w:start="2268" w:end="0"/>
        <w:jc w:val="both"/>
        <w:rPr>
          <w:rFonts w:cs="Calibri"/>
          <w:sz w:val="20"/>
          <w:szCs w:val="20"/>
          <w:lang w:val="pt-BR"/>
        </w:rPr>
      </w:pPr>
      <w:r>
        <w:rPr>
          <w:rFonts w:cs="Calibri"/>
          <w:sz w:val="20"/>
          <w:szCs w:val="20"/>
          <w:lang w:val="pt-BR"/>
        </w:rPr>
        <w:t>I - o modo de seu fornecimento; (...)</w:t>
      </w:r>
    </w:p>
    <w:p>
      <w:pPr>
        <w:pStyle w:val="Normal"/>
        <w:spacing w:lineRule="auto" w:line="300"/>
        <w:jc w:val="both"/>
        <w:rPr>
          <w:rFonts w:cs="Calibri"/>
          <w:sz w:val="20"/>
          <w:szCs w:val="20"/>
          <w:lang w:val="pt-BR"/>
        </w:rPr>
      </w:pPr>
      <w:r>
        <w:rPr>
          <w:rFonts w:cs="Calibri"/>
          <w:sz w:val="20"/>
          <w:szCs w:val="20"/>
          <w:lang w:val="pt-BR"/>
        </w:rPr>
      </w:r>
    </w:p>
    <w:p>
      <w:pPr>
        <w:pStyle w:val="Normal"/>
        <w:spacing w:lineRule="auto" w:line="300"/>
        <w:ind w:firstLine="1418" w:end="0"/>
        <w:jc w:val="both"/>
        <w:rPr/>
      </w:pPr>
      <w:r>
        <w:rPr>
          <w:rFonts w:cs="Calibri"/>
          <w:lang w:val="pt-BR"/>
        </w:rPr>
        <w:t xml:space="preserve">Logo, em se tratando de relação de consumo, o fornecedor de serviços responde objetivamente pelos danos causados ao consumidor (art. 14, CDC), bastando o defeito do serviço e o nexo causal, sendo desnecessária a prova de culpa. O serviço é defeituoso quando não fornece a segurança esperada ou quando prestado com informações inadequadas (art. 14, caput e §1º), situações que, ao mal apresentarem o produto/serviço, geram insegurança, insatisfação e prejuízos concretos. </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cs="Calibri"/>
          <w:lang w:val="pt-BR"/>
        </w:rPr>
        <w:t xml:space="preserve">Neste sentido, vejamos o que ensina o Mestre SÍLVIO DE SALVO VENOSA em sua obra sobre responsabilidade civil: </w:t>
      </w:r>
    </w:p>
    <w:p>
      <w:pPr>
        <w:pStyle w:val="Normal"/>
        <w:spacing w:lineRule="auto" w:line="300"/>
        <w:ind w:firstLine="1701" w:end="0"/>
        <w:jc w:val="both"/>
        <w:rPr>
          <w:rFonts w:cs="Calibri"/>
          <w:lang w:val="pt-BR"/>
        </w:rPr>
      </w:pPr>
      <w:r>
        <w:rPr>
          <w:rFonts w:cs="Calibri"/>
          <w:lang w:val="pt-BR"/>
        </w:rPr>
        <w:t xml:space="preserve"> </w:t>
      </w:r>
    </w:p>
    <w:p>
      <w:pPr>
        <w:pStyle w:val="Normal"/>
        <w:spacing w:lineRule="auto" w:line="240"/>
        <w:ind w:start="2268" w:end="0"/>
        <w:jc w:val="both"/>
        <w:rPr/>
      </w:pPr>
      <w:r>
        <w:rPr>
          <w:rFonts w:cs="Calibri"/>
          <w:sz w:val="20"/>
          <w:szCs w:val="20"/>
          <w:lang w:val="pt-BR"/>
        </w:rPr>
        <w:t xml:space="preserve">“Os danos projetados nos consumidores, decorrentes da atividade do fornecedor de produtos e serviços, devem ser cabalmente indenizados. No nosso sistema foi adotada a responsabilidade objetiva no campo do consumidor, sem que haja limites para a indenização. Ao contrário do que ocorre em outros setores, no campo da indenização aos consumidores não existe limitação tarifada.” (in, Direito Civil. Responsabilidade Civil, São Paulo, Ed. Atlas, 2004, p. 206). </w:t>
      </w:r>
    </w:p>
    <w:p>
      <w:pPr>
        <w:pStyle w:val="Normal"/>
        <w:spacing w:lineRule="auto" w:line="300"/>
        <w:ind w:firstLine="2835" w:end="0"/>
        <w:jc w:val="both"/>
        <w:rPr>
          <w:rFonts w:cs="Calibri"/>
          <w:lang w:val="pt-BR"/>
        </w:rPr>
      </w:pPr>
      <w:r>
        <w:rPr>
          <w:rFonts w:cs="Calibri"/>
          <w:lang w:val="pt-BR"/>
        </w:rPr>
        <w:t xml:space="preserve"> </w:t>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both"/>
        <w:rPr>
          <w:rFonts w:cs="Calibri"/>
          <w:b/>
          <w:lang w:val="pt-BR"/>
        </w:rPr>
      </w:pPr>
      <w:r>
        <w:rPr>
          <w:rFonts w:cs="Calibri"/>
          <w:b/>
          <w:lang w:val="pt-BR"/>
        </w:rPr>
        <w:t>3.3 – DA PRÁTICA ABUSIVA DE VENDA CASADA – AFRONTA AO ART. 39, I, DO CDC E AO ART. 17 DA RESOLUÇÃO N° 2892/01 DO BACEN</w:t>
      </w:r>
    </w:p>
    <w:p>
      <w:pPr>
        <w:pStyle w:val="Normal"/>
        <w:spacing w:lineRule="auto" w:line="300"/>
        <w:ind w:firstLine="2835" w:end="0"/>
        <w:jc w:val="both"/>
        <w:rPr>
          <w:rFonts w:cs="Calibri"/>
          <w:b/>
          <w:lang w:val="pt-BR"/>
        </w:rPr>
      </w:pPr>
      <w:r>
        <w:rPr>
          <w:rFonts w:cs="Calibri"/>
          <w:b/>
          <w:lang w:val="pt-BR"/>
        </w:rPr>
      </w:r>
    </w:p>
    <w:p>
      <w:pPr>
        <w:pStyle w:val="Normal"/>
        <w:spacing w:lineRule="auto" w:line="300"/>
        <w:ind w:firstLine="1418" w:end="0"/>
        <w:jc w:val="both"/>
        <w:rPr/>
      </w:pPr>
      <w:r>
        <w:rPr>
          <w:rFonts w:cs="Calibri"/>
          <w:lang w:val="pt-BR"/>
        </w:rPr>
        <w:t xml:space="preserve">Excelência restou demonstrado que a parte requerente foi obrigada a adquirir produto da empresa requerida denominado </w:t>
      </w:r>
      <w:r>
        <w:rPr>
          <w:rFonts w:cs="Calibri"/>
          <w:b/>
          <w:bCs/>
          <w:lang w:val="pt-BR"/>
        </w:rPr>
        <w:t>“Seguro Consignado Protegido”, no valor de R$ ________ (________),</w:t>
      </w:r>
      <w:r>
        <w:rPr>
          <w:rFonts w:cs="Calibri"/>
          <w:lang w:val="pt-BR"/>
        </w:rPr>
        <w:t xml:space="preserve"> para obter a liberação dos créditos, conforme documentos anexos. Trata-se de típica </w:t>
      </w:r>
      <w:r>
        <w:rPr>
          <w:rFonts w:cs="Calibri"/>
          <w:b/>
          <w:bCs/>
          <w:lang w:val="pt-BR"/>
        </w:rPr>
        <w:t>venda casada</w:t>
      </w:r>
      <w:r>
        <w:rPr>
          <w:rFonts w:cs="Calibri"/>
          <w:lang w:val="pt-BR"/>
        </w:rPr>
        <w:t xml:space="preserve">, prática </w:t>
      </w:r>
      <w:r>
        <w:rPr>
          <w:rFonts w:cs="Calibri"/>
          <w:b/>
          <w:bCs/>
          <w:lang w:val="pt-BR"/>
        </w:rPr>
        <w:t>expressamente vedada pelo</w:t>
      </w:r>
      <w:r>
        <w:rPr>
          <w:rFonts w:cs="Calibri"/>
          <w:lang w:val="pt-BR"/>
        </w:rPr>
        <w:t xml:space="preserve"> </w:t>
      </w:r>
      <w:r>
        <w:rPr>
          <w:rFonts w:cs="Calibri"/>
          <w:b/>
          <w:bCs/>
          <w:lang w:val="pt-BR"/>
        </w:rPr>
        <w:t>art. 39, I, do CDC</w:t>
      </w:r>
      <w:r>
        <w:rPr>
          <w:rFonts w:cs="Calibri"/>
          <w:lang w:val="pt-BR"/>
        </w:rPr>
        <w:t xml:space="preserve">, po subordinar o fornecimento de um serviço (empréstimo) à contratação de outros (seguro) não desejado. </w:t>
      </w:r>
    </w:p>
    <w:p>
      <w:pPr>
        <w:pStyle w:val="Normal"/>
        <w:spacing w:lineRule="auto" w:line="300"/>
        <w:ind w:firstLine="1418" w:end="0"/>
        <w:jc w:val="both"/>
        <w:rPr>
          <w:rFonts w:cs="Calibri"/>
          <w:lang w:val="pt-BR"/>
        </w:rPr>
      </w:pPr>
      <w:r>
        <w:rPr>
          <w:rFonts w:cs="Calibri"/>
          <w:lang w:val="pt-BR"/>
        </w:rPr>
      </w:r>
    </w:p>
    <w:p>
      <w:pPr>
        <w:pStyle w:val="Normal"/>
        <w:spacing w:lineRule="auto" w:line="240"/>
        <w:ind w:start="2268" w:end="0"/>
        <w:jc w:val="both"/>
        <w:rPr/>
      </w:pPr>
      <w:r>
        <w:rPr>
          <w:rFonts w:cs="Calibri"/>
          <w:sz w:val="20"/>
          <w:szCs w:val="20"/>
          <w:lang w:val="pt-BR"/>
        </w:rPr>
        <w:t xml:space="preserve">Art. 39 - É </w:t>
      </w:r>
      <w:r>
        <w:rPr>
          <w:rFonts w:cs="Calibri"/>
          <w:b/>
          <w:sz w:val="20"/>
          <w:szCs w:val="20"/>
          <w:lang w:val="pt-BR"/>
        </w:rPr>
        <w:t>vedado ao fornecedor de produtos ou serviços</w:t>
      </w:r>
      <w:r>
        <w:rPr>
          <w:rFonts w:cs="Calibri"/>
          <w:sz w:val="20"/>
          <w:szCs w:val="20"/>
          <w:lang w:val="pt-BR"/>
        </w:rPr>
        <w:t>, dentre outras práticas abusivas:</w:t>
      </w:r>
    </w:p>
    <w:p>
      <w:pPr>
        <w:pStyle w:val="Normal"/>
        <w:spacing w:lineRule="auto" w:line="240"/>
        <w:ind w:start="2268" w:end="0"/>
        <w:jc w:val="both"/>
        <w:rPr>
          <w:rFonts w:cs="Calibri"/>
          <w:sz w:val="20"/>
          <w:szCs w:val="20"/>
          <w:lang w:val="pt-BR"/>
        </w:rPr>
      </w:pPr>
      <w:r>
        <w:rPr>
          <w:rFonts w:cs="Calibri"/>
          <w:sz w:val="20"/>
          <w:szCs w:val="20"/>
          <w:lang w:val="pt-BR"/>
        </w:rPr>
      </w:r>
    </w:p>
    <w:p>
      <w:pPr>
        <w:pStyle w:val="Normal"/>
        <w:spacing w:lineRule="auto" w:line="240"/>
        <w:ind w:start="2268" w:end="0"/>
        <w:jc w:val="both"/>
        <w:rPr/>
      </w:pPr>
      <w:r>
        <w:rPr>
          <w:rFonts w:cs="Calibri"/>
          <w:bCs/>
          <w:sz w:val="20"/>
          <w:szCs w:val="20"/>
          <w:lang w:val="pt-BR"/>
        </w:rPr>
        <w:t xml:space="preserve">I – </w:t>
      </w:r>
      <w:r>
        <w:rPr>
          <w:rFonts w:cs="Calibri"/>
          <w:b/>
          <w:bCs/>
          <w:sz w:val="20"/>
          <w:szCs w:val="20"/>
          <w:lang w:val="pt-BR"/>
        </w:rPr>
        <w:t>condicionar o fornecimento de produto ou de serviço ao fornecimento de outro produto ou serviço</w:t>
      </w:r>
      <w:r>
        <w:rPr>
          <w:rFonts w:cs="Calibri"/>
          <w:bCs/>
          <w:sz w:val="20"/>
          <w:szCs w:val="20"/>
          <w:lang w:val="pt-BR"/>
        </w:rPr>
        <w:t>, bem como, sem justa causa, a limites quantitativos; (G.N.)</w:t>
      </w:r>
    </w:p>
    <w:p>
      <w:pPr>
        <w:pStyle w:val="Normal"/>
        <w:spacing w:lineRule="auto" w:line="300"/>
        <w:jc w:val="both"/>
        <w:rPr>
          <w:rFonts w:cs="Calibri"/>
          <w:bCs/>
          <w:sz w:val="20"/>
          <w:szCs w:val="20"/>
          <w:lang w:val="pt-BR"/>
        </w:rPr>
      </w:pPr>
      <w:r>
        <w:rPr>
          <w:rFonts w:cs="Calibri"/>
          <w:bCs/>
          <w:sz w:val="20"/>
          <w:szCs w:val="20"/>
          <w:lang w:val="pt-BR"/>
        </w:rPr>
      </w:r>
    </w:p>
    <w:p>
      <w:pPr>
        <w:pStyle w:val="Normal"/>
        <w:spacing w:lineRule="auto" w:line="300"/>
        <w:ind w:firstLine="1418" w:end="0"/>
        <w:jc w:val="both"/>
        <w:rPr/>
      </w:pPr>
      <w:r>
        <w:rPr>
          <w:rFonts w:cs="Calibri"/>
          <w:lang w:val="pt-BR"/>
        </w:rPr>
        <w:t xml:space="preserve">No âmbito regulatório, o </w:t>
      </w:r>
      <w:r>
        <w:rPr>
          <w:rFonts w:cs="Calibri"/>
          <w:b/>
          <w:bCs/>
          <w:lang w:val="pt-BR"/>
        </w:rPr>
        <w:t>art. 17 da Resolução BACEN/CMN nº 2.892/2001</w:t>
      </w:r>
      <w:r>
        <w:rPr>
          <w:rFonts w:cs="Calibri"/>
          <w:lang w:val="pt-BR"/>
        </w:rPr>
        <w:t xml:space="preserve"> </w:t>
      </w:r>
      <w:r>
        <w:rPr>
          <w:rFonts w:cs="Calibri"/>
          <w:b/>
          <w:bCs/>
          <w:lang w:val="pt-BR"/>
        </w:rPr>
        <w:t>veda</w:t>
      </w:r>
      <w:r>
        <w:rPr>
          <w:rFonts w:cs="Calibri"/>
          <w:lang w:val="pt-BR"/>
        </w:rPr>
        <w:t xml:space="preserve"> a contratação de operações </w:t>
      </w:r>
      <w:r>
        <w:rPr>
          <w:rFonts w:cs="Calibri"/>
          <w:b/>
          <w:bCs/>
          <w:lang w:val="pt-BR"/>
        </w:rPr>
        <w:t>“condicionadas ou vinculadas”</w:t>
      </w:r>
      <w:r>
        <w:rPr>
          <w:rFonts w:cs="Calibri"/>
          <w:lang w:val="pt-BR"/>
        </w:rPr>
        <w:t xml:space="preserve"> à realização de outras operações ou à aquisição de bens/serviços, assegurando, quando houver pacto adicional exigido por lei, a </w:t>
      </w:r>
      <w:r>
        <w:rPr>
          <w:rFonts w:cs="Calibri"/>
          <w:b/>
          <w:bCs/>
          <w:lang w:val="pt-BR"/>
        </w:rPr>
        <w:t>livre escolha</w:t>
      </w:r>
      <w:r>
        <w:rPr>
          <w:rFonts w:cs="Calibri"/>
          <w:lang w:val="pt-BR"/>
        </w:rPr>
        <w:t xml:space="preserve"> da instituição para o contrato acessório.</w:t>
      </w:r>
    </w:p>
    <w:p>
      <w:pPr>
        <w:pStyle w:val="Normal"/>
        <w:spacing w:lineRule="auto" w:line="300"/>
        <w:jc w:val="both"/>
        <w:rPr>
          <w:rFonts w:cs="Calibri"/>
          <w:lang w:val="pt-BR"/>
        </w:rPr>
      </w:pPr>
      <w:r>
        <w:rPr>
          <w:rFonts w:cs="Calibri"/>
          <w:lang w:val="pt-BR"/>
        </w:rPr>
      </w:r>
    </w:p>
    <w:p>
      <w:pPr>
        <w:pStyle w:val="Normal"/>
        <w:spacing w:lineRule="auto" w:line="240"/>
        <w:ind w:start="2268" w:end="0"/>
        <w:jc w:val="both"/>
        <w:rPr>
          <w:rFonts w:cs="Calibri"/>
          <w:sz w:val="20"/>
          <w:szCs w:val="20"/>
          <w:lang w:val="pt-BR"/>
        </w:rPr>
      </w:pPr>
      <w:r>
        <w:rPr>
          <w:rFonts w:cs="Calibri"/>
          <w:sz w:val="20"/>
          <w:szCs w:val="20"/>
          <w:lang w:val="pt-BR"/>
        </w:rPr>
        <w:t xml:space="preserve">Art. 17 da Resolução 2892/01 – É </w:t>
      </w:r>
      <w:r>
        <w:rPr>
          <w:rFonts w:cs="Calibri"/>
          <w:b/>
          <w:sz w:val="20"/>
          <w:szCs w:val="20"/>
          <w:lang w:val="pt-BR"/>
        </w:rPr>
        <w:t>vedada a contratação de quaisquer operações condicionadas ou vinculadas à realização de outras operações ou à aquisição de outros bens e serviços</w:t>
      </w:r>
      <w:r>
        <w:rPr>
          <w:rFonts w:cs="Calibri"/>
          <w:sz w:val="20"/>
          <w:szCs w:val="20"/>
          <w:lang w:val="pt-BR"/>
        </w:rPr>
        <w:t>. (G.N.)</w:t>
      </w:r>
    </w:p>
    <w:p>
      <w:pPr>
        <w:pStyle w:val="Normal"/>
        <w:spacing w:lineRule="auto" w:line="300"/>
        <w:ind w:firstLine="1985" w:end="0"/>
        <w:jc w:val="both"/>
        <w:rPr>
          <w:rFonts w:cs="Calibri"/>
          <w:sz w:val="20"/>
          <w:szCs w:val="20"/>
          <w:lang w:val="pt-BR"/>
        </w:rPr>
      </w:pPr>
      <w:r>
        <w:rPr>
          <w:rFonts w:cs="Calibri"/>
          <w:sz w:val="20"/>
          <w:szCs w:val="20"/>
          <w:lang w:val="pt-BR"/>
        </w:rPr>
      </w:r>
    </w:p>
    <w:p>
      <w:pPr>
        <w:pStyle w:val="Normal"/>
        <w:spacing w:lineRule="auto" w:line="300"/>
        <w:ind w:firstLine="1418" w:end="0"/>
        <w:jc w:val="both"/>
        <w:rPr>
          <w:rFonts w:cs="Calibri"/>
          <w:lang w:val="pt-BR"/>
        </w:rPr>
      </w:pPr>
      <w:r>
        <w:rPr>
          <w:rFonts w:cs="Calibri"/>
          <w:lang w:val="pt-BR"/>
        </w:rPr>
        <w:t>É inegável que a parte requerente teve a contratação do empréstimo condicionado à aquisição do produto supracitado, prática popularmente conhecida por “venda casada”, onde se comprova por meio dos documentos anexados a esta exordial.</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 xml:space="preserve">Salutar destacar que o C. Superior Tribunal de Justiça no julgamento dos </w:t>
      </w:r>
      <w:r>
        <w:rPr>
          <w:rFonts w:cs="Calibri"/>
          <w:b/>
          <w:bCs/>
          <w:lang w:val="pt-BR"/>
        </w:rPr>
        <w:t>Recursos Especiais 1.639.320/SP e 1.639.259/SP</w:t>
      </w:r>
      <w:r>
        <w:rPr>
          <w:rFonts w:cs="Calibri"/>
          <w:lang w:val="pt-BR"/>
        </w:rPr>
        <w:t xml:space="preserve">, que se encontravam em </w:t>
      </w:r>
      <w:r>
        <w:rPr>
          <w:rFonts w:cs="Calibri"/>
          <w:b/>
          <w:lang w:val="pt-BR"/>
        </w:rPr>
        <w:t>Incidente de Recurso Repetitivo – TEMA 972</w:t>
      </w:r>
      <w:r>
        <w:rPr>
          <w:rFonts w:cs="Calibri"/>
          <w:lang w:val="pt-BR"/>
        </w:rPr>
        <w:t>, em dezembro de 2018, mais precisamente em 12/12/2018, firmou o entendimento que o consumidor não pode ser compelido a contratar seguro com a instituição financeira, existindo venda casada nesse sentido, confira-se:</w:t>
      </w:r>
    </w:p>
    <w:p>
      <w:pPr>
        <w:pStyle w:val="Normal"/>
        <w:spacing w:lineRule="auto" w:line="300"/>
        <w:ind w:firstLine="1701" w:end="0"/>
        <w:jc w:val="both"/>
        <w:rPr>
          <w:rFonts w:cs="Calibri"/>
          <w:lang w:val="pt-BR"/>
        </w:rPr>
      </w:pPr>
      <w:r>
        <w:rPr>
          <w:rFonts w:cs="Calibri"/>
          <w:lang w:val="pt-BR"/>
        </w:rPr>
      </w:r>
    </w:p>
    <w:p>
      <w:pPr>
        <w:pStyle w:val="Normal"/>
        <w:spacing w:lineRule="auto" w:line="240"/>
        <w:ind w:start="2268" w:end="0"/>
        <w:jc w:val="both"/>
        <w:rPr>
          <w:rFonts w:cs="Calibri"/>
          <w:b/>
          <w:sz w:val="20"/>
          <w:szCs w:val="20"/>
          <w:lang w:val="pt-BR"/>
        </w:rPr>
      </w:pPr>
      <w:r>
        <w:rPr>
          <w:rFonts w:cs="Calibri"/>
          <w:b/>
          <w:sz w:val="20"/>
          <w:szCs w:val="20"/>
          <w:lang w:val="pt-BR"/>
        </w:rPr>
        <w:t>RECURSO ESPECIAL N° 1.639.259 – SP (2016/0306899-7)</w:t>
      </w:r>
    </w:p>
    <w:p>
      <w:pPr>
        <w:pStyle w:val="Normal"/>
        <w:spacing w:lineRule="auto" w:line="240"/>
        <w:ind w:start="2268" w:end="0"/>
        <w:jc w:val="both"/>
        <w:rPr>
          <w:rFonts w:cs="Calibri"/>
          <w:sz w:val="20"/>
          <w:szCs w:val="20"/>
          <w:lang w:val="pt-BR"/>
        </w:rPr>
      </w:pPr>
      <w:r>
        <w:rPr>
          <w:rFonts w:cs="Calibri"/>
          <w:sz w:val="20"/>
          <w:szCs w:val="20"/>
          <w:lang w:val="pt-BR"/>
        </w:rPr>
        <w:t>RELATOR: MINISTRO PAULO DE TARSO SANSEVERINO</w:t>
      </w:r>
    </w:p>
    <w:p>
      <w:pPr>
        <w:pStyle w:val="Normal"/>
        <w:spacing w:lineRule="auto" w:line="240"/>
        <w:ind w:start="2268" w:end="0"/>
        <w:jc w:val="both"/>
        <w:rPr>
          <w:rFonts w:cs="Calibri"/>
          <w:sz w:val="20"/>
          <w:szCs w:val="20"/>
          <w:lang w:val="pt-BR"/>
        </w:rPr>
      </w:pPr>
      <w:r>
        <w:rPr>
          <w:rFonts w:cs="Calibri"/>
          <w:sz w:val="20"/>
          <w:szCs w:val="20"/>
          <w:lang w:val="pt-BR"/>
        </w:rPr>
        <w:t>RECORRENTE: CRISLAINE SOUZA OLIVEIRA</w:t>
      </w:r>
    </w:p>
    <w:p>
      <w:pPr>
        <w:pStyle w:val="Normal"/>
        <w:spacing w:lineRule="auto" w:line="240"/>
        <w:ind w:start="2268" w:end="0"/>
        <w:jc w:val="both"/>
        <w:rPr>
          <w:rFonts w:cs="Calibri"/>
          <w:sz w:val="20"/>
          <w:szCs w:val="20"/>
          <w:lang w:val="pt-BR"/>
        </w:rPr>
      </w:pPr>
      <w:r>
        <w:rPr>
          <w:rFonts w:cs="Calibri"/>
          <w:sz w:val="20"/>
          <w:szCs w:val="20"/>
          <w:lang w:val="pt-BR"/>
        </w:rPr>
        <w:t>ADVOGADO: RAMON EMIDIO MONTEIRO E OUTRO(S) – SP086623</w:t>
      </w:r>
    </w:p>
    <w:p>
      <w:pPr>
        <w:pStyle w:val="Normal"/>
        <w:spacing w:lineRule="auto" w:line="240"/>
        <w:ind w:start="2268" w:end="0"/>
        <w:jc w:val="both"/>
        <w:rPr>
          <w:rFonts w:cs="Calibri"/>
          <w:sz w:val="20"/>
          <w:szCs w:val="20"/>
          <w:lang w:val="pt-BR"/>
        </w:rPr>
      </w:pPr>
      <w:r>
        <w:rPr>
          <w:rFonts w:cs="Calibri"/>
          <w:sz w:val="20"/>
          <w:szCs w:val="20"/>
          <w:lang w:val="pt-BR"/>
        </w:rPr>
        <w:t>RECORRIDO: BANCO ITAULEASING S.A</w:t>
      </w:r>
    </w:p>
    <w:p>
      <w:pPr>
        <w:pStyle w:val="Normal"/>
        <w:spacing w:lineRule="auto" w:line="240"/>
        <w:ind w:start="2268" w:end="0"/>
        <w:jc w:val="both"/>
        <w:rPr>
          <w:rFonts w:cs="Calibri"/>
          <w:sz w:val="20"/>
          <w:szCs w:val="20"/>
          <w:lang w:val="pt-BR"/>
        </w:rPr>
      </w:pPr>
      <w:r>
        <w:rPr>
          <w:rFonts w:cs="Calibri"/>
          <w:sz w:val="20"/>
          <w:szCs w:val="20"/>
          <w:lang w:val="pt-BR"/>
        </w:rPr>
        <w:t>ADVOGADOS: KONSTANTINOS JEAN ANDREOPOULOS – SP131758</w:t>
      </w:r>
    </w:p>
    <w:p>
      <w:pPr>
        <w:pStyle w:val="Normal"/>
        <w:spacing w:lineRule="auto" w:line="240"/>
        <w:ind w:start="2268" w:end="0"/>
        <w:jc w:val="both"/>
        <w:rPr>
          <w:rFonts w:cs="Calibri"/>
          <w:sz w:val="20"/>
          <w:szCs w:val="20"/>
          <w:lang w:val="pt-BR"/>
        </w:rPr>
      </w:pPr>
      <w:r>
        <w:rPr>
          <w:rFonts w:cs="Calibri"/>
          <w:sz w:val="20"/>
          <w:szCs w:val="20"/>
          <w:lang w:val="pt-BR"/>
        </w:rPr>
        <w:t>INTERES.: BANCO CENTRAL DO BRASIL – BACEN – “AMICUS CURIAE”</w:t>
      </w:r>
    </w:p>
    <w:p>
      <w:pPr>
        <w:pStyle w:val="Normal"/>
        <w:spacing w:lineRule="auto" w:line="240"/>
        <w:ind w:start="2268" w:end="0"/>
        <w:jc w:val="both"/>
        <w:rPr/>
      </w:pPr>
      <w:r>
        <w:rPr>
          <w:rFonts w:cs="Calibri"/>
          <w:sz w:val="20"/>
          <w:szCs w:val="20"/>
          <w:lang w:val="pt-BR"/>
        </w:rPr>
        <w:t>ADVOGADO: PROCURADORIA-GERAL DO BANCO CENTRAL – PB000000C</w:t>
      </w:r>
    </w:p>
    <w:p>
      <w:pPr>
        <w:pStyle w:val="Normal"/>
        <w:spacing w:lineRule="auto" w:line="240"/>
        <w:ind w:start="2268" w:end="0"/>
        <w:jc w:val="both"/>
        <w:rPr>
          <w:rFonts w:cs="Calibri"/>
          <w:sz w:val="20"/>
          <w:szCs w:val="20"/>
          <w:lang w:val="pt-BR"/>
        </w:rPr>
      </w:pPr>
      <w:r>
        <w:rPr>
          <w:rFonts w:cs="Calibri"/>
          <w:sz w:val="20"/>
          <w:szCs w:val="20"/>
          <w:lang w:val="pt-BR"/>
        </w:rPr>
        <w:t>INTERES.: FEDERAÇÃO BRASILEIRA DE BANCOS – “AMICUS CURIAE”</w:t>
      </w:r>
    </w:p>
    <w:p>
      <w:pPr>
        <w:pStyle w:val="Normal"/>
        <w:spacing w:lineRule="auto" w:line="240"/>
        <w:ind w:start="2268" w:end="0"/>
        <w:jc w:val="both"/>
        <w:rPr>
          <w:rFonts w:cs="Calibri"/>
          <w:sz w:val="20"/>
          <w:szCs w:val="20"/>
          <w:lang w:val="pt-BR"/>
        </w:rPr>
      </w:pPr>
      <w:r>
        <w:rPr>
          <w:rFonts w:cs="Calibri"/>
          <w:sz w:val="20"/>
          <w:szCs w:val="20"/>
          <w:lang w:val="pt-BR"/>
        </w:rPr>
        <w:t>ADVOGADO: LUIZ RODRIGUES WAMBIER E OUTRO(S) – PR007295</w:t>
      </w:r>
    </w:p>
    <w:p>
      <w:pPr>
        <w:pStyle w:val="Normal"/>
        <w:spacing w:lineRule="auto" w:line="240"/>
        <w:ind w:start="2268" w:end="0"/>
        <w:jc w:val="both"/>
        <w:rPr>
          <w:rFonts w:cs="Calibri"/>
          <w:sz w:val="20"/>
          <w:szCs w:val="20"/>
          <w:lang w:val="pt-BR"/>
        </w:rPr>
      </w:pPr>
      <w:r>
        <w:rPr>
          <w:rFonts w:cs="Calibri"/>
          <w:sz w:val="20"/>
          <w:szCs w:val="20"/>
          <w:lang w:val="pt-BR"/>
        </w:rPr>
        <w:t>WAMBIER, YAMASAKI, BEVERVANÇO &amp; LOBO ADVOCACIA – PR002049</w:t>
      </w:r>
    </w:p>
    <w:p>
      <w:pPr>
        <w:pStyle w:val="Normal"/>
        <w:spacing w:lineRule="auto" w:line="240"/>
        <w:ind w:start="2268" w:end="0"/>
        <w:jc w:val="both"/>
        <w:rPr>
          <w:rFonts w:cs="Calibri"/>
          <w:sz w:val="20"/>
          <w:szCs w:val="20"/>
          <w:lang w:val="pt-BR"/>
        </w:rPr>
      </w:pPr>
      <w:r>
        <w:rPr>
          <w:rFonts w:cs="Calibri"/>
          <w:sz w:val="20"/>
          <w:szCs w:val="20"/>
          <w:lang w:val="pt-BR"/>
        </w:rPr>
        <w:t>INTERS.: DEFENSORIA PÚBLICA DO ESTADO DE SÃO PAULO – “AMICUS CURIAE”</w:t>
      </w:r>
    </w:p>
    <w:p>
      <w:pPr>
        <w:pStyle w:val="Normal"/>
        <w:spacing w:lineRule="auto" w:line="240"/>
        <w:ind w:start="2268" w:end="0"/>
        <w:jc w:val="both"/>
        <w:rPr>
          <w:rFonts w:cs="Calibri"/>
          <w:sz w:val="20"/>
          <w:szCs w:val="20"/>
          <w:lang w:val="pt-BR"/>
        </w:rPr>
      </w:pPr>
      <w:r>
        <w:rPr>
          <w:rFonts w:cs="Calibri"/>
          <w:sz w:val="20"/>
          <w:szCs w:val="20"/>
          <w:lang w:val="pt-BR"/>
        </w:rPr>
        <w:t>ADVOGADO: DEFENSORIA PÚBLICA DO ESTADO DE SÃO PAULO</w:t>
      </w:r>
    </w:p>
    <w:p>
      <w:pPr>
        <w:pStyle w:val="Normal"/>
        <w:spacing w:lineRule="auto" w:line="240"/>
        <w:ind w:start="2268" w:end="0"/>
        <w:jc w:val="both"/>
        <w:rPr>
          <w:rFonts w:cs="Calibri"/>
          <w:iCs/>
          <w:sz w:val="20"/>
          <w:szCs w:val="20"/>
          <w:lang w:val="pt-BR"/>
        </w:rPr>
      </w:pPr>
      <w:r>
        <w:rPr>
          <w:rFonts w:cs="Calibri"/>
          <w:iCs/>
          <w:sz w:val="20"/>
          <w:szCs w:val="20"/>
          <w:lang w:val="pt-BR"/>
        </w:rPr>
        <w:t>EMENTA</w:t>
      </w:r>
    </w:p>
    <w:p>
      <w:pPr>
        <w:pStyle w:val="Normal"/>
        <w:spacing w:lineRule="auto" w:line="240"/>
        <w:ind w:start="2268" w:end="0"/>
        <w:jc w:val="both"/>
        <w:rPr/>
      </w:pPr>
      <w:r>
        <w:rPr>
          <w:rFonts w:cs="Calibri"/>
          <w:iCs/>
          <w:sz w:val="20"/>
          <w:szCs w:val="20"/>
          <w:lang w:val="pt-BR"/>
        </w:rPr>
        <w:t xml:space="preserve">RECURSO ESPECIAL REPETITIVO. </w:t>
      </w:r>
      <w:r>
        <w:rPr>
          <w:rFonts w:cs="Calibri"/>
          <w:b/>
          <w:iCs/>
          <w:sz w:val="20"/>
          <w:szCs w:val="20"/>
          <w:lang w:val="pt-BR"/>
        </w:rPr>
        <w:t>TEMA 972/STJ. DIREITO BANCÁRIO</w:t>
      </w:r>
      <w:r>
        <w:rPr>
          <w:rFonts w:cs="Calibri"/>
          <w:iCs/>
          <w:sz w:val="20"/>
          <w:szCs w:val="20"/>
          <w:lang w:val="pt-BR"/>
        </w:rPr>
        <w:t xml:space="preserve">. DESPESA DE PRÉ-GRAVAME. VALIDADE NOS CONTRATOS CELEBRADOS ATÉ 25/02/2011. </w:t>
      </w:r>
      <w:r>
        <w:rPr>
          <w:rFonts w:cs="Calibri"/>
          <w:b/>
          <w:iCs/>
          <w:sz w:val="20"/>
          <w:szCs w:val="20"/>
          <w:lang w:val="pt-BR"/>
        </w:rPr>
        <w:t>SEGURO DE PROTEÇÃO FINANCEIRA. VENDA CASADA. OCORRÊNCIA</w:t>
      </w:r>
      <w:r>
        <w:rPr>
          <w:rFonts w:cs="Calibri"/>
          <w:iCs/>
          <w:sz w:val="20"/>
          <w:szCs w:val="20"/>
          <w:lang w:val="pt-BR"/>
        </w:rPr>
        <w:t xml:space="preserve">. RESTRIÇÃO À ESCOLHA DA SEGURADORA. ANALOGIA COM O ENTENDIMENTO DA SÚMULA 473/STJ. </w:t>
      </w:r>
      <w:r>
        <w:rPr>
          <w:rFonts w:cs="Calibri"/>
          <w:iCs/>
          <w:sz w:val="20"/>
          <w:szCs w:val="20"/>
        </w:rPr>
        <w:t>DESCARACTERIZAÇÃO DA MORA. NÃO OCORRÊNCIA. ENCARGOS ACESSÓRIOS.</w:t>
      </w:r>
    </w:p>
    <w:p>
      <w:pPr>
        <w:pStyle w:val="Normal"/>
        <w:numPr>
          <w:ilvl w:val="0"/>
          <w:numId w:val="2"/>
        </w:numPr>
        <w:autoSpaceDE w:val="false"/>
        <w:spacing w:lineRule="auto" w:line="240"/>
        <w:ind w:hanging="0" w:start="2268" w:end="0"/>
        <w:jc w:val="both"/>
        <w:rPr>
          <w:rFonts w:cs="Calibri"/>
          <w:iCs/>
          <w:sz w:val="20"/>
          <w:szCs w:val="20"/>
          <w:lang w:val="pt-BR"/>
        </w:rPr>
      </w:pPr>
      <w:r>
        <w:rPr>
          <w:rFonts w:cs="Calibri"/>
          <w:b/>
          <w:bCs/>
          <w:iCs/>
          <w:sz w:val="20"/>
          <w:szCs w:val="20"/>
          <w:lang w:val="pt-BR"/>
        </w:rPr>
        <w:t xml:space="preserve">DELIMITAÇÃO DA CONTROVÉRSIA: </w:t>
      </w:r>
      <w:r>
        <w:rPr>
          <w:rFonts w:cs="Calibri"/>
          <w:iCs/>
          <w:sz w:val="20"/>
          <w:szCs w:val="20"/>
          <w:lang w:val="pt-BR"/>
        </w:rPr>
        <w:t>Contratos bancários celebrados a partir de 30/04/2008, com instituições financeiras ou equiparadas, seja diretamente, seja por intermédio de correspondente bancário, no âmbito das relações de consumo.</w:t>
      </w:r>
    </w:p>
    <w:p>
      <w:pPr>
        <w:pStyle w:val="Normal"/>
        <w:numPr>
          <w:ilvl w:val="0"/>
          <w:numId w:val="2"/>
        </w:numPr>
        <w:autoSpaceDE w:val="false"/>
        <w:spacing w:lineRule="auto" w:line="240"/>
        <w:ind w:hanging="0" w:start="2268" w:end="0"/>
        <w:jc w:val="both"/>
        <w:rPr>
          <w:rFonts w:cs="Calibri"/>
          <w:b/>
          <w:bCs/>
          <w:iCs/>
          <w:sz w:val="20"/>
          <w:szCs w:val="20"/>
          <w:lang w:val="pt-BR"/>
        </w:rPr>
      </w:pPr>
      <w:r>
        <w:rPr>
          <w:rFonts w:cs="Calibri"/>
          <w:b/>
          <w:bCs/>
          <w:iCs/>
          <w:sz w:val="20"/>
          <w:szCs w:val="20"/>
          <w:lang w:val="pt-BR"/>
        </w:rPr>
        <w:t>TESES FIXADAS PARA OS FINS DO ART. 1.040 DO CPC/2015:</w:t>
      </w:r>
    </w:p>
    <w:p>
      <w:pPr>
        <w:pStyle w:val="Normal"/>
        <w:spacing w:lineRule="auto" w:line="240"/>
        <w:ind w:start="2268" w:end="0"/>
        <w:jc w:val="both"/>
        <w:rPr/>
      </w:pPr>
      <w:r>
        <w:rPr>
          <w:rFonts w:cs="Calibri"/>
          <w:iCs/>
          <w:sz w:val="20"/>
          <w:szCs w:val="20"/>
          <w:lang w:val="pt-BR"/>
        </w:rPr>
        <w:t>2.1 - Abusividade da cláusula que prevê o ressarcimento pelo consumidor da despesa com o registro do pré-gravame, em contratos celebrados a partir de 25/02/2011, data de entrada em vigor da Res.-CMN 3.954/2011, sendo válida a cláusula pactuada no período anterior a essa resolução, ressalvado o controle da onerosidade excessiva.</w:t>
      </w:r>
    </w:p>
    <w:p>
      <w:pPr>
        <w:pStyle w:val="Normal"/>
        <w:spacing w:lineRule="auto" w:line="240"/>
        <w:ind w:start="2268" w:end="0"/>
        <w:jc w:val="both"/>
        <w:rPr>
          <w:rFonts w:cs="Calibri"/>
          <w:iCs/>
          <w:sz w:val="20"/>
          <w:szCs w:val="20"/>
          <w:lang w:val="pt-BR"/>
        </w:rPr>
      </w:pPr>
      <w:r>
        <w:rPr>
          <w:rFonts w:cs="Calibri"/>
          <w:iCs/>
          <w:sz w:val="20"/>
          <w:szCs w:val="20"/>
          <w:lang w:val="pt-BR"/>
        </w:rPr>
        <w:t>2.2 - Nos contratos bancários em geral, o consumidor não pode ser compelido a contratar seguro com a instituição financeira ou com seguradora por ela indicada.</w:t>
      </w:r>
    </w:p>
    <w:p>
      <w:pPr>
        <w:pStyle w:val="Normal"/>
        <w:numPr>
          <w:ilvl w:val="1"/>
          <w:numId w:val="2"/>
        </w:numPr>
        <w:autoSpaceDE w:val="false"/>
        <w:spacing w:lineRule="auto" w:line="240"/>
        <w:ind w:hanging="0" w:start="2268" w:end="0"/>
        <w:jc w:val="both"/>
        <w:rPr>
          <w:rFonts w:cs="Calibri"/>
          <w:iCs/>
          <w:sz w:val="20"/>
          <w:szCs w:val="20"/>
          <w:lang w:val="pt-BR"/>
        </w:rPr>
      </w:pPr>
      <w:r>
        <w:rPr>
          <w:rFonts w:cs="Calibri"/>
          <w:iCs/>
          <w:sz w:val="20"/>
          <w:szCs w:val="20"/>
          <w:lang w:val="pt-BR"/>
        </w:rPr>
        <w:t>- A abusividade de encargos acessórios do contrato não descaracteriza a mora.</w:t>
      </w:r>
    </w:p>
    <w:p>
      <w:pPr>
        <w:pStyle w:val="Normal"/>
        <w:numPr>
          <w:ilvl w:val="0"/>
          <w:numId w:val="2"/>
        </w:numPr>
        <w:autoSpaceDE w:val="false"/>
        <w:spacing w:lineRule="auto" w:line="240"/>
        <w:ind w:hanging="0" w:start="2268" w:end="0"/>
        <w:jc w:val="both"/>
        <w:rPr>
          <w:rFonts w:cs="Calibri"/>
          <w:b/>
          <w:bCs/>
          <w:iCs/>
          <w:sz w:val="20"/>
          <w:szCs w:val="20"/>
        </w:rPr>
      </w:pPr>
      <w:r>
        <w:rPr>
          <w:rFonts w:cs="Calibri"/>
          <w:b/>
          <w:bCs/>
          <w:iCs/>
          <w:sz w:val="20"/>
          <w:szCs w:val="20"/>
        </w:rPr>
        <w:t>CASO CONCRETO.</w:t>
      </w:r>
    </w:p>
    <w:p>
      <w:pPr>
        <w:pStyle w:val="Normal"/>
        <w:spacing w:lineRule="auto" w:line="240"/>
        <w:ind w:start="2268" w:end="0"/>
        <w:jc w:val="both"/>
        <w:rPr/>
      </w:pPr>
      <w:r>
        <w:rPr>
          <w:rFonts w:cs="Calibri"/>
          <w:iCs/>
          <w:sz w:val="20"/>
          <w:szCs w:val="20"/>
          <w:lang w:val="pt-BR"/>
        </w:rPr>
        <w:t>3.1. Aplicação da tese 2.1 para declarar válida a cláusula referente ao ressarcimento da despesa com o registro do pré-gravame, condenando-se, porém, a instituição financeira a restituir o indébito em virtude da ausência de comprovação da efetiva prestação do serviço.</w:t>
      </w:r>
    </w:p>
    <w:p>
      <w:pPr>
        <w:pStyle w:val="Normal"/>
        <w:spacing w:lineRule="auto" w:line="240"/>
        <w:ind w:start="2268" w:end="0"/>
        <w:jc w:val="both"/>
        <w:rPr>
          <w:rFonts w:cs="Calibri"/>
          <w:b/>
          <w:iCs/>
          <w:sz w:val="20"/>
          <w:szCs w:val="20"/>
          <w:lang w:val="pt-BR"/>
        </w:rPr>
      </w:pPr>
      <w:r>
        <w:rPr>
          <w:rFonts w:cs="Calibri"/>
          <w:b/>
          <w:iCs/>
          <w:sz w:val="20"/>
          <w:szCs w:val="20"/>
          <w:lang w:val="pt-BR"/>
        </w:rPr>
        <w:t>3.2. Aplicação da tese 2.2 para declarar a ocorrência de venda casada no que tange ao seguro de proteção financeira.</w:t>
      </w:r>
    </w:p>
    <w:p>
      <w:pPr>
        <w:pStyle w:val="Normal"/>
        <w:spacing w:lineRule="auto" w:line="240"/>
        <w:ind w:start="2268" w:end="0"/>
        <w:jc w:val="both"/>
        <w:rPr/>
      </w:pPr>
      <w:r>
        <w:rPr>
          <w:rFonts w:cs="Calibri"/>
          <w:iCs/>
          <w:sz w:val="20"/>
          <w:szCs w:val="20"/>
          <w:lang w:val="pt-BR"/>
        </w:rPr>
        <w:t>3.3. Validade da cláusula de ressarcimento de despesa com registro do contrato, nos termos da tese firmada no julgamento do Tema 958/STJ, tendo havido comprovação da prestação do serviço.</w:t>
      </w:r>
    </w:p>
    <w:p>
      <w:pPr>
        <w:pStyle w:val="Normal"/>
        <w:spacing w:lineRule="auto" w:line="240"/>
        <w:ind w:start="2268" w:end="0"/>
        <w:jc w:val="both"/>
        <w:rPr>
          <w:rFonts w:cs="Calibri"/>
          <w:iCs/>
          <w:sz w:val="20"/>
          <w:szCs w:val="20"/>
          <w:lang w:val="pt-BR"/>
        </w:rPr>
      </w:pPr>
      <w:r>
        <w:rPr>
          <w:rFonts w:cs="Calibri"/>
          <w:iCs/>
          <w:sz w:val="20"/>
          <w:szCs w:val="20"/>
          <w:lang w:val="pt-BR"/>
        </w:rPr>
        <w:t>3.4. Ausência de interesse recursal no que tange à despesa com serviços prestados por terceiro.</w:t>
      </w:r>
    </w:p>
    <w:p>
      <w:pPr>
        <w:pStyle w:val="Normal"/>
        <w:numPr>
          <w:ilvl w:val="0"/>
          <w:numId w:val="2"/>
        </w:numPr>
        <w:autoSpaceDE w:val="false"/>
        <w:spacing w:lineRule="auto" w:line="240"/>
        <w:ind w:hanging="0" w:start="2268" w:end="0"/>
        <w:jc w:val="both"/>
        <w:rPr>
          <w:rFonts w:cs="Calibri"/>
          <w:b/>
          <w:bCs/>
          <w:iCs/>
          <w:sz w:val="20"/>
          <w:szCs w:val="20"/>
        </w:rPr>
      </w:pPr>
      <w:r>
        <w:rPr>
          <w:rFonts w:cs="Calibri"/>
          <w:b/>
          <w:bCs/>
          <w:iCs/>
          <w:sz w:val="20"/>
          <w:szCs w:val="20"/>
          <w:lang w:val="pt-BR"/>
        </w:rPr>
        <w:t xml:space="preserve">RECURSO ESPECIAL PARCIALMENTE CONHECIDO E, NESSA EXTENSÃO, PARCIALMENTE PROVIDO. </w:t>
      </w:r>
      <w:r>
        <w:rPr>
          <w:rFonts w:cs="Calibri"/>
          <w:bCs/>
          <w:iCs/>
          <w:sz w:val="20"/>
          <w:szCs w:val="20"/>
        </w:rPr>
        <w:t>(G.N.)</w:t>
      </w:r>
    </w:p>
    <w:p>
      <w:pPr>
        <w:pStyle w:val="Normal"/>
        <w:spacing w:lineRule="auto" w:line="300"/>
        <w:ind w:start="2268" w:end="0"/>
        <w:jc w:val="both"/>
        <w:rPr>
          <w:rFonts w:cs="Calibri"/>
          <w:b/>
          <w:bCs/>
          <w:iCs/>
          <w:sz w:val="20"/>
          <w:szCs w:val="20"/>
        </w:rPr>
      </w:pPr>
      <w:r>
        <w:rPr>
          <w:rFonts w:cs="Calibri"/>
          <w:b/>
          <w:bCs/>
          <w:iCs/>
          <w:sz w:val="20"/>
          <w:szCs w:val="20"/>
        </w:rPr>
      </w:r>
    </w:p>
    <w:p>
      <w:pPr>
        <w:pStyle w:val="Normal"/>
        <w:spacing w:lineRule="auto" w:line="240"/>
        <w:ind w:start="2268" w:end="0"/>
        <w:jc w:val="both"/>
        <w:rPr>
          <w:rFonts w:cs="Calibri"/>
          <w:b/>
          <w:sz w:val="20"/>
          <w:szCs w:val="20"/>
        </w:rPr>
      </w:pPr>
      <w:r>
        <w:rPr>
          <w:rFonts w:cs="Calibri"/>
          <w:b/>
          <w:sz w:val="20"/>
          <w:szCs w:val="20"/>
        </w:rPr>
        <w:t>RECURSO ESPECIAL N° 1.639.320 – SP (2016/0307286-9)</w:t>
      </w:r>
    </w:p>
    <w:p>
      <w:pPr>
        <w:pStyle w:val="Normal"/>
        <w:spacing w:lineRule="auto" w:line="240"/>
        <w:ind w:start="2268" w:end="0"/>
        <w:jc w:val="both"/>
        <w:rPr>
          <w:rFonts w:cs="Calibri"/>
          <w:sz w:val="20"/>
          <w:szCs w:val="20"/>
          <w:lang w:val="pt-BR"/>
        </w:rPr>
      </w:pPr>
      <w:r>
        <w:rPr>
          <w:rFonts w:cs="Calibri"/>
          <w:sz w:val="20"/>
          <w:szCs w:val="20"/>
          <w:lang w:val="pt-BR"/>
        </w:rPr>
        <w:t>RELATOR: MINISTRO PAULO DE TARSO SANSEVERINO</w:t>
      </w:r>
    </w:p>
    <w:p>
      <w:pPr>
        <w:pStyle w:val="Normal"/>
        <w:spacing w:lineRule="auto" w:line="240"/>
        <w:ind w:start="2268" w:end="0"/>
        <w:jc w:val="both"/>
        <w:rPr>
          <w:rFonts w:cs="Calibri"/>
          <w:sz w:val="20"/>
          <w:szCs w:val="20"/>
          <w:lang w:val="pt-BR"/>
        </w:rPr>
      </w:pPr>
      <w:r>
        <w:rPr>
          <w:rFonts w:cs="Calibri"/>
          <w:sz w:val="20"/>
          <w:szCs w:val="20"/>
          <w:lang w:val="pt-BR"/>
        </w:rPr>
        <w:t>RECORRENTE: WALDOMIRO BEZERRA</w:t>
      </w:r>
    </w:p>
    <w:p>
      <w:pPr>
        <w:pStyle w:val="Normal"/>
        <w:spacing w:lineRule="auto" w:line="240"/>
        <w:ind w:start="2268" w:end="0"/>
        <w:jc w:val="both"/>
        <w:rPr>
          <w:rFonts w:cs="Calibri"/>
          <w:sz w:val="20"/>
          <w:szCs w:val="20"/>
          <w:lang w:val="pt-BR"/>
        </w:rPr>
      </w:pPr>
      <w:r>
        <w:rPr>
          <w:rFonts w:cs="Calibri"/>
          <w:sz w:val="20"/>
          <w:szCs w:val="20"/>
          <w:lang w:val="pt-BR"/>
        </w:rPr>
        <w:t>ADVOGADO: DANILO CALHADO RODRIGUES E OUTRO(S) – SP246664</w:t>
      </w:r>
    </w:p>
    <w:p>
      <w:pPr>
        <w:pStyle w:val="Normal"/>
        <w:spacing w:lineRule="auto" w:line="240"/>
        <w:ind w:start="2268" w:end="0"/>
        <w:jc w:val="both"/>
        <w:rPr>
          <w:rFonts w:cs="Calibri"/>
          <w:sz w:val="20"/>
          <w:szCs w:val="20"/>
          <w:lang w:val="pt-BR"/>
        </w:rPr>
      </w:pPr>
      <w:r>
        <w:rPr>
          <w:rFonts w:cs="Calibri"/>
          <w:sz w:val="20"/>
          <w:szCs w:val="20"/>
          <w:lang w:val="pt-BR"/>
        </w:rPr>
        <w:t>RECORRIDO: BANCO ITAU BBA S.A</w:t>
      </w:r>
    </w:p>
    <w:p>
      <w:pPr>
        <w:pStyle w:val="Normal"/>
        <w:spacing w:lineRule="auto" w:line="240"/>
        <w:ind w:start="2268" w:end="0"/>
        <w:jc w:val="both"/>
        <w:rPr>
          <w:rFonts w:cs="Calibri"/>
          <w:sz w:val="20"/>
          <w:szCs w:val="20"/>
          <w:lang w:val="pt-BR"/>
        </w:rPr>
      </w:pPr>
      <w:r>
        <w:rPr>
          <w:rFonts w:cs="Calibri"/>
          <w:sz w:val="20"/>
          <w:szCs w:val="20"/>
          <w:lang w:val="pt-BR"/>
        </w:rPr>
        <w:t>ADVOGADOS: ROBERTO GUENDA E OUTRO(S) – SP101856</w:t>
      </w:r>
    </w:p>
    <w:p>
      <w:pPr>
        <w:pStyle w:val="Normal"/>
        <w:spacing w:lineRule="auto" w:line="240"/>
        <w:ind w:start="2268" w:end="0"/>
        <w:jc w:val="both"/>
        <w:rPr/>
      </w:pPr>
      <w:r>
        <w:rPr>
          <w:rFonts w:cs="Calibri"/>
          <w:sz w:val="20"/>
          <w:szCs w:val="20"/>
          <w:lang w:val="pt-BR"/>
        </w:rPr>
        <w:t>KONSTANTINOS JEAN ANDREOPOULOS – SP131758</w:t>
      </w:r>
    </w:p>
    <w:p>
      <w:pPr>
        <w:pStyle w:val="Normal"/>
        <w:spacing w:lineRule="auto" w:line="240"/>
        <w:ind w:start="2268" w:end="0"/>
        <w:jc w:val="both"/>
        <w:rPr>
          <w:rFonts w:cs="Calibri"/>
          <w:sz w:val="20"/>
          <w:szCs w:val="20"/>
          <w:lang w:val="pt-BR"/>
        </w:rPr>
      </w:pPr>
      <w:r>
        <w:rPr>
          <w:rFonts w:cs="Calibri"/>
          <w:sz w:val="20"/>
          <w:szCs w:val="20"/>
          <w:lang w:val="pt-BR"/>
        </w:rPr>
        <w:t>ANSELMO MOREIRA GONZALEZ E OUTRO(S) – SP248433</w:t>
      </w:r>
    </w:p>
    <w:p>
      <w:pPr>
        <w:pStyle w:val="Normal"/>
        <w:spacing w:lineRule="auto" w:line="240"/>
        <w:ind w:start="2268" w:end="0"/>
        <w:jc w:val="both"/>
        <w:rPr>
          <w:rFonts w:cs="Calibri"/>
          <w:sz w:val="20"/>
          <w:szCs w:val="20"/>
          <w:lang w:val="pt-BR"/>
        </w:rPr>
      </w:pPr>
      <w:r>
        <w:rPr>
          <w:rFonts w:cs="Calibri"/>
          <w:sz w:val="20"/>
          <w:szCs w:val="20"/>
          <w:lang w:val="pt-BR"/>
        </w:rPr>
        <w:t>INTERES.: BANCO CENTRAL DO BRASIL – BACEN – “AMICUS CURIAE”</w:t>
      </w:r>
    </w:p>
    <w:p>
      <w:pPr>
        <w:pStyle w:val="Normal"/>
        <w:spacing w:lineRule="auto" w:line="240"/>
        <w:ind w:start="2268" w:end="0"/>
        <w:jc w:val="both"/>
        <w:rPr>
          <w:rFonts w:cs="Calibri"/>
          <w:sz w:val="20"/>
          <w:szCs w:val="20"/>
          <w:lang w:val="pt-BR"/>
        </w:rPr>
      </w:pPr>
      <w:r>
        <w:rPr>
          <w:rFonts w:cs="Calibri"/>
          <w:sz w:val="20"/>
          <w:szCs w:val="20"/>
          <w:lang w:val="pt-BR"/>
        </w:rPr>
        <w:t>ADVOGADO: PROCURADORIA-GERAL DO BANCO CENTRAL – PB000000C</w:t>
      </w:r>
    </w:p>
    <w:p>
      <w:pPr>
        <w:pStyle w:val="Normal"/>
        <w:spacing w:lineRule="auto" w:line="240"/>
        <w:ind w:start="2268" w:end="0"/>
        <w:jc w:val="both"/>
        <w:rPr>
          <w:rFonts w:cs="Calibri"/>
          <w:sz w:val="20"/>
          <w:szCs w:val="20"/>
          <w:lang w:val="pt-BR"/>
        </w:rPr>
      </w:pPr>
      <w:r>
        <w:rPr>
          <w:rFonts w:cs="Calibri"/>
          <w:sz w:val="20"/>
          <w:szCs w:val="20"/>
          <w:lang w:val="pt-BR"/>
        </w:rPr>
        <w:t>INTERES.: FEDERAÇÃO BRASILEIRA DE BANCOS – “AMICUS CURIAE”</w:t>
      </w:r>
    </w:p>
    <w:p>
      <w:pPr>
        <w:pStyle w:val="Normal"/>
        <w:spacing w:lineRule="auto" w:line="240"/>
        <w:ind w:start="2268" w:end="0"/>
        <w:jc w:val="both"/>
        <w:rPr>
          <w:rFonts w:cs="Calibri"/>
          <w:sz w:val="20"/>
          <w:szCs w:val="20"/>
          <w:lang w:val="pt-BR"/>
        </w:rPr>
      </w:pPr>
      <w:r>
        <w:rPr>
          <w:rFonts w:cs="Calibri"/>
          <w:sz w:val="20"/>
          <w:szCs w:val="20"/>
          <w:lang w:val="pt-BR"/>
        </w:rPr>
        <w:t>ADVOGADO: LUIZ RODRIGUES WAMBIER E OUTRO(S) – PR007295</w:t>
      </w:r>
    </w:p>
    <w:p>
      <w:pPr>
        <w:pStyle w:val="Normal"/>
        <w:spacing w:lineRule="auto" w:line="240"/>
        <w:ind w:start="2268" w:end="0"/>
        <w:jc w:val="both"/>
        <w:rPr>
          <w:rFonts w:cs="Calibri"/>
          <w:sz w:val="20"/>
          <w:szCs w:val="20"/>
          <w:lang w:val="pt-BR"/>
        </w:rPr>
      </w:pPr>
      <w:r>
        <w:rPr>
          <w:rFonts w:cs="Calibri"/>
          <w:sz w:val="20"/>
          <w:szCs w:val="20"/>
          <w:lang w:val="pt-BR"/>
        </w:rPr>
        <w:t>INTERS.: DEFENSORIA PÚBLICA DO ESTADO DE SÃO PAULO – “AMICUS CURIAE”</w:t>
      </w:r>
    </w:p>
    <w:p>
      <w:pPr>
        <w:pStyle w:val="Normal"/>
        <w:spacing w:lineRule="auto" w:line="240"/>
        <w:ind w:start="2268" w:end="0"/>
        <w:jc w:val="both"/>
        <w:rPr>
          <w:rFonts w:cs="Calibri"/>
          <w:sz w:val="20"/>
          <w:szCs w:val="20"/>
          <w:lang w:val="pt-BR"/>
        </w:rPr>
      </w:pPr>
      <w:r>
        <w:rPr>
          <w:rFonts w:cs="Calibri"/>
          <w:sz w:val="20"/>
          <w:szCs w:val="20"/>
          <w:lang w:val="pt-BR"/>
        </w:rPr>
        <w:t>ADVOGADO: DEFENSORIA PÚBLICA DO ESTADO DE SÃO PAULO</w:t>
      </w:r>
    </w:p>
    <w:p>
      <w:pPr>
        <w:pStyle w:val="Normal"/>
        <w:spacing w:lineRule="auto" w:line="240"/>
        <w:ind w:start="2268" w:end="0"/>
        <w:jc w:val="both"/>
        <w:rPr>
          <w:rFonts w:cs="Calibri"/>
          <w:iCs/>
          <w:sz w:val="20"/>
          <w:szCs w:val="20"/>
          <w:lang w:val="pt-BR"/>
        </w:rPr>
      </w:pPr>
      <w:r>
        <w:rPr>
          <w:rFonts w:cs="Calibri"/>
          <w:iCs/>
          <w:sz w:val="20"/>
          <w:szCs w:val="20"/>
          <w:lang w:val="pt-BR"/>
        </w:rPr>
        <w:t>EMENTA</w:t>
      </w:r>
    </w:p>
    <w:p>
      <w:pPr>
        <w:pStyle w:val="Normal"/>
        <w:spacing w:lineRule="auto" w:line="240"/>
        <w:ind w:start="2268" w:end="0"/>
        <w:jc w:val="both"/>
        <w:rPr/>
      </w:pPr>
      <w:r>
        <w:rPr>
          <w:rFonts w:cs="Calibri"/>
          <w:iCs/>
          <w:sz w:val="20"/>
          <w:szCs w:val="20"/>
          <w:lang w:val="pt-BR"/>
        </w:rPr>
        <w:t xml:space="preserve">RECURSO ESPECIAL REPETITIVO. </w:t>
      </w:r>
      <w:r>
        <w:rPr>
          <w:rFonts w:cs="Calibri"/>
          <w:b/>
          <w:iCs/>
          <w:sz w:val="20"/>
          <w:szCs w:val="20"/>
          <w:lang w:val="pt-BR"/>
        </w:rPr>
        <w:t>TEMA 972/STJ. DIREITO BANCÁRIO</w:t>
      </w:r>
      <w:r>
        <w:rPr>
          <w:rFonts w:cs="Calibri"/>
          <w:iCs/>
          <w:sz w:val="20"/>
          <w:szCs w:val="20"/>
          <w:lang w:val="pt-BR"/>
        </w:rPr>
        <w:t xml:space="preserve">. DESPESA DE PRÉ-GRAVAME. VALIDADE NOS CONTRATOS CELEBRADOS ATÉ 25/02/2011. </w:t>
      </w:r>
      <w:r>
        <w:rPr>
          <w:rFonts w:cs="Calibri"/>
          <w:b/>
          <w:iCs/>
          <w:sz w:val="20"/>
          <w:szCs w:val="20"/>
          <w:lang w:val="pt-BR"/>
        </w:rPr>
        <w:t>SEGURO DE PROTEÇÃO FINANCEIRA. VENDA CASADA.</w:t>
      </w:r>
      <w:r>
        <w:rPr>
          <w:rFonts w:cs="Calibri"/>
          <w:iCs/>
          <w:sz w:val="20"/>
          <w:szCs w:val="20"/>
          <w:lang w:val="pt-BR"/>
        </w:rPr>
        <w:t xml:space="preserve"> RESTRIÇÃO À ESCOLHA DA SEGURADORA. ANALOGIA COM O ENTENDIMENTO DA SÚMULA 473/STJ. DESCARACTERIZAÇÃO DA MORA. NÃO OCORRÊNCIA. ENCARGOS ACESSÓRIOS.</w:t>
      </w:r>
    </w:p>
    <w:p>
      <w:pPr>
        <w:pStyle w:val="Normal"/>
        <w:spacing w:lineRule="auto" w:line="240"/>
        <w:ind w:start="2268" w:end="0"/>
        <w:jc w:val="both"/>
        <w:rPr/>
      </w:pPr>
      <w:r>
        <w:rPr>
          <w:rFonts w:cs="Calibri"/>
          <w:b/>
          <w:bCs/>
          <w:iCs/>
          <w:sz w:val="20"/>
          <w:szCs w:val="20"/>
          <w:lang w:val="pt-BR"/>
        </w:rPr>
        <w:t xml:space="preserve">1. DELIMITAÇÃO DA CONTROVÉRSIA: </w:t>
      </w:r>
      <w:r>
        <w:rPr>
          <w:rFonts w:cs="Calibri"/>
          <w:iCs/>
          <w:sz w:val="20"/>
          <w:szCs w:val="20"/>
          <w:lang w:val="pt-BR"/>
        </w:rPr>
        <w:t>Contratos bancários celebrados a partir de 30/04/2008, com instituições financeiras ou equiparadas, seja diretamente, seja por intermédio de correspondente bancário, no âmbito das relações de consumo.</w:t>
      </w:r>
    </w:p>
    <w:p>
      <w:pPr>
        <w:pStyle w:val="Normal"/>
        <w:spacing w:lineRule="auto" w:line="240"/>
        <w:ind w:start="2268" w:end="0"/>
        <w:jc w:val="both"/>
        <w:rPr/>
      </w:pPr>
      <w:r>
        <w:rPr>
          <w:rFonts w:cs="Calibri"/>
          <w:b/>
          <w:bCs/>
          <w:iCs/>
          <w:sz w:val="20"/>
          <w:szCs w:val="20"/>
          <w:lang w:val="pt-BR"/>
        </w:rPr>
        <w:t>2. TESES FIXADAS PARA OS FINS DO ART. 1.040 DO CPC/2015:</w:t>
      </w:r>
    </w:p>
    <w:p>
      <w:pPr>
        <w:pStyle w:val="Normal"/>
        <w:spacing w:lineRule="auto" w:line="240"/>
        <w:ind w:start="2268" w:end="0"/>
        <w:jc w:val="both"/>
        <w:rPr>
          <w:rFonts w:cs="Calibri"/>
          <w:iCs/>
          <w:sz w:val="20"/>
          <w:szCs w:val="20"/>
          <w:lang w:val="pt-BR"/>
        </w:rPr>
      </w:pPr>
      <w:r>
        <w:rPr>
          <w:rFonts w:cs="Calibri"/>
          <w:iCs/>
          <w:sz w:val="20"/>
          <w:szCs w:val="20"/>
          <w:lang w:val="pt-BR"/>
        </w:rPr>
        <w:t>2.1 - Abusividade da cláusula que prevê o ressarcimento pelo consumidor da despesa com o registro do pré-gravame, em contratos celebrados a partir de 25/02/2011, data de entrada em vigor da Res.-CMN 3.954/2011, sendo válida a cláusula pactuada no período anterior a essa resolução, ressalvado o controle da onerosidade excessiva.</w:t>
      </w:r>
    </w:p>
    <w:p>
      <w:pPr>
        <w:pStyle w:val="Normal"/>
        <w:spacing w:lineRule="auto" w:line="240"/>
        <w:ind w:start="2268" w:end="0"/>
        <w:jc w:val="both"/>
        <w:rPr/>
      </w:pPr>
      <w:r>
        <w:rPr>
          <w:rFonts w:cs="Calibri"/>
          <w:b/>
          <w:iCs/>
          <w:sz w:val="20"/>
          <w:szCs w:val="20"/>
          <w:lang w:val="pt-BR"/>
        </w:rPr>
        <w:t>2.2 -</w:t>
      </w:r>
      <w:r>
        <w:rPr>
          <w:rFonts w:cs="Calibri"/>
          <w:iCs/>
          <w:sz w:val="20"/>
          <w:szCs w:val="20"/>
          <w:lang w:val="pt-BR"/>
        </w:rPr>
        <w:t xml:space="preserve"> </w:t>
      </w:r>
      <w:r>
        <w:rPr>
          <w:rFonts w:cs="Calibri"/>
          <w:b/>
          <w:iCs/>
          <w:sz w:val="20"/>
          <w:szCs w:val="20"/>
          <w:lang w:val="pt-BR"/>
        </w:rPr>
        <w:t>Nos contratos bancários em geral, o consumidor não pode ser compelido a contratar seguro com a instituição financeira ou com seguradora por ela indicada.</w:t>
      </w:r>
    </w:p>
    <w:p>
      <w:pPr>
        <w:pStyle w:val="Normal"/>
        <w:spacing w:lineRule="auto" w:line="240"/>
        <w:ind w:start="2268" w:end="0"/>
        <w:jc w:val="both"/>
        <w:rPr/>
      </w:pPr>
      <w:r>
        <w:rPr>
          <w:rFonts w:cs="Calibri"/>
          <w:iCs/>
          <w:sz w:val="20"/>
          <w:szCs w:val="20"/>
          <w:lang w:val="pt-BR"/>
        </w:rPr>
        <w:t>2.3 - A abusividade de encargos acessórios do contrato não descaracteriza a mora.</w:t>
      </w:r>
    </w:p>
    <w:p>
      <w:pPr>
        <w:pStyle w:val="Normal"/>
        <w:spacing w:lineRule="auto" w:line="240"/>
        <w:ind w:start="2268" w:end="0"/>
        <w:jc w:val="both"/>
        <w:rPr>
          <w:rFonts w:cs="Calibri"/>
          <w:b/>
          <w:bCs/>
          <w:iCs/>
          <w:sz w:val="20"/>
          <w:szCs w:val="20"/>
          <w:lang w:val="pt-BR"/>
        </w:rPr>
      </w:pPr>
      <w:r>
        <w:rPr>
          <w:rFonts w:cs="Calibri"/>
          <w:b/>
          <w:bCs/>
          <w:iCs/>
          <w:sz w:val="20"/>
          <w:szCs w:val="20"/>
          <w:lang w:val="pt-BR"/>
        </w:rPr>
        <w:t>3. CASO CONCRETO.</w:t>
      </w:r>
    </w:p>
    <w:p>
      <w:pPr>
        <w:pStyle w:val="Normal"/>
        <w:spacing w:lineRule="auto" w:line="240"/>
        <w:ind w:start="2268" w:end="0"/>
        <w:jc w:val="both"/>
        <w:rPr>
          <w:rFonts w:cs="Calibri"/>
          <w:iCs/>
          <w:sz w:val="20"/>
          <w:szCs w:val="20"/>
          <w:lang w:val="pt-BR"/>
        </w:rPr>
      </w:pPr>
      <w:r>
        <w:rPr>
          <w:rFonts w:cs="Calibri"/>
          <w:iCs/>
          <w:sz w:val="20"/>
          <w:szCs w:val="20"/>
          <w:lang w:val="pt-BR"/>
        </w:rPr>
        <w:t>3.1. Aplicação da tese 2.3 ao caso concreto, mantendo-se a procedência da ação de reintegração de posse do bem arrendado.</w:t>
      </w:r>
    </w:p>
    <w:p>
      <w:pPr>
        <w:pStyle w:val="Normal"/>
        <w:spacing w:lineRule="auto" w:line="240"/>
        <w:ind w:start="2268" w:end="0"/>
        <w:jc w:val="both"/>
        <w:rPr>
          <w:rFonts w:cs="Calibri"/>
          <w:b/>
          <w:bCs/>
          <w:iCs/>
          <w:sz w:val="20"/>
          <w:szCs w:val="20"/>
          <w:lang w:val="pt-BR"/>
        </w:rPr>
      </w:pPr>
      <w:r>
        <w:rPr>
          <w:rFonts w:cs="Calibri"/>
          <w:b/>
          <w:bCs/>
          <w:iCs/>
          <w:sz w:val="20"/>
          <w:szCs w:val="20"/>
          <w:lang w:val="pt-BR"/>
        </w:rPr>
        <w:t xml:space="preserve">4. RECURSO ESPECIAL DESPROVIDO. </w:t>
      </w:r>
      <w:r>
        <w:rPr>
          <w:rFonts w:cs="Calibri"/>
          <w:bCs/>
          <w:iCs/>
          <w:sz w:val="20"/>
          <w:szCs w:val="20"/>
          <w:lang w:val="pt-BR"/>
        </w:rPr>
        <w:t>(G.N.)</w:t>
      </w:r>
    </w:p>
    <w:p>
      <w:pPr>
        <w:pStyle w:val="Normal"/>
        <w:spacing w:lineRule="auto" w:line="300"/>
        <w:ind w:firstLine="1985" w:end="0"/>
        <w:jc w:val="both"/>
        <w:rPr>
          <w:rFonts w:cs="Calibri"/>
          <w:b/>
          <w:bCs/>
          <w:iCs/>
          <w:sz w:val="20"/>
          <w:szCs w:val="20"/>
          <w:lang w:val="pt-BR"/>
        </w:rPr>
      </w:pPr>
      <w:r>
        <w:rPr>
          <w:rFonts w:cs="Calibri"/>
          <w:b/>
          <w:bCs/>
          <w:iCs/>
          <w:sz w:val="20"/>
          <w:szCs w:val="20"/>
          <w:lang w:val="pt-BR"/>
        </w:rPr>
      </w:r>
    </w:p>
    <w:p>
      <w:pPr>
        <w:pStyle w:val="Normal"/>
        <w:spacing w:lineRule="auto" w:line="300"/>
        <w:ind w:firstLine="1418" w:end="0"/>
        <w:jc w:val="both"/>
        <w:rPr/>
      </w:pPr>
      <w:r>
        <w:rPr>
          <w:rFonts w:cs="Calibri"/>
          <w:lang w:val="pt-BR"/>
        </w:rPr>
        <w:t>Excelência, cumpre registrar que a requerida reitera a prática abusiva de venda casada, condicionando a liberação de operações financeiras (empréstimos) à aquisição de produtos por ela ofertados. Tal conduta lhe proporciona ganhos indevidos e afronta de forma sistemática a ordem consumerista, justificando condenação com caráter pedagógico e inibitório para prevenir a reiteração da prática.</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 xml:space="preserve">Requer-se o reconhecimento da prática abusiva de </w:t>
      </w:r>
      <w:r>
        <w:rPr>
          <w:rFonts w:cs="Calibri"/>
          <w:b/>
          <w:bCs/>
          <w:lang w:val="pt-BR"/>
        </w:rPr>
        <w:t>venda casada</w:t>
      </w:r>
      <w:r>
        <w:rPr>
          <w:rFonts w:cs="Calibri"/>
          <w:lang w:val="pt-BR"/>
        </w:rPr>
        <w:t xml:space="preserve"> perpetrada pelo requerido, em </w:t>
      </w:r>
      <w:r>
        <w:rPr>
          <w:rFonts w:cs="Calibri"/>
          <w:b/>
          <w:bCs/>
          <w:lang w:val="pt-BR"/>
        </w:rPr>
        <w:t>violação ao art. 39, I, do CDC</w:t>
      </w:r>
      <w:r>
        <w:rPr>
          <w:rFonts w:cs="Calibri"/>
          <w:lang w:val="pt-BR"/>
        </w:rPr>
        <w:t xml:space="preserve"> e ao </w:t>
      </w:r>
      <w:r>
        <w:rPr>
          <w:rFonts w:cs="Calibri"/>
          <w:b/>
          <w:bCs/>
          <w:lang w:val="pt-BR"/>
        </w:rPr>
        <w:t>art. 17 da Resolução CMN/Bacen nº 2.892/2001</w:t>
      </w:r>
      <w:r>
        <w:rPr>
          <w:rFonts w:cs="Calibri"/>
          <w:lang w:val="pt-BR"/>
        </w:rPr>
        <w:t xml:space="preserve">, em consonância com a orientação do </w:t>
      </w:r>
      <w:r>
        <w:rPr>
          <w:rFonts w:cs="Calibri"/>
          <w:b/>
          <w:bCs/>
          <w:lang w:val="pt-BR"/>
        </w:rPr>
        <w:t>STJ (Tema 972; REsp 1.639.320/SP e 1.639.259/SP)</w:t>
      </w:r>
      <w:r>
        <w:rPr>
          <w:rFonts w:cs="Calibri"/>
          <w:lang w:val="pt-BR"/>
        </w:rPr>
        <w:t>.</w:t>
      </w:r>
    </w:p>
    <w:p>
      <w:pPr>
        <w:pStyle w:val="Normal"/>
        <w:spacing w:lineRule="auto" w:line="300"/>
        <w:ind w:firstLine="1418" w:end="0"/>
        <w:jc w:val="both"/>
        <w:rPr>
          <w:rFonts w:cs="Calibri"/>
          <w:sz w:val="18"/>
          <w:szCs w:val="18"/>
          <w:lang w:val="pt-BR"/>
        </w:rPr>
      </w:pPr>
      <w:r>
        <w:rPr>
          <w:rFonts w:cs="Calibri"/>
          <w:sz w:val="18"/>
          <w:szCs w:val="18"/>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both"/>
        <w:rPr>
          <w:rFonts w:cs="Calibri"/>
          <w:b/>
          <w:lang w:val="pt-BR"/>
        </w:rPr>
      </w:pPr>
      <w:r>
        <w:rPr>
          <w:rFonts w:cs="Calibri"/>
          <w:b/>
          <w:lang w:val="pt-BR"/>
        </w:rPr>
        <w:t>3.4 - DO DANO MATERIAL E DA REPETIÇÃO DO INDÉBITO – ART. 42, PARÁGRAFO ÚNICO DO CDC</w:t>
      </w:r>
    </w:p>
    <w:p>
      <w:pPr>
        <w:pStyle w:val="Normal"/>
        <w:spacing w:lineRule="auto" w:line="300"/>
        <w:ind w:firstLine="1985" w:end="0"/>
        <w:jc w:val="both"/>
        <w:rPr>
          <w:rFonts w:cs="Calibri"/>
          <w:b/>
          <w:sz w:val="18"/>
          <w:szCs w:val="18"/>
          <w:lang w:val="pt-BR"/>
        </w:rPr>
      </w:pPr>
      <w:r>
        <w:rPr>
          <w:rFonts w:cs="Calibri"/>
          <w:b/>
          <w:sz w:val="18"/>
          <w:szCs w:val="18"/>
          <w:lang w:val="pt-BR"/>
        </w:rPr>
      </w:r>
    </w:p>
    <w:p>
      <w:pPr>
        <w:pStyle w:val="Normal"/>
        <w:spacing w:lineRule="auto" w:line="300"/>
        <w:ind w:firstLine="1418" w:end="0"/>
        <w:jc w:val="both"/>
        <w:rPr/>
      </w:pPr>
      <w:r>
        <w:rPr>
          <w:rFonts w:cs="Calibri"/>
          <w:lang w:val="pt-BR"/>
        </w:rPr>
        <w:t xml:space="preserve">Conforme delineado no item 3.3, o STJ </w:t>
      </w:r>
      <w:r>
        <w:rPr>
          <w:rFonts w:cs="Calibri"/>
          <w:b/>
          <w:bCs/>
          <w:lang w:val="pt-BR"/>
        </w:rPr>
        <w:t>(Tema 972, REsp 1.639.320/SP e REsp 1.639.259/SP)</w:t>
      </w:r>
      <w:r>
        <w:rPr>
          <w:rFonts w:cs="Calibri"/>
          <w:lang w:val="pt-BR"/>
        </w:rPr>
        <w:t xml:space="preserve"> firmou orientação de que é abusivo compelir o consumidor a contratar seguro com a instituição financeira ou com seguradora por ela indicada. No caso concreto, a parte requerente somente obteve a liberação do crédito porque foi condicionada à aquisição do produto </w:t>
      </w:r>
      <w:r>
        <w:rPr>
          <w:rFonts w:cs="Calibri"/>
          <w:b/>
          <w:bCs/>
          <w:lang w:val="pt-BR"/>
        </w:rPr>
        <w:t>“Seguro Consignado Protegido”</w:t>
      </w:r>
      <w:r>
        <w:rPr>
          <w:rFonts w:cs="Calibri"/>
          <w:lang w:val="pt-BR"/>
        </w:rPr>
        <w:t xml:space="preserve"> no valor de </w:t>
      </w:r>
      <w:r>
        <w:rPr>
          <w:rFonts w:cs="Calibri"/>
          <w:b/>
          <w:bCs/>
          <w:lang w:val="pt-BR"/>
        </w:rPr>
        <w:t>R$ ________</w:t>
      </w:r>
      <w:r>
        <w:rPr>
          <w:rFonts w:cs="Calibri"/>
          <w:lang w:val="pt-BR"/>
        </w:rPr>
        <w:t>, o que configura venda casada e, por consequência, cobrança indevida.</w:t>
      </w:r>
    </w:p>
    <w:p>
      <w:pPr>
        <w:pStyle w:val="Normal"/>
        <w:spacing w:lineRule="auto" w:line="300"/>
        <w:ind w:firstLine="1418" w:end="0"/>
        <w:jc w:val="both"/>
        <w:rPr>
          <w:rFonts w:cs="Calibri"/>
          <w:sz w:val="18"/>
          <w:szCs w:val="18"/>
          <w:lang w:val="pt-BR"/>
        </w:rPr>
      </w:pPr>
      <w:r>
        <w:rPr>
          <w:rFonts w:cs="Calibri"/>
          <w:sz w:val="18"/>
          <w:szCs w:val="18"/>
          <w:lang w:val="pt-BR"/>
        </w:rPr>
      </w:r>
    </w:p>
    <w:p>
      <w:pPr>
        <w:pStyle w:val="Normal"/>
        <w:spacing w:lineRule="auto" w:line="300"/>
        <w:ind w:firstLine="1418" w:end="0"/>
        <w:jc w:val="both"/>
        <w:rPr>
          <w:rFonts w:cs="Calibri"/>
          <w:lang w:val="pt-BR"/>
        </w:rPr>
      </w:pPr>
      <w:r>
        <w:rPr>
          <w:rFonts w:cs="Calibri"/>
          <w:lang w:val="pt-BR"/>
        </w:rPr>
        <w:t xml:space="preserve">À luz do art. 42, parágrafo único, do CDC, é devida a restituição em dobro dos valores indevidamente exigidos, salvo engano justificável, o que não se verifica, pois houve conduta deliberada de impor contratação acessória não desejada, em violação à boa-fé e à transparência. </w:t>
      </w:r>
    </w:p>
    <w:p>
      <w:pPr>
        <w:pStyle w:val="Normal"/>
        <w:spacing w:lineRule="auto" w:line="300"/>
        <w:jc w:val="both"/>
        <w:rPr>
          <w:rFonts w:cs="Calibri"/>
          <w:sz w:val="18"/>
          <w:szCs w:val="18"/>
          <w:lang w:val="pt-BR"/>
        </w:rPr>
      </w:pPr>
      <w:r>
        <w:rPr>
          <w:rFonts w:cs="Calibri"/>
          <w:sz w:val="18"/>
          <w:szCs w:val="18"/>
          <w:lang w:val="pt-BR"/>
        </w:rPr>
      </w:r>
    </w:p>
    <w:p>
      <w:pPr>
        <w:pStyle w:val="Normal"/>
        <w:spacing w:lineRule="auto" w:line="240"/>
        <w:ind w:start="2268" w:end="0"/>
        <w:jc w:val="both"/>
        <w:rPr>
          <w:rFonts w:cs="Calibri"/>
          <w:sz w:val="20"/>
          <w:szCs w:val="20"/>
          <w:lang w:val="pt-BR"/>
        </w:rPr>
      </w:pPr>
      <w:r>
        <w:rPr>
          <w:rFonts w:cs="Calibri"/>
          <w:sz w:val="20"/>
          <w:szCs w:val="20"/>
          <w:lang w:val="pt-BR"/>
        </w:rPr>
        <w:t>Art. 42. (...)</w:t>
      </w:r>
    </w:p>
    <w:p>
      <w:pPr>
        <w:pStyle w:val="Normal"/>
        <w:spacing w:lineRule="auto" w:line="240"/>
        <w:ind w:start="2268" w:end="0"/>
        <w:jc w:val="both"/>
        <w:rPr/>
      </w:pPr>
      <w:r>
        <w:rPr>
          <w:rFonts w:cs="Calibri"/>
          <w:b/>
          <w:bCs/>
          <w:sz w:val="20"/>
          <w:szCs w:val="20"/>
          <w:lang w:val="pt-BR"/>
        </w:rPr>
        <w:t>Parágrafo único. O consumidor cobrado em quantia indevida tem direito à repetição do indébito, por valor igual ao dobro do que pagou em excesso, acrescido de correção monetária e juros legais, salvo hipótese de engano justificável.</w:t>
      </w:r>
    </w:p>
    <w:p>
      <w:pPr>
        <w:pStyle w:val="Normal"/>
        <w:spacing w:lineRule="auto" w:line="300"/>
        <w:jc w:val="both"/>
        <w:rPr>
          <w:rFonts w:cs="Calibri"/>
          <w:b/>
          <w:bCs/>
          <w:sz w:val="20"/>
          <w:szCs w:val="20"/>
          <w:lang w:val="pt-BR"/>
        </w:rPr>
      </w:pPr>
      <w:r>
        <w:rPr>
          <w:rFonts w:cs="Calibri"/>
          <w:b/>
          <w:bCs/>
          <w:sz w:val="20"/>
          <w:szCs w:val="20"/>
          <w:lang w:val="pt-BR"/>
        </w:rPr>
      </w:r>
    </w:p>
    <w:p>
      <w:pPr>
        <w:pStyle w:val="Normal"/>
        <w:spacing w:lineRule="auto" w:line="300"/>
        <w:ind w:firstLine="1418" w:end="0"/>
        <w:jc w:val="both"/>
        <w:rPr>
          <w:rFonts w:cs="Calibri"/>
          <w:lang w:val="pt-BR"/>
        </w:rPr>
      </w:pPr>
      <w:r>
        <w:rPr>
          <w:rFonts w:cs="Calibri"/>
          <w:lang w:val="pt-BR"/>
        </w:rPr>
        <w:t xml:space="preserve">Também é previsto no Código Civil a obrigação de devolver daquele que recebeu o que não era devido, conforme previsto na primeira parte do artigo 876, senão vejamos: </w:t>
      </w:r>
    </w:p>
    <w:p>
      <w:pPr>
        <w:pStyle w:val="Normal"/>
        <w:spacing w:lineRule="auto" w:line="300"/>
        <w:jc w:val="both"/>
        <w:rPr>
          <w:rFonts w:cs="Calibri"/>
          <w:lang w:val="pt-BR"/>
        </w:rPr>
      </w:pPr>
      <w:r>
        <w:rPr>
          <w:rFonts w:cs="Calibri"/>
          <w:lang w:val="pt-BR"/>
        </w:rPr>
      </w:r>
    </w:p>
    <w:p>
      <w:pPr>
        <w:pStyle w:val="Normal"/>
        <w:spacing w:lineRule="auto" w:line="240"/>
        <w:ind w:start="2268" w:end="0"/>
        <w:jc w:val="both"/>
        <w:rPr>
          <w:rFonts w:cs="Calibri"/>
          <w:sz w:val="20"/>
          <w:szCs w:val="20"/>
          <w:lang w:val="pt-BR"/>
        </w:rPr>
      </w:pPr>
      <w:r>
        <w:rPr>
          <w:rFonts w:cs="Calibri"/>
          <w:sz w:val="20"/>
          <w:szCs w:val="20"/>
          <w:lang w:val="pt-BR"/>
        </w:rPr>
        <w:t>Art. 876. Todo aquele que recebeu o que lhe não era devido fica obrigado a restituir; (...)</w:t>
      </w:r>
    </w:p>
    <w:p>
      <w:pPr>
        <w:pStyle w:val="Normal"/>
        <w:spacing w:lineRule="auto" w:line="300"/>
        <w:jc w:val="both"/>
        <w:rPr>
          <w:rFonts w:cs="Calibri"/>
          <w:sz w:val="20"/>
          <w:szCs w:val="20"/>
          <w:lang w:val="pt-BR"/>
        </w:rPr>
      </w:pPr>
      <w:r>
        <w:rPr>
          <w:rFonts w:cs="Calibri"/>
          <w:sz w:val="20"/>
          <w:szCs w:val="20"/>
          <w:lang w:val="pt-BR"/>
        </w:rPr>
      </w:r>
    </w:p>
    <w:p>
      <w:pPr>
        <w:pStyle w:val="Normal"/>
        <w:spacing w:lineRule="auto" w:line="300"/>
        <w:ind w:firstLine="1418" w:end="0"/>
        <w:jc w:val="both"/>
        <w:rPr>
          <w:rFonts w:cs="Calibri"/>
          <w:lang w:val="pt-BR"/>
        </w:rPr>
      </w:pPr>
      <w:r>
        <w:rPr>
          <w:rFonts w:cs="Calibri"/>
          <w:lang w:val="pt-BR"/>
        </w:rPr>
        <w:t xml:space="preserve">Nesse sentido, colacionamos recentes julgados do Egrégio Tribunal de Justiça do Amazonas, confira-se: </w:t>
      </w:r>
    </w:p>
    <w:p>
      <w:pPr>
        <w:pStyle w:val="Normal"/>
        <w:spacing w:lineRule="auto" w:line="300"/>
        <w:ind w:firstLine="1418" w:end="0"/>
        <w:jc w:val="both"/>
        <w:rPr>
          <w:rFonts w:cs="Calibri"/>
          <w:lang w:val="pt-BR"/>
        </w:rPr>
      </w:pPr>
      <w:r>
        <w:rPr>
          <w:rFonts w:cs="Calibri"/>
          <w:lang w:val="pt-BR"/>
        </w:rPr>
      </w:r>
    </w:p>
    <w:p>
      <w:pPr>
        <w:pStyle w:val="Normal"/>
        <w:spacing w:lineRule="auto" w:line="240"/>
        <w:ind w:start="2268" w:end="0"/>
        <w:jc w:val="both"/>
        <w:rPr/>
      </w:pPr>
      <w:r>
        <w:rPr>
          <w:rFonts w:cs="Calibri"/>
          <w:color w:val="000000"/>
          <w:sz w:val="20"/>
          <w:szCs w:val="20"/>
          <w:shd w:fill="FFFFFF" w:val="clear"/>
          <w:lang w:val="pt-BR"/>
        </w:rPr>
        <w:t xml:space="preserve">APELAÇÃO CÍVEL. CIVIL E PROCESSUAL CIVIL. AÇÃO DE REVISÃO CONTRATUAL. INCIDÊNCIA DO CDC. POSSIBILIDADE. REVISÃO DA TAXA DE JUROS REMUNERATÓRIOS. EXORBITÂNCIA NÃO DEMONSTRADA. TARIFAS RELATIVAS A SERVIÇOS DE TERCEIROS. POSSIBILIDADE. </w:t>
      </w:r>
      <w:r>
        <w:rPr>
          <w:rFonts w:cs="Calibri"/>
          <w:b/>
          <w:bCs/>
          <w:color w:val="000000"/>
          <w:sz w:val="20"/>
          <w:szCs w:val="20"/>
          <w:shd w:fill="FFFFFF" w:val="clear"/>
          <w:lang w:val="pt-BR"/>
        </w:rPr>
        <w:t>SEGURO PROTEÇÃO FINANCEIRA E SEGURO GARANTIA MECÂNICA. VENDA CASADA DEMONSTRADA. DEVOLUÇÃO EM DOBRO DOS VALORES DESCONTADOS.</w:t>
      </w:r>
      <w:r>
        <w:rPr>
          <w:rFonts w:cs="Calibri"/>
          <w:color w:val="000000"/>
          <w:sz w:val="20"/>
          <w:szCs w:val="20"/>
          <w:shd w:fill="FFFFFF" w:val="clear"/>
          <w:lang w:val="pt-BR"/>
        </w:rPr>
        <w:t xml:space="preserve"> RECURSO CONHECIDO E PARCIALMENTE PROVIDO. - Observada a taxa mensal contratada (2,32%, cf. Contrato; vide-se fl. 78 dos autos de origem) em relação a média mensal divulgada à época da contratação (1,85%), não se observa abusividade quanto aos juros remuneratórios estipulados entre as partes, uma vez que não excede os parâmetros estabelecidos (uma vez e meia a taxa ditada pelo Banco Central); - Quanto à alegação de aplicação de taxa de juros diversa da pactuada, tenho que o Parecer juntado às fls. 28-39 não constitui prova hábil para fins de demonstrar o alegado, verifico que sequer consta no referido documento a indicação do nome completo e qualificação do perito responsável pela sua emissão; - </w:t>
      </w:r>
      <w:r>
        <w:rPr>
          <w:rFonts w:cs="Calibri"/>
          <w:b/>
          <w:bCs/>
          <w:color w:val="000000"/>
          <w:sz w:val="20"/>
          <w:szCs w:val="20"/>
          <w:shd w:fill="FFFFFF" w:val="clear"/>
          <w:lang w:val="pt-BR"/>
        </w:rPr>
        <w:t>O STJ, por ocasião do julgamento do REsp n.º 1.639.259/SP, fixou tese no sentido de que, nos contratos bancários em geral, o consumidor não pode ser compelido a contratar seguro com a instituição financeira ou com seguradora por ela indicada; - Não demonstrado que os seguros proteção financeira e garantia mecânica foram efetivamente contratados ou autorizados de forma clara e precisa pelo Apelante, a cobrança bancária respectiva é ilegal e a repetição do indébito, em dobro, é medida que se impõe;</w:t>
      </w:r>
      <w:r>
        <w:rPr>
          <w:rFonts w:cs="Calibri"/>
          <w:color w:val="000000"/>
          <w:sz w:val="20"/>
          <w:szCs w:val="20"/>
          <w:shd w:fill="FFFFFF" w:val="clear"/>
          <w:lang w:val="pt-BR"/>
        </w:rPr>
        <w:t xml:space="preserve"> - O Apelante se insurge, ainda, contra cobrança de tarifas constantes do negócio jurídico, sendo elas tarifa para registro do contrato no órgão de trânsito e tarifa de avaliação de veículo usado. O Superior Tribunal de Justiça, contudo, possui entendimento uníssono no sentido de reconhecer a legalidade da cobrança de tais tarifas; - Recurso conhecido e parcialmente provido.</w:t>
      </w:r>
      <w:r>
        <w:rPr>
          <w:rFonts w:cs="Calibri"/>
          <w:color w:val="000000"/>
          <w:sz w:val="20"/>
          <w:szCs w:val="20"/>
          <w:lang w:val="pt-BR"/>
        </w:rPr>
        <w:t xml:space="preserve"> </w:t>
      </w:r>
      <w:r>
        <w:rPr>
          <w:rFonts w:cs="Calibri"/>
          <w:color w:val="000000"/>
          <w:sz w:val="20"/>
          <w:szCs w:val="20"/>
          <w:shd w:fill="FFFFFF" w:val="clear"/>
          <w:lang w:val="pt-BR"/>
        </w:rPr>
        <w:t>(Relator (a): Abraham Peixoto Campos Filho; Comarca: Capital - Fórum Ministro Henoch Reis; Órgão julgador: Terceira Câmara Cível; Data do julgamento: 16/02/2023; Data de registro: 16/02/2023) (grifo nosso)</w:t>
      </w:r>
    </w:p>
    <w:p>
      <w:pPr>
        <w:pStyle w:val="Normal"/>
        <w:spacing w:lineRule="auto" w:line="240"/>
        <w:ind w:start="2268" w:end="0"/>
        <w:jc w:val="both"/>
        <w:rPr>
          <w:rFonts w:cs="Calibri"/>
          <w:color w:val="000000"/>
          <w:sz w:val="20"/>
          <w:szCs w:val="20"/>
          <w:shd w:fill="FFFFFF" w:val="clear"/>
          <w:lang w:val="pt-BR"/>
        </w:rPr>
      </w:pPr>
      <w:r>
        <w:rPr>
          <w:rFonts w:cs="Calibri"/>
          <w:color w:val="000000"/>
          <w:sz w:val="20"/>
          <w:szCs w:val="20"/>
          <w:shd w:fill="FFFFFF" w:val="clear"/>
          <w:lang w:val="pt-BR"/>
        </w:rPr>
      </w:r>
    </w:p>
    <w:p>
      <w:pPr>
        <w:pStyle w:val="Normal"/>
        <w:spacing w:lineRule="auto" w:line="240"/>
        <w:ind w:start="2268" w:end="0"/>
        <w:jc w:val="both"/>
        <w:rPr/>
      </w:pPr>
      <w:r>
        <w:rPr>
          <w:rFonts w:cs="Calibri"/>
          <w:color w:val="000000"/>
          <w:sz w:val="20"/>
          <w:szCs w:val="20"/>
          <w:shd w:fill="FFFFFF" w:val="clear"/>
          <w:lang w:val="pt-BR"/>
        </w:rPr>
        <w:t xml:space="preserve">CONSUMIDOR. APELAÇÃO CÍVEL. </w:t>
      </w:r>
      <w:r>
        <w:rPr>
          <w:rFonts w:cs="Calibri"/>
          <w:b/>
          <w:bCs/>
          <w:color w:val="000000"/>
          <w:sz w:val="20"/>
          <w:szCs w:val="20"/>
          <w:shd w:fill="FFFFFF" w:val="clear"/>
          <w:lang w:val="pt-BR"/>
        </w:rPr>
        <w:t xml:space="preserve">EMPRÉSTIMO CONDICIONADO À CONTRATAÇÃO DE SEGURO. IMPOSSIBILIDADE. PRECEDENTE OBRIGATÓRIO DO STJ. RESPONSABILIDADE OBJETIVA DA INSTITUIÇÃO FINANCEIRA. </w:t>
      </w:r>
      <w:r>
        <w:rPr>
          <w:rFonts w:cs="Calibri"/>
          <w:color w:val="000000"/>
          <w:sz w:val="20"/>
          <w:szCs w:val="20"/>
          <w:shd w:fill="FFFFFF" w:val="clear"/>
          <w:lang w:val="pt-BR"/>
        </w:rPr>
        <w:t xml:space="preserve">DEVER DE INFORMAÇÃO. VIA CONTRATUAL NÃO NEGOCIÁVEL PREVIAMENTE PREENCHIDA. HONORÁRIOS ADVOCATÍCIOS SOBRE O VALOR DA CAUSA. VALOR DA CONDENAÇÃO CERTO E DETERMINADO. QUANTIA IRRISÓRIA. ARBITRAMENTO POR EQUIDADE. 1. O dever de informação é imprescindível à validade de quaisquer contratos de consumo, considerada a hipossuficiência presumida do consumidor. </w:t>
      </w:r>
      <w:r>
        <w:rPr>
          <w:rFonts w:cs="Calibri"/>
          <w:b/>
          <w:bCs/>
          <w:color w:val="000000"/>
          <w:sz w:val="20"/>
          <w:szCs w:val="20"/>
          <w:shd w:fill="FFFFFF" w:val="clear"/>
          <w:lang w:val="pt-BR"/>
        </w:rPr>
        <w:t>2. Nos contratos bancários em geral, o consumidor não pode ser compelido a contratar seguro com a instituição financeira ou com seguradora por ela indicada (Tema 972, STJ). 3. Tratando-se de via contratual não negociável e previamente preenchida pela Instituição financeira, conclui-se que não foi dada real possibilidade de o consumidor negar a contratação do seguro de proteção financeira, nos termos da cláusula contratual respectiva.</w:t>
      </w:r>
      <w:r>
        <w:rPr>
          <w:rFonts w:cs="Calibri"/>
          <w:color w:val="000000"/>
          <w:sz w:val="20"/>
          <w:szCs w:val="20"/>
          <w:shd w:fill="FFFFFF" w:val="clear"/>
          <w:lang w:val="pt-BR"/>
        </w:rPr>
        <w:t xml:space="preserve"> 4. Em regra, havendo sentença líquida (valor da condenação certo e determinado), o percentual arbitrado a título de honorários deve incidir sobre o valor da condenação ou do proveito econômico. Contudo, tratando-se de quantia inestimável ou irrisória, o arbitramento deve ser feito mediante equidade (Tema Repetitivo 1.076 – STJ). 5. Recurso parcialmente provido. Sentença reformada.</w:t>
      </w:r>
      <w:r>
        <w:rPr>
          <w:rFonts w:cs="Calibri"/>
          <w:color w:val="000000"/>
          <w:sz w:val="20"/>
          <w:szCs w:val="20"/>
          <w:lang w:val="pt-BR"/>
        </w:rPr>
        <w:t xml:space="preserve"> </w:t>
      </w:r>
      <w:r>
        <w:rPr>
          <w:rFonts w:cs="Calibri"/>
          <w:color w:val="000000"/>
          <w:sz w:val="20"/>
          <w:szCs w:val="20"/>
          <w:shd w:fill="FFFFFF" w:val="clear"/>
          <w:lang w:val="pt-BR"/>
        </w:rPr>
        <w:t>(Relator (a): Paulo César Caminha e Lima; Comarca: Capital - Fórum Ministro Henoch Reis; Órgão julgador: Primeira Câmara Cível; Data do julgamento: 15/02/2023; Data de registro: 15/02/2023) (grifo nosso)</w:t>
      </w:r>
    </w:p>
    <w:p>
      <w:pPr>
        <w:pStyle w:val="Normal"/>
        <w:spacing w:lineRule="auto" w:line="240"/>
        <w:ind w:start="2268" w:end="0"/>
        <w:jc w:val="both"/>
        <w:rPr>
          <w:rFonts w:cs="Calibri"/>
          <w:color w:val="000000"/>
          <w:sz w:val="20"/>
          <w:szCs w:val="20"/>
          <w:shd w:fill="FFFFFF" w:val="clear"/>
          <w:lang w:val="pt-BR"/>
        </w:rPr>
      </w:pPr>
      <w:r>
        <w:rPr>
          <w:rFonts w:cs="Calibri"/>
          <w:color w:val="000000"/>
          <w:sz w:val="20"/>
          <w:szCs w:val="20"/>
          <w:shd w:fill="FFFFFF" w:val="clear"/>
          <w:lang w:val="pt-BR"/>
        </w:rPr>
      </w:r>
    </w:p>
    <w:p>
      <w:pPr>
        <w:pStyle w:val="Normal"/>
        <w:spacing w:lineRule="auto" w:line="240"/>
        <w:ind w:start="2268" w:end="0"/>
        <w:jc w:val="both"/>
        <w:rPr/>
      </w:pPr>
      <w:r>
        <w:rPr>
          <w:rFonts w:cs="Calibri"/>
          <w:color w:val="000000"/>
          <w:sz w:val="20"/>
          <w:szCs w:val="20"/>
          <w:shd w:fill="FFFFFF" w:val="clear"/>
          <w:lang w:val="pt-BR"/>
        </w:rPr>
        <w:t xml:space="preserve">APELAÇÃO CÍVEL. </w:t>
      </w:r>
      <w:r>
        <w:rPr>
          <w:rFonts w:cs="Calibri"/>
          <w:b/>
          <w:bCs/>
          <w:color w:val="000000"/>
          <w:sz w:val="20"/>
          <w:szCs w:val="20"/>
          <w:shd w:fill="FFFFFF" w:val="clear"/>
          <w:lang w:val="pt-BR"/>
        </w:rPr>
        <w:t>CONTRATO DE CRÉDITO UNIFICADO COM PROTEÇÃO.</w:t>
      </w:r>
      <w:r>
        <w:rPr>
          <w:rFonts w:cs="Calibri"/>
          <w:color w:val="000000"/>
          <w:sz w:val="20"/>
          <w:szCs w:val="20"/>
          <w:shd w:fill="FFFFFF" w:val="clear"/>
          <w:lang w:val="pt-BR"/>
        </w:rPr>
        <w:t xml:space="preserve"> CERCEAMENTO DE DEFESA. INOCORRÊNCIA. JUROS REMUNERATÓRIOS. AUSÊNCIA DE ABUSIVIDADE. </w:t>
      </w:r>
      <w:r>
        <w:rPr>
          <w:rFonts w:cs="Calibri"/>
          <w:b/>
          <w:bCs/>
          <w:color w:val="000000"/>
          <w:sz w:val="20"/>
          <w:szCs w:val="20"/>
          <w:shd w:fill="FFFFFF" w:val="clear"/>
          <w:lang w:val="pt-BR"/>
        </w:rPr>
        <w:t>SEGURO. VENDA CASADA. CONFIGURAÇÃO. RESTITUIÇÃO EM DOBRO.</w:t>
      </w:r>
      <w:r>
        <w:rPr>
          <w:rFonts w:cs="Calibri"/>
          <w:color w:val="000000"/>
          <w:sz w:val="20"/>
          <w:szCs w:val="20"/>
          <w:shd w:fill="FFFFFF" w:val="clear"/>
          <w:lang w:val="pt-BR"/>
        </w:rPr>
        <w:t xml:space="preserve"> PROVIMENTO PARCIAL DO RECURSO. O direito à prova, no processo civil, não é absoluto, sendo possível ao magistrado, destinatário imediato daquela, indeferir as diligências inúteis ou meramente protelatórias, conforme dispõe o parágrafo único do art. 370 do CPC. Inocorrência de cerceamento de defesa pelo indeferimento fundamentado de perícia contábil, diante da inutilidade da prova requerida in casu. Conforme entendimento proferido no REsp nº 1061530/RS, julgado sob a sistemática dos recursos repetitivos, excepcionalmente será admitida a revisão da taxa de juros, quando restar caracterizada a relação de consumo e for cabalmente demonstrada a abusividade do referido encargo. </w:t>
      </w:r>
      <w:r>
        <w:rPr>
          <w:rFonts w:cs="Calibri"/>
          <w:b/>
          <w:bCs/>
          <w:color w:val="000000"/>
          <w:sz w:val="20"/>
          <w:szCs w:val="20"/>
          <w:shd w:fill="FFFFFF" w:val="clear"/>
          <w:lang w:val="pt-BR"/>
        </w:rPr>
        <w:t>No contrato de crédito, há item de seguro proteção cobertura premiada, tendo sido indicada seguradora específica para tanto, qual seja a Santander Seguros S.A., que faz parte do mesmo grupo econômico da instituição financeira recorrida. O STJ tem o entendimento de que o consumidor não pode ser compelido a contratar seguro com a instituição financeira ou com a seguradora por ele indicada. Tratando-se de via contratual não negociável, conclui-se que não foi dada real possibilidade ao consumidor de alterar a opção pela contratação do seguro e a escolha da seguradora, atos antecipados feitos pela Instituição Financeira, findando caracterizada a venda casada descrita no art. 39, I, do CDC. Justa, portanto, é a restituição em dobro dos valores cobrados referentes ao seguro reclamado, posto que a pactuação desse serviço se deu de modo abusivo e não decorreu de engano justificável da instituição financeira (vide art. 42, parágrafo único, do CDC).</w:t>
      </w:r>
      <w:r>
        <w:rPr>
          <w:rFonts w:cs="Calibri"/>
          <w:color w:val="000000"/>
          <w:sz w:val="20"/>
          <w:szCs w:val="20"/>
          <w:shd w:fill="FFFFFF" w:val="clear"/>
          <w:lang w:val="pt-BR"/>
        </w:rPr>
        <w:t xml:space="preserve"> Apelação cível conhecidas e providas em parte.</w:t>
      </w:r>
      <w:r>
        <w:rPr>
          <w:rFonts w:cs="Calibri"/>
          <w:color w:val="000000"/>
          <w:sz w:val="20"/>
          <w:szCs w:val="20"/>
          <w:lang w:val="pt-BR"/>
        </w:rPr>
        <w:t xml:space="preserve"> </w:t>
      </w:r>
      <w:r>
        <w:rPr>
          <w:rFonts w:cs="Calibri"/>
          <w:color w:val="000000"/>
          <w:sz w:val="20"/>
          <w:szCs w:val="20"/>
          <w:shd w:fill="FFFFFF" w:val="clear"/>
          <w:lang w:val="pt-BR"/>
        </w:rPr>
        <w:t>(Relator (a): Onilza Abreu Gerth; Comarca: Capital - Fórum Ministro Henoch Reis; Órgão julgador: Segunda Câmara Cível; Data do julgamento: 02/12/2022; Data de registro: 02/12/2022) (grifo nosso)</w:t>
      </w:r>
    </w:p>
    <w:p>
      <w:pPr>
        <w:pStyle w:val="Normal"/>
        <w:spacing w:lineRule="auto" w:line="300"/>
        <w:jc w:val="both"/>
        <w:rPr>
          <w:rFonts w:cs="Calibri"/>
          <w:color w:val="000000"/>
          <w:sz w:val="20"/>
          <w:szCs w:val="20"/>
          <w:shd w:fill="FFFFFF" w:val="clear"/>
          <w:lang w:val="pt-BR"/>
        </w:rPr>
      </w:pPr>
      <w:r>
        <w:rPr>
          <w:rFonts w:cs="Calibri"/>
          <w:color w:val="000000"/>
          <w:sz w:val="20"/>
          <w:szCs w:val="20"/>
          <w:shd w:fill="FFFFFF" w:val="clear"/>
          <w:lang w:val="pt-BR"/>
        </w:rPr>
      </w:r>
    </w:p>
    <w:p>
      <w:pPr>
        <w:pStyle w:val="Normal"/>
        <w:spacing w:lineRule="auto" w:line="300"/>
        <w:ind w:firstLine="1418" w:end="0"/>
        <w:jc w:val="both"/>
        <w:rPr>
          <w:rFonts w:cs="Calibri"/>
          <w:lang w:val="pt-BR"/>
        </w:rPr>
      </w:pPr>
      <w:r>
        <w:rPr>
          <w:rFonts w:cs="Calibri"/>
          <w:lang w:val="pt-BR"/>
        </w:rPr>
        <w:t xml:space="preserve">Assim, requer a condenação do Requerido à </w:t>
      </w:r>
      <w:r>
        <w:rPr>
          <w:rFonts w:cs="Calibri"/>
          <w:b/>
          <w:bCs/>
          <w:lang w:val="pt-BR"/>
        </w:rPr>
        <w:t>restituição em dobro</w:t>
      </w:r>
      <w:r>
        <w:rPr>
          <w:rFonts w:cs="Calibri"/>
          <w:lang w:val="pt-BR"/>
        </w:rPr>
        <w:t xml:space="preserve">, nos termos do art. 42, parágrafo único, do CDC, do valor indevidamente cobrado a título de </w:t>
      </w:r>
      <w:r>
        <w:rPr>
          <w:rFonts w:cs="Calibri"/>
          <w:b/>
          <w:bCs/>
          <w:lang w:val="pt-BR"/>
        </w:rPr>
        <w:t xml:space="preserve">“Seguro Consignado Protegido” </w:t>
      </w:r>
      <w:r>
        <w:rPr>
          <w:rFonts w:cs="Calibri"/>
          <w:lang w:val="pt-BR"/>
        </w:rPr>
        <w:t xml:space="preserve">no importe de </w:t>
      </w:r>
      <w:r>
        <w:rPr>
          <w:rFonts w:cs="Calibri"/>
          <w:b/>
          <w:bCs/>
          <w:lang w:val="pt-BR"/>
        </w:rPr>
        <w:t>R$ ________</w:t>
      </w:r>
      <w:r>
        <w:rPr>
          <w:rFonts w:cs="Calibri"/>
          <w:lang w:val="pt-BR"/>
        </w:rPr>
        <w:t xml:space="preserve">, totalizando em dobro a importância de </w:t>
      </w:r>
      <w:r>
        <w:rPr>
          <w:rFonts w:cs="Calibri"/>
          <w:b/>
          <w:bCs/>
          <w:lang w:val="pt-BR"/>
        </w:rPr>
        <w:t>R$ 9.333,66 (nove mil, trinta e três reais e sessenta e seis centavos)</w:t>
      </w:r>
      <w:r>
        <w:rPr>
          <w:rFonts w:cs="Calibri"/>
          <w:lang w:val="pt-BR"/>
        </w:rPr>
        <w:t>, acrescido de correção monetária desde o desembolso (Súmula 43/STJ) e juros moratórios desde o evento danoso (Súmula 54/STJ).</w:t>
      </w:r>
    </w:p>
    <w:p>
      <w:pPr>
        <w:pStyle w:val="Normal"/>
        <w:spacing w:lineRule="auto" w:line="300"/>
        <w:ind w:firstLine="2835" w:end="0"/>
        <w:jc w:val="both"/>
        <w:rPr>
          <w:rFonts w:cs="Calibri"/>
          <w:lang w:val="pt-BR"/>
        </w:rPr>
      </w:pPr>
      <w:r>
        <w:rPr>
          <w:rFonts w:cs="Calibri"/>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both"/>
        <w:rPr>
          <w:rFonts w:cs="Calibri"/>
          <w:b/>
          <w:lang w:val="pt-BR"/>
        </w:rPr>
      </w:pPr>
      <w:r>
        <w:rPr>
          <w:rFonts w:cs="Calibri"/>
          <w:b/>
          <w:lang w:val="pt-BR"/>
        </w:rPr>
        <w:t>3.5 – DO DANO MORAL E DO DEVER DE INDENIZAR DECORRENTE DA PRÁTICA ABUSIVA DE VENDA CASADA</w:t>
      </w:r>
    </w:p>
    <w:p>
      <w:pPr>
        <w:pStyle w:val="Normal"/>
        <w:spacing w:lineRule="auto" w:line="300"/>
        <w:ind w:firstLine="1985" w:end="0"/>
        <w:jc w:val="both"/>
        <w:rPr>
          <w:rFonts w:cs="Calibri"/>
          <w:b/>
          <w:u w:val="single"/>
          <w:lang w:val="pt-BR"/>
        </w:rPr>
      </w:pPr>
      <w:r>
        <w:rPr>
          <w:rFonts w:cs="Calibri"/>
          <w:b/>
          <w:u w:val="single"/>
          <w:lang w:val="pt-BR"/>
        </w:rPr>
      </w:r>
    </w:p>
    <w:p>
      <w:pPr>
        <w:pStyle w:val="Normal"/>
        <w:tabs>
          <w:tab w:val="clear" w:pos="720"/>
          <w:tab w:val="left" w:pos="2694" w:leader="none"/>
        </w:tabs>
        <w:spacing w:lineRule="auto" w:line="300"/>
        <w:ind w:firstLine="1418" w:end="0"/>
        <w:jc w:val="both"/>
        <w:rPr>
          <w:rFonts w:cs="Calibri"/>
          <w:lang w:val="pt-BR"/>
        </w:rPr>
      </w:pPr>
      <w:r>
        <w:rPr>
          <w:rFonts w:cs="Calibri"/>
          <w:lang w:val="pt-BR"/>
        </w:rPr>
        <w:t xml:space="preserve">A parte requerente, parte vulnerável na relação de consumo (art. 4º, I, do CDC), é titular de direitos básicos previstos no art. 6º do CDC, dentre eles a proteção contra práticas comerciais abusivas e métodos coercitivos (inc. IV), o direito à informação clara e adequada (inc. III) e a efetiva reparação de danos patrimoniais e morais (inc. VI). </w:t>
      </w:r>
    </w:p>
    <w:p>
      <w:pPr>
        <w:pStyle w:val="Normal"/>
        <w:tabs>
          <w:tab w:val="clear" w:pos="720"/>
          <w:tab w:val="left" w:pos="2694" w:leader="none"/>
        </w:tabs>
        <w:spacing w:lineRule="auto" w:line="300"/>
        <w:ind w:firstLine="1418" w:end="0"/>
        <w:jc w:val="both"/>
        <w:rPr>
          <w:rFonts w:cs="Calibri"/>
          <w:lang w:val="pt-BR"/>
        </w:rPr>
      </w:pPr>
      <w:r>
        <w:rPr>
          <w:rFonts w:cs="Calibri"/>
          <w:lang w:val="pt-BR"/>
        </w:rPr>
      </w:r>
    </w:p>
    <w:p>
      <w:pPr>
        <w:pStyle w:val="Normal"/>
        <w:tabs>
          <w:tab w:val="clear" w:pos="720"/>
          <w:tab w:val="left" w:pos="2694" w:leader="none"/>
        </w:tabs>
        <w:spacing w:lineRule="auto" w:line="300"/>
        <w:ind w:firstLine="1418" w:end="0"/>
        <w:jc w:val="both"/>
        <w:rPr/>
      </w:pPr>
      <w:r>
        <w:rPr>
          <w:rFonts w:cs="Calibri"/>
          <w:lang w:val="pt-BR"/>
        </w:rPr>
        <w:t xml:space="preserve">No caso concreto, restou comprovado que o Requerido </w:t>
      </w:r>
      <w:r>
        <w:rPr>
          <w:rFonts w:cs="Calibri"/>
          <w:b/>
          <w:bCs/>
          <w:lang w:val="pt-BR"/>
        </w:rPr>
        <w:t>condicionou</w:t>
      </w:r>
      <w:r>
        <w:rPr>
          <w:rFonts w:cs="Calibri"/>
          <w:lang w:val="pt-BR"/>
        </w:rPr>
        <w:t xml:space="preserve"> a liberação do empréstimo à </w:t>
      </w:r>
      <w:r>
        <w:rPr>
          <w:rFonts w:cs="Calibri"/>
          <w:b/>
          <w:bCs/>
          <w:lang w:val="pt-BR"/>
        </w:rPr>
        <w:t>aquisição de produto denominado de “Seguro Consignado Protegido”</w:t>
      </w:r>
      <w:r>
        <w:rPr>
          <w:rFonts w:cs="Calibri"/>
          <w:lang w:val="pt-BR"/>
        </w:rPr>
        <w:t xml:space="preserve">, caracterizando </w:t>
      </w:r>
      <w:r>
        <w:rPr>
          <w:rFonts w:cs="Calibri"/>
          <w:b/>
          <w:bCs/>
          <w:lang w:val="pt-BR"/>
        </w:rPr>
        <w:t>venda casada</w:t>
      </w:r>
      <w:r>
        <w:rPr>
          <w:rFonts w:cs="Calibri"/>
          <w:lang w:val="pt-BR"/>
        </w:rPr>
        <w:t xml:space="preserve"> </w:t>
      </w:r>
      <w:r>
        <w:rPr>
          <w:rFonts w:cs="Calibri"/>
          <w:b/>
          <w:bCs/>
          <w:lang w:val="pt-BR"/>
        </w:rPr>
        <w:t>vedada</w:t>
      </w:r>
      <w:r>
        <w:rPr>
          <w:rFonts w:cs="Calibri"/>
          <w:lang w:val="pt-BR"/>
        </w:rPr>
        <w:t xml:space="preserve"> pelo art. 39, I, do CDC. Tal conduta viola a </w:t>
      </w:r>
      <w:r>
        <w:rPr>
          <w:rFonts w:cs="Calibri"/>
          <w:b/>
          <w:bCs/>
          <w:lang w:val="pt-BR"/>
        </w:rPr>
        <w:t>boa-fé objetiva</w:t>
      </w:r>
      <w:r>
        <w:rPr>
          <w:rFonts w:cs="Calibri"/>
          <w:lang w:val="pt-BR"/>
        </w:rPr>
        <w:t xml:space="preserve"> e restringe a </w:t>
      </w:r>
      <w:r>
        <w:rPr>
          <w:rFonts w:cs="Calibri"/>
          <w:b/>
          <w:bCs/>
          <w:lang w:val="pt-BR"/>
        </w:rPr>
        <w:t>liberdade de escolha</w:t>
      </w:r>
      <w:r>
        <w:rPr>
          <w:rFonts w:cs="Calibri"/>
          <w:lang w:val="pt-BR"/>
        </w:rPr>
        <w:t xml:space="preserve"> do consumidor, gerando </w:t>
      </w:r>
      <w:r>
        <w:rPr>
          <w:rFonts w:cs="Calibri"/>
          <w:b/>
          <w:bCs/>
          <w:lang w:val="pt-BR"/>
        </w:rPr>
        <w:t>oneração indevida</w:t>
      </w:r>
      <w:r>
        <w:rPr>
          <w:rFonts w:cs="Calibri"/>
          <w:lang w:val="pt-BR"/>
        </w:rPr>
        <w:t xml:space="preserve"> do contrato.</w:t>
      </w:r>
    </w:p>
    <w:p>
      <w:pPr>
        <w:pStyle w:val="Normal"/>
        <w:tabs>
          <w:tab w:val="clear" w:pos="720"/>
          <w:tab w:val="left" w:pos="2694" w:leader="none"/>
        </w:tabs>
        <w:spacing w:lineRule="auto" w:line="300"/>
        <w:ind w:firstLine="1418" w:end="0"/>
        <w:jc w:val="both"/>
        <w:rPr>
          <w:rFonts w:cs="Calibri"/>
          <w:b/>
          <w:lang w:val="pt-BR"/>
        </w:rPr>
      </w:pPr>
      <w:r>
        <w:rPr>
          <w:rFonts w:cs="Calibri"/>
          <w:b/>
          <w:lang w:val="pt-BR"/>
        </w:rPr>
      </w:r>
    </w:p>
    <w:p>
      <w:pPr>
        <w:pStyle w:val="Normal"/>
        <w:tabs>
          <w:tab w:val="clear" w:pos="720"/>
          <w:tab w:val="left" w:pos="2694" w:leader="none"/>
        </w:tabs>
        <w:spacing w:lineRule="auto" w:line="300"/>
        <w:ind w:firstLine="1418" w:end="0"/>
        <w:jc w:val="both"/>
        <w:rPr/>
      </w:pPr>
      <w:r>
        <w:rPr>
          <w:rFonts w:cs="Calibri"/>
          <w:bCs/>
          <w:lang w:val="pt-BR"/>
        </w:rPr>
        <w:t xml:space="preserve">A prática abusiva </w:t>
      </w:r>
      <w:r>
        <w:rPr>
          <w:rFonts w:cs="Calibri"/>
          <w:b/>
          <w:lang w:val="pt-BR"/>
        </w:rPr>
        <w:t>extrapola o mero aborrecimento</w:t>
      </w:r>
      <w:r>
        <w:rPr>
          <w:rFonts w:cs="Calibri"/>
          <w:bCs/>
          <w:lang w:val="pt-BR"/>
        </w:rPr>
        <w:t xml:space="preserve">, pois submete a consumidora a </w:t>
      </w:r>
      <w:r>
        <w:rPr>
          <w:rFonts w:cs="Calibri"/>
          <w:b/>
          <w:lang w:val="pt-BR"/>
        </w:rPr>
        <w:t>conduta ilícita</w:t>
      </w:r>
      <w:r>
        <w:rPr>
          <w:rFonts w:cs="Calibri"/>
          <w:bCs/>
          <w:lang w:val="pt-BR"/>
        </w:rPr>
        <w:t xml:space="preserve"> expressamente proibida, com </w:t>
      </w:r>
      <w:r>
        <w:rPr>
          <w:rFonts w:cs="Calibri"/>
          <w:b/>
          <w:lang w:val="pt-BR"/>
        </w:rPr>
        <w:t>afetação à dignidade</w:t>
      </w:r>
      <w:r>
        <w:rPr>
          <w:rFonts w:cs="Calibri"/>
          <w:bCs/>
          <w:lang w:val="pt-BR"/>
        </w:rPr>
        <w:t xml:space="preserve">, frustração legítima de expectativa, angústia e desequilíbrio contratual. Presentes a </w:t>
      </w:r>
      <w:r>
        <w:rPr>
          <w:rFonts w:cs="Calibri"/>
          <w:b/>
          <w:lang w:val="pt-BR"/>
        </w:rPr>
        <w:t>ilícitude</w:t>
      </w:r>
      <w:r>
        <w:rPr>
          <w:rFonts w:cs="Calibri"/>
          <w:bCs/>
          <w:lang w:val="pt-BR"/>
        </w:rPr>
        <w:t xml:space="preserve"> (art. 39, I, CDC), o </w:t>
      </w:r>
      <w:r>
        <w:rPr>
          <w:rFonts w:cs="Calibri"/>
          <w:b/>
          <w:lang w:val="pt-BR"/>
        </w:rPr>
        <w:t>nexo causal</w:t>
      </w:r>
      <w:r>
        <w:rPr>
          <w:rFonts w:cs="Calibri"/>
          <w:bCs/>
          <w:lang w:val="pt-BR"/>
        </w:rPr>
        <w:t xml:space="preserve"> e o </w:t>
      </w:r>
      <w:r>
        <w:rPr>
          <w:rFonts w:cs="Calibri"/>
          <w:b/>
          <w:lang w:val="pt-BR"/>
        </w:rPr>
        <w:t>dano imaterial</w:t>
      </w:r>
      <w:r>
        <w:rPr>
          <w:rFonts w:cs="Calibri"/>
          <w:bCs/>
          <w:lang w:val="pt-BR"/>
        </w:rPr>
        <w:t>, surge o dever de indenizar, à luz do art. 14 do CDC (responsabilidade objetiva do fornecedor), dos arts. 186 e 927 do CC, e do art. 5º, V e X, da CF/88.</w:t>
      </w:r>
    </w:p>
    <w:p>
      <w:pPr>
        <w:pStyle w:val="Normal"/>
        <w:spacing w:lineRule="auto" w:line="300"/>
        <w:ind w:start="2268" w:end="0"/>
        <w:jc w:val="both"/>
        <w:rPr>
          <w:rFonts w:cs="Calibri"/>
          <w:bCs/>
          <w:iCs/>
          <w:color w:val="000000"/>
          <w:sz w:val="20"/>
          <w:szCs w:val="20"/>
          <w:lang w:val="pt-BR"/>
        </w:rPr>
      </w:pPr>
      <w:r>
        <w:rPr>
          <w:rFonts w:cs="Calibri"/>
          <w:bCs/>
          <w:iCs/>
          <w:color w:val="000000"/>
          <w:sz w:val="20"/>
          <w:szCs w:val="20"/>
          <w:lang w:val="pt-BR"/>
        </w:rPr>
      </w:r>
    </w:p>
    <w:p>
      <w:pPr>
        <w:pStyle w:val="Normal"/>
        <w:spacing w:lineRule="auto" w:line="240"/>
        <w:ind w:start="2268" w:end="0"/>
        <w:jc w:val="both"/>
        <w:rPr>
          <w:rFonts w:cs="Calibri"/>
          <w:bCs/>
          <w:iCs/>
          <w:color w:val="000000"/>
          <w:sz w:val="20"/>
          <w:szCs w:val="20"/>
          <w:lang w:val="pt-BR"/>
        </w:rPr>
      </w:pPr>
      <w:r>
        <w:rPr>
          <w:rFonts w:cs="Calibri"/>
          <w:bCs/>
          <w:iCs/>
          <w:color w:val="000000"/>
          <w:sz w:val="20"/>
          <w:szCs w:val="20"/>
          <w:lang w:val="pt-BR"/>
        </w:rPr>
        <w:t>Artigo 5º - (...)</w:t>
      </w:r>
    </w:p>
    <w:p>
      <w:pPr>
        <w:pStyle w:val="Normal"/>
        <w:spacing w:lineRule="auto" w:line="240"/>
        <w:ind w:start="2268" w:end="0"/>
        <w:jc w:val="both"/>
        <w:rPr>
          <w:rFonts w:cs="Calibri"/>
          <w:bCs/>
          <w:iCs/>
          <w:color w:val="000000"/>
          <w:sz w:val="20"/>
          <w:szCs w:val="20"/>
          <w:lang w:val="pt-BR"/>
        </w:rPr>
      </w:pPr>
      <w:r>
        <w:rPr>
          <w:rFonts w:cs="Calibri"/>
          <w:bCs/>
          <w:iCs/>
          <w:color w:val="000000"/>
          <w:sz w:val="20"/>
          <w:szCs w:val="20"/>
          <w:lang w:val="pt-BR"/>
        </w:rPr>
        <w:t>V – É assegurado o direito de resposta, proporcional ao agravo, além da indenização por dano material, moral ou à imagem;</w:t>
      </w:r>
    </w:p>
    <w:p>
      <w:pPr>
        <w:pStyle w:val="Normal"/>
        <w:spacing w:lineRule="auto" w:line="240"/>
        <w:ind w:start="2268" w:end="0"/>
        <w:jc w:val="both"/>
        <w:rPr>
          <w:rFonts w:cs="Calibri"/>
          <w:bCs/>
          <w:iCs/>
          <w:color w:val="000000"/>
          <w:sz w:val="20"/>
          <w:szCs w:val="20"/>
          <w:lang w:val="pt-BR"/>
        </w:rPr>
      </w:pPr>
      <w:r>
        <w:rPr>
          <w:rFonts w:cs="Calibri"/>
          <w:bCs/>
          <w:iCs/>
          <w:color w:val="000000"/>
          <w:sz w:val="20"/>
          <w:szCs w:val="20"/>
          <w:lang w:val="pt-BR"/>
        </w:rPr>
        <w:t>(...)</w:t>
      </w:r>
    </w:p>
    <w:p>
      <w:pPr>
        <w:pStyle w:val="Normal"/>
        <w:spacing w:lineRule="auto" w:line="240"/>
        <w:ind w:start="2268" w:end="0"/>
        <w:jc w:val="both"/>
        <w:rPr>
          <w:rFonts w:cs="Calibri"/>
          <w:color w:val="000000"/>
          <w:sz w:val="20"/>
          <w:szCs w:val="20"/>
          <w:lang w:val="pt-BR"/>
        </w:rPr>
      </w:pPr>
      <w:r>
        <w:rPr>
          <w:rFonts w:cs="Calibri"/>
          <w:bCs/>
          <w:iCs/>
          <w:color w:val="000000"/>
          <w:sz w:val="20"/>
          <w:szCs w:val="20"/>
          <w:lang w:val="pt-BR"/>
        </w:rPr>
        <w:t>X – São invioláveis a intimidade, a vida privada, a honra e a imagem das pessoas, assegurado o direito à indenização pelo dano material ou moral decorrente de sua violação;</w:t>
      </w:r>
    </w:p>
    <w:p>
      <w:pPr>
        <w:pStyle w:val="Normal"/>
        <w:tabs>
          <w:tab w:val="clear" w:pos="720"/>
          <w:tab w:val="left" w:pos="2694" w:leader="none"/>
        </w:tabs>
        <w:spacing w:lineRule="auto" w:line="300"/>
        <w:ind w:start="2268" w:end="0"/>
        <w:jc w:val="both"/>
        <w:rPr>
          <w:rFonts w:cs="Calibri"/>
          <w:color w:val="000000"/>
          <w:sz w:val="20"/>
          <w:szCs w:val="20"/>
          <w:lang w:val="pt-BR"/>
        </w:rPr>
      </w:pPr>
      <w:r>
        <w:rPr>
          <w:rFonts w:cs="Calibri"/>
          <w:color w:val="000000"/>
          <w:sz w:val="20"/>
          <w:szCs w:val="20"/>
          <w:lang w:val="pt-BR"/>
        </w:rPr>
        <w:t xml:space="preserve"> </w:t>
      </w:r>
    </w:p>
    <w:p>
      <w:pPr>
        <w:pStyle w:val="Normal"/>
        <w:tabs>
          <w:tab w:val="clear" w:pos="720"/>
          <w:tab w:val="left" w:pos="2694" w:leader="none"/>
        </w:tabs>
        <w:spacing w:lineRule="auto" w:line="240"/>
        <w:ind w:start="2268" w:end="0"/>
        <w:jc w:val="both"/>
        <w:rPr>
          <w:rFonts w:cs="Calibri"/>
          <w:color w:val="000000"/>
          <w:sz w:val="20"/>
          <w:szCs w:val="20"/>
          <w:lang w:val="pt-BR"/>
        </w:rPr>
      </w:pPr>
      <w:r>
        <w:rPr>
          <w:rFonts w:cs="Calibri"/>
          <w:color w:val="000000"/>
          <w:sz w:val="20"/>
          <w:szCs w:val="20"/>
          <w:lang w:val="pt-BR"/>
        </w:rPr>
        <w:t>Artigo 6° - (...)</w:t>
      </w:r>
    </w:p>
    <w:p>
      <w:pPr>
        <w:pStyle w:val="Normal"/>
        <w:tabs>
          <w:tab w:val="clear" w:pos="720"/>
          <w:tab w:val="left" w:pos="2694" w:leader="none"/>
        </w:tabs>
        <w:spacing w:lineRule="auto" w:line="240"/>
        <w:ind w:start="2268" w:end="0"/>
        <w:jc w:val="both"/>
        <w:rPr/>
      </w:pPr>
      <w:r>
        <w:rPr>
          <w:rFonts w:cs="Calibri"/>
          <w:color w:val="000000"/>
          <w:sz w:val="20"/>
          <w:szCs w:val="20"/>
          <w:lang w:val="pt-BR"/>
        </w:rPr>
        <w:t>VI – a efetiva prevenção e reparação de danos patrimoniais e morais, individuais, coletivos e difusos;</w:t>
      </w:r>
    </w:p>
    <w:p>
      <w:pPr>
        <w:pStyle w:val="Normal"/>
        <w:tabs>
          <w:tab w:val="clear" w:pos="720"/>
          <w:tab w:val="left" w:pos="2694" w:leader="none"/>
        </w:tabs>
        <w:spacing w:lineRule="auto" w:line="300"/>
        <w:ind w:start="2268" w:end="0"/>
        <w:jc w:val="both"/>
        <w:rPr>
          <w:rFonts w:cs="Calibri"/>
          <w:color w:val="000000"/>
          <w:sz w:val="20"/>
          <w:szCs w:val="20"/>
          <w:lang w:val="pt-BR"/>
        </w:rPr>
      </w:pPr>
      <w:r>
        <w:rPr>
          <w:rFonts w:cs="Calibri"/>
          <w:color w:val="000000"/>
          <w:sz w:val="20"/>
          <w:szCs w:val="20"/>
          <w:lang w:val="pt-BR"/>
        </w:rPr>
        <w:t xml:space="preserve"> </w:t>
      </w:r>
    </w:p>
    <w:p>
      <w:pPr>
        <w:pStyle w:val="Normal"/>
        <w:spacing w:lineRule="auto" w:line="240"/>
        <w:ind w:start="2268" w:end="0"/>
        <w:jc w:val="both"/>
        <w:rPr>
          <w:rFonts w:cs="Calibri"/>
          <w:color w:val="000000"/>
          <w:sz w:val="20"/>
          <w:szCs w:val="20"/>
          <w:lang w:val="pt-BR"/>
        </w:rPr>
      </w:pPr>
      <w:r>
        <w:rPr>
          <w:rFonts w:cs="Calibri"/>
          <w:color w:val="000000"/>
          <w:sz w:val="20"/>
          <w:szCs w:val="20"/>
          <w:lang w:val="pt-BR"/>
        </w:rPr>
        <w:t>Artigo 186 – Aquele que, por ação ou omissão voluntária, negligência ou imprudência, violar direito e causar dano a outrem, ainda que exclusivamente moral, comete ato ilícito.</w:t>
      </w:r>
    </w:p>
    <w:p>
      <w:pPr>
        <w:pStyle w:val="Normal"/>
        <w:spacing w:lineRule="auto" w:line="300"/>
        <w:ind w:start="2268" w:end="0"/>
        <w:jc w:val="both"/>
        <w:rPr>
          <w:rFonts w:cs="Calibri"/>
          <w:color w:val="000000"/>
          <w:sz w:val="20"/>
          <w:szCs w:val="20"/>
          <w:lang w:val="pt-BR"/>
        </w:rPr>
      </w:pPr>
      <w:r>
        <w:rPr>
          <w:rFonts w:cs="Calibri"/>
          <w:color w:val="000000"/>
          <w:sz w:val="20"/>
          <w:szCs w:val="20"/>
          <w:lang w:val="pt-BR"/>
        </w:rPr>
      </w:r>
    </w:p>
    <w:p>
      <w:pPr>
        <w:pStyle w:val="Normal"/>
        <w:spacing w:lineRule="auto" w:line="240"/>
        <w:ind w:start="2268" w:end="0"/>
        <w:jc w:val="both"/>
        <w:rPr>
          <w:rFonts w:cs="Calibri"/>
          <w:color w:val="000000"/>
          <w:sz w:val="20"/>
          <w:szCs w:val="20"/>
          <w:lang w:val="pt-BR"/>
        </w:rPr>
      </w:pPr>
      <w:r>
        <w:rPr>
          <w:rFonts w:cs="Calibri"/>
          <w:color w:val="000000"/>
          <w:sz w:val="20"/>
          <w:szCs w:val="20"/>
          <w:lang w:val="pt-BR"/>
        </w:rPr>
        <w:t>Artigo 927 – Aquele que, por ato ilícito (arts. 186 e 187), causar dano a outrem, fica obrigado a repará-lo.</w:t>
      </w:r>
    </w:p>
    <w:p>
      <w:pPr>
        <w:pStyle w:val="Normal"/>
        <w:spacing w:lineRule="auto" w:line="240"/>
        <w:ind w:start="2268" w:end="0"/>
        <w:jc w:val="both"/>
        <w:rPr>
          <w:rFonts w:cs="Calibri"/>
          <w:color w:val="000000"/>
          <w:sz w:val="20"/>
          <w:szCs w:val="20"/>
          <w:lang w:val="pt-BR"/>
        </w:rPr>
      </w:pPr>
      <w:r>
        <w:rPr>
          <w:rFonts w:cs="Calibri"/>
          <w:color w:val="000000"/>
          <w:sz w:val="20"/>
          <w:szCs w:val="20"/>
          <w:lang w:val="pt-BR"/>
        </w:rPr>
      </w:r>
    </w:p>
    <w:p>
      <w:pPr>
        <w:pStyle w:val="Normal"/>
        <w:spacing w:lineRule="auto" w:line="240"/>
        <w:ind w:start="2268" w:end="0"/>
        <w:jc w:val="both"/>
        <w:rPr/>
      </w:pPr>
      <w:r>
        <w:rPr>
          <w:rFonts w:cs="Calibri"/>
          <w:color w:val="000000"/>
          <w:sz w:val="20"/>
          <w:szCs w:val="20"/>
          <w:lang w:val="pt-BR"/>
        </w:rPr>
        <w:t>Parágrafo Único – haverá obrigação de reparar o dano, independentemente de culpa, nos casos especificados em lei, ou quando a atividade normalmente desenvolvida pelo autor do dano implicar, por sua natureza, risco para os direitos de outrem.</w:t>
      </w:r>
    </w:p>
    <w:p>
      <w:pPr>
        <w:pStyle w:val="Normal"/>
        <w:tabs>
          <w:tab w:val="clear" w:pos="720"/>
          <w:tab w:val="left" w:pos="2694" w:leader="none"/>
        </w:tabs>
        <w:spacing w:lineRule="auto" w:line="300"/>
        <w:jc w:val="both"/>
        <w:rPr>
          <w:rFonts w:cs="Calibri"/>
          <w:color w:val="000000"/>
          <w:sz w:val="20"/>
          <w:szCs w:val="20"/>
          <w:lang w:val="pt-BR"/>
        </w:rPr>
      </w:pPr>
      <w:r>
        <w:rPr>
          <w:rFonts w:cs="Calibri"/>
          <w:color w:val="000000"/>
          <w:sz w:val="20"/>
          <w:szCs w:val="20"/>
          <w:lang w:val="pt-BR"/>
        </w:rPr>
      </w:r>
    </w:p>
    <w:p>
      <w:pPr>
        <w:pStyle w:val="Normal"/>
        <w:tabs>
          <w:tab w:val="clear" w:pos="720"/>
          <w:tab w:val="left" w:pos="2694" w:leader="none"/>
        </w:tabs>
        <w:spacing w:lineRule="auto" w:line="300"/>
        <w:ind w:firstLine="1418" w:end="0"/>
        <w:jc w:val="both"/>
        <w:rPr/>
      </w:pPr>
      <w:r>
        <w:rPr>
          <w:rFonts w:cs="Calibri"/>
          <w:color w:val="000000"/>
          <w:lang w:val="pt-BR"/>
        </w:rPr>
        <w:t xml:space="preserve">Nesse diapasão, destacamos V. Acórdão proferido nos autos do processo </w:t>
      </w:r>
      <w:r>
        <w:rPr>
          <w:rFonts w:cs="Calibri"/>
          <w:b/>
          <w:bCs/>
          <w:color w:val="000000"/>
          <w:lang w:val="pt-BR"/>
        </w:rPr>
        <w:t>0604092-54.2018.8.04.0001, pela 03ª Câmara Cível do E. TJ/AM</w:t>
      </w:r>
      <w:r>
        <w:rPr>
          <w:rFonts w:cs="Calibri"/>
          <w:color w:val="000000"/>
          <w:lang w:val="pt-BR"/>
        </w:rPr>
        <w:t xml:space="preserve">, por meio do voto da </w:t>
      </w:r>
      <w:r>
        <w:rPr>
          <w:rFonts w:cs="Calibri"/>
          <w:b/>
          <w:bCs/>
          <w:color w:val="000000"/>
          <w:lang w:val="pt-BR"/>
        </w:rPr>
        <w:t>Exma. Desembargadora Dra. Nélia Caminha Jorge</w:t>
      </w:r>
      <w:r>
        <w:rPr>
          <w:rFonts w:cs="Calibri"/>
          <w:color w:val="000000"/>
          <w:lang w:val="pt-BR"/>
        </w:rPr>
        <w:t>, confira-se:</w:t>
      </w:r>
    </w:p>
    <w:p>
      <w:pPr>
        <w:pStyle w:val="Normal"/>
        <w:tabs>
          <w:tab w:val="clear" w:pos="720"/>
          <w:tab w:val="left" w:pos="2694" w:leader="none"/>
        </w:tabs>
        <w:spacing w:lineRule="auto" w:line="300"/>
        <w:ind w:firstLine="1701" w:end="0"/>
        <w:jc w:val="both"/>
        <w:rPr>
          <w:rFonts w:cs="Calibri"/>
          <w:color w:val="000000"/>
          <w:lang w:val="pt-BR"/>
        </w:rPr>
      </w:pPr>
      <w:r>
        <w:rPr>
          <w:rFonts w:cs="Calibri"/>
          <w:color w:val="000000"/>
          <w:lang w:val="pt-BR"/>
        </w:rPr>
      </w:r>
    </w:p>
    <w:p>
      <w:pPr>
        <w:pStyle w:val="Normal"/>
        <w:spacing w:lineRule="auto" w:line="240"/>
        <w:ind w:start="2268" w:end="0"/>
        <w:jc w:val="both"/>
        <w:rPr>
          <w:rFonts w:cs="Calibri"/>
          <w:color w:val="000000"/>
          <w:sz w:val="20"/>
          <w:szCs w:val="20"/>
          <w:lang w:val="pt-BR" w:eastAsia="ja-JP"/>
        </w:rPr>
      </w:pPr>
      <w:r>
        <w:rPr>
          <w:rFonts w:cs="Calibri"/>
          <w:color w:val="000000"/>
          <w:sz w:val="20"/>
          <w:szCs w:val="20"/>
          <w:lang w:val="pt-BR" w:eastAsia="ja-JP"/>
        </w:rPr>
        <w:t>“(...)</w:t>
      </w:r>
    </w:p>
    <w:p>
      <w:pPr>
        <w:pStyle w:val="Normal"/>
        <w:spacing w:lineRule="auto" w:line="240"/>
        <w:ind w:start="2268" w:end="0"/>
        <w:jc w:val="both"/>
        <w:rPr/>
      </w:pPr>
      <w:r>
        <w:rPr>
          <w:rFonts w:cs="Calibri"/>
          <w:b/>
          <w:bCs/>
          <w:color w:val="000000"/>
          <w:sz w:val="20"/>
          <w:szCs w:val="20"/>
          <w:lang w:val="pt-BR" w:eastAsia="ja-JP"/>
        </w:rPr>
        <w:t>Com efeito, conforme entendimento jurisprudencial, a inserção de contrato de seguro no contrato de empréstimo, seja pessoal ou consignado em folha de pagamento configura a chamada “venda casada”, verificando-se quando há exclusiva intenção do contratante na obtenção dos recursos do empréstimo apesar da contratação concomitante de um seguro. Prática vedada pelo Código de Defesa do Consumidor em seu art. 39, inciso I.</w:t>
      </w:r>
      <w:r>
        <w:rPr>
          <w:rFonts w:cs="Calibri"/>
          <w:color w:val="000000"/>
          <w:sz w:val="20"/>
          <w:szCs w:val="20"/>
          <w:lang w:val="pt-BR" w:eastAsia="ja-JP"/>
        </w:rPr>
        <w:t xml:space="preserve"> (...)</w:t>
      </w:r>
    </w:p>
    <w:p>
      <w:pPr>
        <w:pStyle w:val="Normal"/>
        <w:tabs>
          <w:tab w:val="clear" w:pos="720"/>
          <w:tab w:val="left" w:pos="2694" w:leader="none"/>
        </w:tabs>
        <w:spacing w:lineRule="auto" w:line="240"/>
        <w:ind w:start="2268" w:end="0"/>
        <w:jc w:val="both"/>
        <w:rPr>
          <w:rFonts w:cs="Calibri"/>
          <w:color w:val="000000"/>
          <w:sz w:val="20"/>
          <w:szCs w:val="20"/>
          <w:lang w:val="pt-BR" w:eastAsia="ja-JP"/>
        </w:rPr>
      </w:pPr>
      <w:r>
        <w:rPr>
          <w:rFonts w:cs="Calibri"/>
          <w:color w:val="000000"/>
          <w:sz w:val="20"/>
          <w:szCs w:val="20"/>
          <w:lang w:val="pt-BR" w:eastAsia="ja-JP"/>
        </w:rPr>
      </w:r>
    </w:p>
    <w:p>
      <w:pPr>
        <w:pStyle w:val="Normal"/>
        <w:spacing w:lineRule="auto" w:line="240"/>
        <w:ind w:start="2268" w:end="0"/>
        <w:jc w:val="both"/>
        <w:rPr/>
      </w:pPr>
      <w:r>
        <w:rPr>
          <w:rFonts w:cs="Calibri"/>
          <w:color w:val="000000"/>
          <w:sz w:val="20"/>
          <w:szCs w:val="20"/>
          <w:lang w:val="pt-BR" w:eastAsia="ja-JP"/>
        </w:rPr>
        <w:t>Cumpre observar que embora a contratação de seguro prestamista para garantia de financiamento fosse admissível, não poderia ser imposto ao consumidor. No caso em comento, o autor estava em situação financeira difícil, necessitando contrair empréstimo para saldar suas dívidas, não sendo lógico que ele tivesse interesse em contratar seguro prestamista, fato este que se confirma ao se observar a conduta do próprio autor de buscar ser ressarcido do referido seguro.</w:t>
      </w:r>
    </w:p>
    <w:p>
      <w:pPr>
        <w:pStyle w:val="Normal"/>
        <w:tabs>
          <w:tab w:val="clear" w:pos="720"/>
          <w:tab w:val="left" w:pos="2694" w:leader="none"/>
        </w:tabs>
        <w:spacing w:lineRule="auto" w:line="240"/>
        <w:ind w:start="2268" w:end="0"/>
        <w:jc w:val="both"/>
        <w:rPr>
          <w:rFonts w:cs="Calibri"/>
          <w:color w:val="000000"/>
          <w:sz w:val="20"/>
          <w:szCs w:val="20"/>
          <w:lang w:val="pt-BR" w:eastAsia="ja-JP"/>
        </w:rPr>
      </w:pPr>
      <w:r>
        <w:rPr>
          <w:rFonts w:cs="Calibri"/>
          <w:color w:val="000000"/>
          <w:sz w:val="20"/>
          <w:szCs w:val="20"/>
          <w:lang w:val="pt-BR" w:eastAsia="ja-JP"/>
        </w:rPr>
      </w:r>
    </w:p>
    <w:p>
      <w:pPr>
        <w:pStyle w:val="Normal"/>
        <w:spacing w:lineRule="auto" w:line="240"/>
        <w:ind w:start="2268" w:end="0"/>
        <w:jc w:val="both"/>
        <w:rPr/>
      </w:pPr>
      <w:r>
        <w:rPr>
          <w:rFonts w:cs="Calibri"/>
          <w:color w:val="000000"/>
          <w:sz w:val="20"/>
          <w:szCs w:val="20"/>
          <w:lang w:val="pt-BR" w:eastAsia="ja-JP"/>
        </w:rPr>
        <w:t>Nesses termos, sendo correto o reconhecimento da nulidade da contratação do seguro prestamista, em conformidade com o disposto nos artigos 39, I, e 51, IV, do CDC. Desta forma, configurada a cobrança de quantia indevida, correta a condenação do banco à devolução dos valores pagos dos referidos seguros, já que foi um em cada contrato, visto que o recorrente não se encontra na ressalva legal de engano justificável.</w:t>
      </w:r>
    </w:p>
    <w:p>
      <w:pPr>
        <w:pStyle w:val="Normal"/>
        <w:tabs>
          <w:tab w:val="clear" w:pos="720"/>
          <w:tab w:val="left" w:pos="2694" w:leader="none"/>
        </w:tabs>
        <w:spacing w:lineRule="auto" w:line="240"/>
        <w:ind w:start="2268" w:end="0"/>
        <w:jc w:val="both"/>
        <w:rPr>
          <w:rFonts w:cs="Calibri"/>
          <w:color w:val="000000"/>
          <w:sz w:val="20"/>
          <w:szCs w:val="20"/>
          <w:lang w:val="pt-BR" w:eastAsia="ja-JP"/>
        </w:rPr>
      </w:pPr>
      <w:r>
        <w:rPr>
          <w:rFonts w:cs="Calibri"/>
          <w:color w:val="000000"/>
          <w:sz w:val="20"/>
          <w:szCs w:val="20"/>
          <w:lang w:val="pt-BR" w:eastAsia="ja-JP"/>
        </w:rPr>
      </w:r>
    </w:p>
    <w:p>
      <w:pPr>
        <w:pStyle w:val="Normal"/>
        <w:spacing w:lineRule="auto" w:line="240"/>
        <w:ind w:start="2268" w:end="0"/>
        <w:jc w:val="both"/>
        <w:rPr/>
      </w:pPr>
      <w:r>
        <w:rPr>
          <w:rFonts w:cs="Calibri"/>
          <w:b/>
          <w:bCs/>
          <w:color w:val="000000"/>
          <w:sz w:val="20"/>
          <w:szCs w:val="20"/>
          <w:lang w:val="pt-BR" w:eastAsia="ja-JP"/>
        </w:rPr>
        <w:t>No que se refere aos danos morais, evidencio configurada sua incidência, como também condizente o quantum indenizatório fixado, devidamente balizado pelos princípios da razoabilidade e proporcionalidade, uma vez que não se trata de mero aborrecimento, já que houve flagrante agressão a dignidade da consumidora ora apelada. Andou bem o juiz de origem ao condenar a parte ora apelante ao pagamento de indenização por danos morais, uma vez que a contratação ilegal e abusiva feita de modo doloso ofende direitos da personalidade do requerente, que foi ludibriada a assinar contrato em que praticamente força a adesão pelo seguro prestamista.</w:t>
      </w:r>
      <w:r>
        <w:rPr>
          <w:rFonts w:cs="Calibri"/>
          <w:color w:val="000000"/>
          <w:sz w:val="20"/>
          <w:szCs w:val="20"/>
          <w:lang w:val="pt-BR" w:eastAsia="ja-JP"/>
        </w:rPr>
        <w:t xml:space="preserve"> (...)” (grifo nosso)</w:t>
      </w:r>
    </w:p>
    <w:p>
      <w:pPr>
        <w:pStyle w:val="Normal"/>
        <w:tabs>
          <w:tab w:val="clear" w:pos="720"/>
          <w:tab w:val="left" w:pos="2694" w:leader="none"/>
        </w:tabs>
        <w:spacing w:lineRule="auto" w:line="300"/>
        <w:ind w:firstLine="1418" w:end="0"/>
        <w:jc w:val="both"/>
        <w:rPr>
          <w:rFonts w:cs="Calibri"/>
          <w:color w:val="000000"/>
          <w:sz w:val="20"/>
          <w:szCs w:val="20"/>
          <w:lang w:val="pt-BR" w:eastAsia="ja-JP"/>
        </w:rPr>
      </w:pPr>
      <w:r>
        <w:rPr>
          <w:rFonts w:cs="Calibri"/>
          <w:color w:val="000000"/>
          <w:sz w:val="20"/>
          <w:szCs w:val="20"/>
          <w:lang w:val="pt-BR" w:eastAsia="ja-JP"/>
        </w:rPr>
      </w:r>
    </w:p>
    <w:p>
      <w:pPr>
        <w:pStyle w:val="Normal"/>
        <w:tabs>
          <w:tab w:val="clear" w:pos="720"/>
          <w:tab w:val="left" w:pos="2694" w:leader="none"/>
        </w:tabs>
        <w:spacing w:lineRule="auto" w:line="300"/>
        <w:ind w:firstLine="1418" w:end="0"/>
        <w:jc w:val="both"/>
        <w:rPr/>
      </w:pPr>
      <w:r>
        <w:rPr>
          <w:rFonts w:cs="Calibri"/>
          <w:color w:val="000000"/>
          <w:lang w:val="pt-BR"/>
        </w:rPr>
        <w:t xml:space="preserve">Quanto à prova do dano moral, é sabido que sua caracterização independe de demonstração de prejuízo. Isso ocorre porque os transtornos inerentes a esta ocorrência são suficientes, visto que se trata de dano </w:t>
      </w:r>
      <w:r>
        <w:rPr>
          <w:rFonts w:cs="Calibri"/>
          <w:i/>
          <w:iCs/>
          <w:color w:val="000000"/>
          <w:lang w:val="pt-BR"/>
        </w:rPr>
        <w:t>in re ipsa</w:t>
      </w:r>
      <w:r>
        <w:rPr>
          <w:rFonts w:cs="Calibri"/>
          <w:color w:val="000000"/>
          <w:lang w:val="pt-BR"/>
        </w:rPr>
        <w:t xml:space="preserve">, presumido pela própria lesão à esfera íntima da vítima. </w:t>
      </w:r>
    </w:p>
    <w:p>
      <w:pPr>
        <w:pStyle w:val="Normal"/>
        <w:tabs>
          <w:tab w:val="clear" w:pos="720"/>
          <w:tab w:val="left" w:pos="2694" w:leader="none"/>
        </w:tabs>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pPr>
      <w:r>
        <w:rPr>
          <w:rFonts w:cs="Calibri"/>
          <w:color w:val="000000"/>
          <w:lang w:val="pt-BR"/>
        </w:rPr>
        <w:t>Considerando que não há como eliminar o dano moral, uma vez que sua ocorrência é irreversível, a indenização busca, no mínimo, uma compensação à vítima pelos transtornos injustamente sofridos, visando minimizar o sofrimento e os efeitos da lesão.</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pPr>
      <w:r>
        <w:rPr>
          <w:rFonts w:cs="Calibri"/>
          <w:color w:val="000000"/>
          <w:lang w:val="pt-BR"/>
        </w:rPr>
        <w:t xml:space="preserve">Vale destacar a lição de </w:t>
      </w:r>
      <w:r>
        <w:rPr>
          <w:rFonts w:cs="Calibri"/>
          <w:b/>
          <w:bCs/>
          <w:color w:val="000000"/>
          <w:lang w:val="pt-BR"/>
        </w:rPr>
        <w:t>WASHINGTON DE BARROS MONTEIRO</w:t>
      </w:r>
      <w:r>
        <w:rPr>
          <w:rFonts w:cs="Calibri"/>
          <w:color w:val="000000"/>
          <w:lang w:val="pt-BR"/>
        </w:rPr>
        <w:t>, que adiante segue:</w:t>
      </w:r>
    </w:p>
    <w:p>
      <w:pPr>
        <w:pStyle w:val="Normal"/>
        <w:spacing w:lineRule="auto" w:line="300"/>
        <w:ind w:firstLine="1985" w:end="0"/>
        <w:jc w:val="both"/>
        <w:rPr>
          <w:rFonts w:cs="Calibri"/>
          <w:color w:val="000000"/>
          <w:lang w:val="pt-BR"/>
        </w:rPr>
      </w:pPr>
      <w:r>
        <w:rPr>
          <w:rFonts w:cs="Calibri"/>
          <w:color w:val="000000"/>
          <w:lang w:val="pt-BR"/>
        </w:rPr>
      </w:r>
    </w:p>
    <w:p>
      <w:pPr>
        <w:pStyle w:val="Normal"/>
        <w:spacing w:lineRule="auto" w:line="240"/>
        <w:ind w:start="2268" w:end="0"/>
        <w:jc w:val="both"/>
        <w:rPr/>
      </w:pPr>
      <w:r>
        <w:rPr>
          <w:rFonts w:cs="Calibri"/>
          <w:b/>
          <w:bCs/>
          <w:color w:val="000000"/>
          <w:sz w:val="20"/>
          <w:szCs w:val="20"/>
          <w:lang w:val="pt-BR"/>
        </w:rPr>
        <w:t>“em face, da nossa lei civil, a reparação do dano tem como pressuposto a prática de um ato ilícito. Todo ato ilícito gera para o seu autor a obrigação de ressarcir o prejuízo causado. É de preceito que ninguém deve causar lesão a outrem. A menor falta, a mínima desatenção, desde que danosa, obriga o agente a indenizar os prejuízos consequentes ao seu ato”</w:t>
      </w:r>
      <w:r>
        <w:rPr>
          <w:rFonts w:cs="Calibri"/>
          <w:color w:val="000000"/>
          <w:sz w:val="20"/>
          <w:szCs w:val="20"/>
          <w:lang w:val="pt-BR"/>
        </w:rPr>
        <w:t>. (Direito Civil, II. São Paulo: Saraiva, p 431.);</w:t>
      </w:r>
    </w:p>
    <w:p>
      <w:pPr>
        <w:pStyle w:val="Normal"/>
        <w:spacing w:lineRule="auto" w:line="300"/>
        <w:jc w:val="both"/>
        <w:rPr>
          <w:rFonts w:cs="Calibri"/>
          <w:color w:val="000000"/>
          <w:sz w:val="20"/>
          <w:szCs w:val="20"/>
          <w:lang w:val="pt-BR"/>
        </w:rPr>
      </w:pPr>
      <w:r>
        <w:rPr>
          <w:rFonts w:cs="Calibri"/>
          <w:color w:val="000000"/>
          <w:sz w:val="20"/>
          <w:szCs w:val="20"/>
          <w:lang w:val="pt-BR"/>
        </w:rPr>
      </w:r>
    </w:p>
    <w:p>
      <w:pPr>
        <w:pStyle w:val="Normal"/>
        <w:spacing w:lineRule="auto" w:line="300"/>
        <w:ind w:firstLine="1418" w:end="0"/>
        <w:jc w:val="both"/>
        <w:rPr/>
      </w:pPr>
      <w:r>
        <w:rPr>
          <w:rFonts w:cs="Calibri"/>
          <w:color w:val="000000"/>
          <w:lang w:val="pt-BR"/>
        </w:rPr>
        <w:t xml:space="preserve">Ante as provas da prática abusiva de venda casada, pugna a parte requerente pela condenação do Requerido ao pagamento de </w:t>
      </w:r>
      <w:r>
        <w:rPr>
          <w:rFonts w:cs="Calibri"/>
          <w:b/>
          <w:bCs/>
          <w:color w:val="000000"/>
          <w:lang w:val="pt-BR"/>
        </w:rPr>
        <w:t>R$ 10.000,00 (dez mil reais)</w:t>
      </w:r>
      <w:r>
        <w:rPr>
          <w:rFonts w:cs="Calibri"/>
          <w:color w:val="000000"/>
          <w:lang w:val="pt-BR"/>
        </w:rPr>
        <w:t xml:space="preserve"> </w:t>
      </w:r>
      <w:r>
        <w:rPr>
          <w:rFonts w:cs="Calibri"/>
          <w:b/>
          <w:bCs/>
          <w:color w:val="000000"/>
          <w:lang w:val="pt-BR"/>
        </w:rPr>
        <w:t>a título de danos morais</w:t>
      </w:r>
      <w:r>
        <w:rPr>
          <w:rFonts w:cs="Calibri"/>
          <w:color w:val="000000"/>
          <w:lang w:val="pt-BR"/>
        </w:rPr>
        <w:t>, ou outra quantia que Vossa Excelência arbitrar, com correção monetária a partir do arbitramento (Súmula 362/STJ) e juros de mora desde o evento danoso (Súmula 54/STJ), com fundamento nos arts. 5º, V e X, da CF/88; 6º, VI, do CDC; e 186 e 927 do CC.</w:t>
      </w:r>
    </w:p>
    <w:p>
      <w:pPr>
        <w:pStyle w:val="Normal"/>
        <w:spacing w:lineRule="auto" w:line="300"/>
        <w:ind w:firstLine="2835" w:end="0"/>
        <w:jc w:val="both"/>
        <w:rPr>
          <w:rFonts w:cs="Calibri"/>
          <w:color w:val="000000"/>
          <w:lang w:val="pt-BR"/>
        </w:rPr>
      </w:pPr>
      <w:r>
        <w:rPr>
          <w:rFonts w:cs="Calibri"/>
          <w:color w:val="000000"/>
          <w:lang w:val="pt-BR"/>
        </w:rPr>
      </w:r>
    </w:p>
    <w:p>
      <w:pPr>
        <w:pStyle w:val="PargrafodaLista"/>
        <w:numPr>
          <w:ilvl w:val="0"/>
          <w:numId w:val="3"/>
        </w:numPr>
        <w:spacing w:lineRule="auto" w:line="300" w:before="0" w:after="0"/>
        <w:ind w:hanging="0" w:start="0" w:end="0"/>
        <w:contextualSpacing/>
        <w:jc w:val="both"/>
        <w:rPr>
          <w:rFonts w:cs="Calibri"/>
          <w:color w:val="000000"/>
        </w:rPr>
      </w:pPr>
      <w:r>
        <w:rPr>
          <w:rFonts w:cs="Calibri"/>
          <w:b/>
          <w:bCs/>
          <w:color w:val="000000"/>
        </w:rPr>
        <w:t xml:space="preserve">3.5.1 - DO CARÁTER DESESTIMULANTE E PUNITIVO – </w:t>
      </w:r>
      <w:r>
        <w:rPr>
          <w:rFonts w:cs="Calibri"/>
          <w:b/>
          <w:bCs/>
          <w:i/>
          <w:iCs/>
          <w:color w:val="000000"/>
        </w:rPr>
        <w:t>PUNITIVE DAMAGE</w:t>
      </w:r>
      <w:r>
        <w:rPr>
          <w:rFonts w:cs="Calibri"/>
          <w:b/>
          <w:bCs/>
          <w:color w:val="000000"/>
        </w:rPr>
        <w:t xml:space="preserve"> – </w:t>
      </w:r>
      <w:r>
        <w:rPr>
          <w:rFonts w:cs="Calibri"/>
          <w:b/>
          <w:bCs/>
          <w:i/>
          <w:iCs/>
          <w:color w:val="000000"/>
        </w:rPr>
        <w:t>EXEMPLARY DAMAGE</w:t>
      </w:r>
    </w:p>
    <w:p>
      <w:pPr>
        <w:pStyle w:val="Normal"/>
        <w:spacing w:lineRule="auto" w:line="300"/>
        <w:jc w:val="both"/>
        <w:rPr>
          <w:rFonts w:cs="Calibri"/>
          <w:color w:val="000000"/>
          <w:lang w:val="pt-BR"/>
        </w:rPr>
      </w:pPr>
      <w:r>
        <w:rPr>
          <w:rFonts w:cs="Calibri"/>
          <w:color w:val="000000"/>
          <w:lang w:val="pt-BR"/>
        </w:rPr>
      </w:r>
    </w:p>
    <w:p>
      <w:pPr>
        <w:pStyle w:val="Normal"/>
        <w:spacing w:lineRule="auto" w:line="300"/>
        <w:ind w:firstLine="1418" w:end="0"/>
        <w:jc w:val="both"/>
        <w:rPr/>
      </w:pPr>
      <w:r>
        <w:rPr>
          <w:rFonts w:cs="Calibri"/>
          <w:color w:val="000000"/>
          <w:lang w:val="pt-BR"/>
        </w:rPr>
        <w:t xml:space="preserve">Com o fenômeno da </w:t>
      </w:r>
      <w:r>
        <w:rPr>
          <w:rFonts w:cs="Calibri"/>
          <w:i/>
          <w:iCs/>
          <w:color w:val="000000"/>
          <w:lang w:val="pt-BR"/>
        </w:rPr>
        <w:t>exemplary damage</w:t>
      </w:r>
      <w:r>
        <w:rPr>
          <w:rFonts w:cs="Calibri"/>
          <w:color w:val="000000"/>
          <w:lang w:val="pt-BR"/>
        </w:rPr>
        <w:t>, a indenização por dano moral também atende o fim social de que trata a Lei de Introdução ao Código Civil, uma vez que, supostamente, influenciará os demais membros da sociedade a não praticarem eventos danosos similares aos cometidos pelo ofensor e devidamente punidos pelo Estado-juiz.</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rFonts w:cs="Calibri"/>
          <w:color w:val="000000"/>
          <w:lang w:val="pt-BR"/>
        </w:rPr>
      </w:pPr>
      <w:r>
        <w:rPr>
          <w:rFonts w:cs="Calibri"/>
          <w:color w:val="000000"/>
          <w:lang w:val="pt-BR"/>
        </w:rPr>
        <w:t>Vigentes os altos mandamentos da Constituição Federal, tornou-se expresso e incontestável no ordenamento jurídico brasileiro o direito a indenização por danos morais.</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pPr>
      <w:r>
        <w:rPr>
          <w:rFonts w:cs="Calibri"/>
          <w:color w:val="000000"/>
          <w:lang w:val="pt-BR"/>
        </w:rPr>
        <w:t xml:space="preserve">A cartilha da doutrina do </w:t>
      </w:r>
      <w:r>
        <w:rPr>
          <w:rFonts w:cs="Calibri"/>
          <w:i/>
          <w:iCs/>
          <w:color w:val="000000"/>
          <w:lang w:val="pt-BR"/>
        </w:rPr>
        <w:t>punitive damage</w:t>
      </w:r>
      <w:r>
        <w:rPr>
          <w:rFonts w:cs="Calibri"/>
          <w:color w:val="000000"/>
          <w:lang w:val="pt-BR"/>
        </w:rPr>
        <w:t xml:space="preserve"> é simples e bastante eficaz. Segundo suas letras, </w:t>
      </w:r>
      <w:r>
        <w:rPr>
          <w:rFonts w:cs="Calibri"/>
          <w:b/>
          <w:bCs/>
          <w:color w:val="000000"/>
          <w:lang w:val="pt-BR"/>
        </w:rPr>
        <w:t>o causador do injusto, dos danos materiais e especialmente morais, tem de ser efetivamente punido</w:t>
      </w:r>
      <w:r>
        <w:rPr>
          <w:rFonts w:cs="Calibri"/>
          <w:color w:val="000000"/>
          <w:lang w:val="pt-BR"/>
        </w:rPr>
        <w:t xml:space="preserve">. A título de punição ou a título exemplar, a </w:t>
      </w:r>
      <w:r>
        <w:rPr>
          <w:rFonts w:cs="Calibri"/>
          <w:i/>
          <w:iCs/>
          <w:color w:val="000000"/>
          <w:lang w:val="pt-BR"/>
        </w:rPr>
        <w:t>exemplary damage</w:t>
      </w:r>
      <w:r>
        <w:rPr>
          <w:rFonts w:cs="Calibri"/>
          <w:color w:val="000000"/>
          <w:lang w:val="pt-BR"/>
        </w:rPr>
        <w:t>, o fato é que o causador do dano não pode passar impune por sua conduta ilícita.</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rFonts w:cs="Calibri"/>
          <w:color w:val="000000"/>
          <w:lang w:val="pt-BR"/>
        </w:rPr>
      </w:pPr>
      <w:r>
        <w:rPr>
          <w:rFonts w:cs="Calibri"/>
          <w:color w:val="000000"/>
          <w:lang w:val="pt-BR"/>
        </w:rPr>
        <w:t>Pune-se com rigor o causador do dano, sendo esta punição, aquilatada em dinheiro, diretamente voltada à vítima (nada mais justo, de sublinhar). Em alguns casos, além da vítima, instituições de caridade podem ser premiadas com a punição do ofensor.</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pPr>
      <w:r>
        <w:rPr>
          <w:rFonts w:cs="Calibri"/>
          <w:color w:val="000000"/>
          <w:lang w:val="pt-BR"/>
        </w:rPr>
        <w:t>Nunca é demais repetir: à vítima, a compensação nasce da condenação do ofensor. Assim, nesse sentido, tanto faz um real como um milhão de reais, já que a moral, a honra e a intimidade da pessoa são bens imateriais, que não têm valor econômico. Não obstante, para que a condenação do ofensor tenha algum valor jurídico, mister se faz que a indenização seja fixada em valor respeitável, mordaz, para que o ofensor sinta, concretamente, os efeitos do injusto, tendo sua punição, também, natureza exemplar ("exemplary damage").</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pPr>
      <w:r>
        <w:rPr>
          <w:rFonts w:cs="Calibri"/>
          <w:color w:val="000000"/>
          <w:lang w:val="pt-BR"/>
        </w:rPr>
        <w:t>E nem se diga, com críticas, a eventual e, alegadamente imoral, compensação financeira da vítima, ou, como preferem alguns, o enriquecimento da vítima. Ora, se este eventual enriquecimento ocorrer nada mais será do que mero desdobramento da punição do ofensor, algo, portanto, perfeitamente justo.</w:t>
      </w:r>
    </w:p>
    <w:p>
      <w:pPr>
        <w:pStyle w:val="Normal"/>
        <w:spacing w:lineRule="auto" w:line="300"/>
        <w:ind w:firstLine="1701" w:end="0"/>
        <w:jc w:val="both"/>
        <w:rPr>
          <w:rFonts w:cs="Calibri"/>
          <w:color w:val="000000"/>
          <w:lang w:val="pt-BR"/>
        </w:rPr>
      </w:pPr>
      <w:r>
        <w:rPr>
          <w:rFonts w:cs="Calibri"/>
          <w:color w:val="000000"/>
          <w:lang w:val="pt-BR"/>
        </w:rPr>
      </w:r>
    </w:p>
    <w:p>
      <w:pPr>
        <w:pStyle w:val="PargrafodaLista"/>
        <w:numPr>
          <w:ilvl w:val="0"/>
          <w:numId w:val="3"/>
        </w:numPr>
        <w:spacing w:lineRule="auto" w:line="300" w:before="0" w:after="0"/>
        <w:ind w:hanging="0" w:start="0" w:end="0"/>
        <w:contextualSpacing/>
        <w:jc w:val="both"/>
        <w:rPr>
          <w:rFonts w:cs="Calibri"/>
          <w:b/>
          <w:bCs/>
          <w:color w:val="000000"/>
        </w:rPr>
      </w:pPr>
      <w:r>
        <w:rPr>
          <w:rFonts w:cs="Calibri"/>
          <w:b/>
          <w:bCs/>
          <w:color w:val="000000"/>
        </w:rPr>
        <w:t>3.5.2 - DO ATO ILÍCITO E DA RESPONSABILIDADE CIVIL</w:t>
      </w:r>
    </w:p>
    <w:p>
      <w:pPr>
        <w:pStyle w:val="Normal"/>
        <w:spacing w:lineRule="auto" w:line="300"/>
        <w:jc w:val="both"/>
        <w:rPr>
          <w:rFonts w:cs="Calibri"/>
          <w:b/>
          <w:bCs/>
          <w:color w:val="000000"/>
          <w:lang w:val="pt-BR"/>
        </w:rPr>
      </w:pPr>
      <w:r>
        <w:rPr>
          <w:rFonts w:cs="Calibri"/>
          <w:b/>
          <w:bCs/>
          <w:color w:val="000000"/>
          <w:lang w:val="pt-BR"/>
        </w:rPr>
      </w:r>
    </w:p>
    <w:p>
      <w:pPr>
        <w:pStyle w:val="Normal"/>
        <w:spacing w:lineRule="auto" w:line="300"/>
        <w:ind w:firstLine="1418" w:end="0"/>
        <w:jc w:val="both"/>
        <w:rPr>
          <w:rFonts w:cs="Calibri"/>
          <w:color w:val="000000"/>
          <w:lang w:val="pt-BR"/>
        </w:rPr>
      </w:pPr>
      <w:r>
        <w:rPr>
          <w:rFonts w:cs="Calibri"/>
          <w:color w:val="000000"/>
          <w:lang w:val="pt-BR"/>
        </w:rPr>
        <w:t>A conduta do requerido nos remete ao enquadramento em uma previsão legal, qual seja o artigo 186 do Código Civil de 2002:</w:t>
      </w:r>
    </w:p>
    <w:p>
      <w:pPr>
        <w:pStyle w:val="Normal"/>
        <w:spacing w:lineRule="auto" w:line="300"/>
        <w:jc w:val="both"/>
        <w:rPr>
          <w:rFonts w:cs="Calibri"/>
          <w:color w:val="000000"/>
          <w:lang w:val="pt-BR"/>
        </w:rPr>
      </w:pPr>
      <w:r>
        <w:rPr>
          <w:rFonts w:cs="Calibri"/>
          <w:color w:val="000000"/>
          <w:lang w:val="pt-BR"/>
        </w:rPr>
      </w:r>
    </w:p>
    <w:p>
      <w:pPr>
        <w:pStyle w:val="Normal"/>
        <w:spacing w:lineRule="auto" w:line="240"/>
        <w:ind w:start="2268" w:end="0"/>
        <w:jc w:val="both"/>
        <w:rPr>
          <w:rFonts w:cs="Calibri"/>
          <w:color w:val="000000"/>
          <w:sz w:val="20"/>
          <w:szCs w:val="20"/>
          <w:lang w:val="pt-BR"/>
        </w:rPr>
      </w:pPr>
      <w:r>
        <w:rPr>
          <w:rFonts w:cs="Calibri"/>
          <w:color w:val="000000"/>
          <w:sz w:val="20"/>
          <w:szCs w:val="20"/>
          <w:lang w:val="pt-BR"/>
        </w:rPr>
        <w:t>Art. 186 Aquele que, por ação ou omissão voluntária, negligência ou imprudência, violar direito e causar dano a outrem, ainda que exclusivamente moral, comete ato ilícito.</w:t>
      </w:r>
    </w:p>
    <w:p>
      <w:pPr>
        <w:pStyle w:val="Normal"/>
        <w:spacing w:lineRule="auto" w:line="300"/>
        <w:jc w:val="both"/>
        <w:rPr>
          <w:rFonts w:cs="Calibri"/>
          <w:color w:val="000000"/>
          <w:sz w:val="20"/>
          <w:szCs w:val="20"/>
          <w:lang w:val="pt-BR"/>
        </w:rPr>
      </w:pPr>
      <w:r>
        <w:rPr>
          <w:rFonts w:cs="Calibri"/>
          <w:color w:val="000000"/>
          <w:sz w:val="20"/>
          <w:szCs w:val="20"/>
          <w:lang w:val="pt-BR"/>
        </w:rPr>
      </w:r>
    </w:p>
    <w:p>
      <w:pPr>
        <w:pStyle w:val="Normal"/>
        <w:spacing w:lineRule="auto" w:line="300"/>
        <w:ind w:firstLine="1418" w:end="0"/>
        <w:jc w:val="both"/>
        <w:rPr>
          <w:rFonts w:cs="Calibri"/>
          <w:color w:val="000000"/>
          <w:lang w:val="pt-BR"/>
        </w:rPr>
      </w:pPr>
      <w:r>
        <w:rPr>
          <w:rFonts w:cs="Calibri"/>
          <w:color w:val="000000"/>
          <w:lang w:val="pt-BR"/>
        </w:rPr>
        <w:t>Diante dos fatos anteriormente explicitados, percebesse claramente a configuração do ato ilícito.</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pPr>
      <w:r>
        <w:rPr>
          <w:rFonts w:cs="Calibri"/>
          <w:color w:val="000000"/>
          <w:lang w:val="pt-BR"/>
        </w:rPr>
        <w:t>Dessa forma, fica evidente o dever de indenizar do requerido, na proporção de suas responsabilidades, pois de acordo com o exposto anteriormente, restou comprovada a existência do ato ilícito, e seguindo os ditames do artigo 927 do Código Civil de 2002, temos que:</w:t>
      </w:r>
    </w:p>
    <w:p>
      <w:pPr>
        <w:pStyle w:val="Normal"/>
        <w:spacing w:lineRule="auto" w:line="300"/>
        <w:ind w:firstLine="1701" w:end="0"/>
        <w:jc w:val="both"/>
        <w:rPr>
          <w:rFonts w:cs="Calibri"/>
          <w:color w:val="000000"/>
          <w:lang w:val="pt-BR"/>
        </w:rPr>
      </w:pPr>
      <w:r>
        <w:rPr>
          <w:rFonts w:cs="Calibri"/>
          <w:color w:val="000000"/>
          <w:lang w:val="pt-BR"/>
        </w:rPr>
      </w:r>
    </w:p>
    <w:p>
      <w:pPr>
        <w:pStyle w:val="Normal"/>
        <w:spacing w:lineRule="auto" w:line="300"/>
        <w:ind w:start="2268" w:end="0"/>
        <w:jc w:val="both"/>
        <w:rPr>
          <w:rFonts w:cs="Calibri"/>
          <w:color w:val="000000"/>
          <w:sz w:val="20"/>
          <w:szCs w:val="20"/>
          <w:lang w:val="pt-BR"/>
        </w:rPr>
      </w:pPr>
      <w:r>
        <w:rPr>
          <w:rFonts w:cs="Calibri"/>
          <w:color w:val="000000"/>
          <w:sz w:val="20"/>
          <w:szCs w:val="20"/>
          <w:lang w:val="pt-BR"/>
        </w:rPr>
        <w:t>Art. 927 Aquele que, por ato ilícito, causar dano a outrem, fica obrigado a repará-lo.</w:t>
      </w:r>
    </w:p>
    <w:p>
      <w:pPr>
        <w:pStyle w:val="Normal"/>
        <w:spacing w:lineRule="auto" w:line="300"/>
        <w:ind w:start="2268" w:end="0"/>
        <w:jc w:val="both"/>
        <w:rPr>
          <w:rFonts w:cs="Calibri"/>
          <w:color w:val="000000"/>
          <w:sz w:val="20"/>
          <w:szCs w:val="20"/>
          <w:lang w:val="pt-BR"/>
        </w:rPr>
      </w:pPr>
      <w:r>
        <w:rPr>
          <w:rFonts w:cs="Calibri"/>
          <w:color w:val="000000"/>
          <w:sz w:val="20"/>
          <w:szCs w:val="20"/>
          <w:lang w:val="pt-BR"/>
        </w:rPr>
      </w:r>
    </w:p>
    <w:p>
      <w:pPr>
        <w:pStyle w:val="PargrafodaLista"/>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before="0" w:after="0"/>
        <w:ind w:start="0" w:end="0"/>
        <w:contextualSpacing/>
        <w:jc w:val="center"/>
        <w:rPr>
          <w:rFonts w:cs="Calibri"/>
          <w:b/>
        </w:rPr>
      </w:pPr>
      <w:r>
        <w:rPr>
          <w:rFonts w:cs="Calibri"/>
          <w:b/>
        </w:rPr>
        <w:t>4 - DA INVERSÃO DO ÔNUS DA PROVA</w:t>
      </w:r>
    </w:p>
    <w:p>
      <w:pPr>
        <w:pStyle w:val="Normal"/>
        <w:spacing w:lineRule="auto" w:line="300"/>
        <w:ind w:firstLine="1416" w:end="0"/>
        <w:jc w:val="both"/>
        <w:textAlignment w:val="top"/>
        <w:rPr>
          <w:rFonts w:cs="Calibri"/>
          <w:b/>
          <w:lang w:val="pt-BR"/>
        </w:rPr>
      </w:pPr>
      <w:r>
        <w:rPr>
          <w:rFonts w:cs="Calibri"/>
          <w:b/>
          <w:lang w:val="pt-BR"/>
        </w:rPr>
      </w:r>
    </w:p>
    <w:p>
      <w:pPr>
        <w:pStyle w:val="Normal"/>
        <w:spacing w:lineRule="auto" w:line="300"/>
        <w:ind w:firstLine="1418" w:end="0"/>
        <w:jc w:val="both"/>
        <w:textAlignment w:val="top"/>
        <w:rPr/>
      </w:pPr>
      <w:r>
        <w:rPr>
          <w:rFonts w:cs="Calibri"/>
          <w:color w:val="000000"/>
          <w:lang w:val="pt-BR"/>
        </w:rPr>
        <w:t>A questão do ônus da prova reveste-se de relevante importância, porquanto sua inobservância pode acarretar prejuízos àqueles que a ele se sujeitam, especialmente na aplicação do Código de Defesa do Consumidor.</w:t>
      </w:r>
    </w:p>
    <w:p>
      <w:pPr>
        <w:pStyle w:val="Normal"/>
        <w:spacing w:lineRule="auto" w:line="300"/>
        <w:ind w:firstLine="1418" w:start="-567" w:end="0"/>
        <w:jc w:val="both"/>
        <w:textAlignment w:val="top"/>
        <w:rPr>
          <w:rFonts w:cs="Calibri"/>
          <w:color w:val="000000"/>
          <w:lang w:val="pt-BR"/>
        </w:rPr>
      </w:pPr>
      <w:r>
        <w:rPr>
          <w:rFonts w:cs="Calibri"/>
          <w:color w:val="000000"/>
          <w:lang w:val="pt-BR"/>
        </w:rPr>
      </w:r>
    </w:p>
    <w:p>
      <w:pPr>
        <w:pStyle w:val="Normal"/>
        <w:spacing w:lineRule="auto" w:line="300"/>
        <w:ind w:firstLine="1418" w:end="0"/>
        <w:jc w:val="both"/>
        <w:textAlignment w:val="top"/>
        <w:rPr>
          <w:rFonts w:cs="Calibri"/>
          <w:color w:val="000000"/>
          <w:lang w:val="pt-BR"/>
        </w:rPr>
      </w:pPr>
      <w:r>
        <w:rPr>
          <w:rFonts w:cs="Calibri"/>
          <w:color w:val="000000"/>
          <w:lang w:val="pt-BR"/>
        </w:rPr>
        <w:t>Em regra, o ônus da prova incumbe a quem alega o fato constitutivo de seu direito ou a quem o nega, suscitando fato impeditivo, modificativo ou extintivo, conforme o disposto no art. 373, incisos I e II, do Código de Processo Civil.</w:t>
      </w:r>
    </w:p>
    <w:p>
      <w:pPr>
        <w:pStyle w:val="Normal"/>
        <w:spacing w:lineRule="auto" w:line="300"/>
        <w:ind w:firstLine="1418" w:end="0"/>
        <w:jc w:val="both"/>
        <w:textAlignment w:val="top"/>
        <w:rPr>
          <w:rFonts w:cs="Calibri"/>
          <w:color w:val="000000"/>
          <w:lang w:val="pt-BR"/>
        </w:rPr>
      </w:pPr>
      <w:r>
        <w:rPr>
          <w:rFonts w:cs="Calibri"/>
          <w:color w:val="000000"/>
          <w:lang w:val="pt-BR"/>
        </w:rPr>
      </w:r>
    </w:p>
    <w:p>
      <w:pPr>
        <w:pStyle w:val="Normal"/>
        <w:spacing w:lineRule="auto" w:line="300"/>
        <w:ind w:firstLine="1418" w:end="0"/>
        <w:jc w:val="both"/>
        <w:textAlignment w:val="top"/>
        <w:rPr/>
      </w:pPr>
      <w:r>
        <w:rPr>
          <w:rFonts w:cs="Calibri"/>
          <w:color w:val="000000"/>
          <w:lang w:val="pt-BR"/>
        </w:rPr>
        <w:t>O Código de Defesa do Consumidor, como diploma legal que visa modernizar o direito vigente e atenuar a desigualdade de forças entre os polos processuais – de um lado, o consumidor, figura vulnerável, e, de outro, o fornecedor, detentor dos meios de prova frequentemente buscados pelo primeiro e a este inacessíveis –, adotou teoria moderna que admite a inversão do ônus da prova em razão dessa problemática.</w:t>
      </w:r>
    </w:p>
    <w:p>
      <w:pPr>
        <w:pStyle w:val="Normal"/>
        <w:spacing w:lineRule="auto" w:line="300"/>
        <w:ind w:firstLine="1418" w:end="0"/>
        <w:jc w:val="both"/>
        <w:textAlignment w:val="top"/>
        <w:rPr>
          <w:rFonts w:cs="Calibri"/>
          <w:color w:val="000000"/>
          <w:lang w:val="pt-BR"/>
        </w:rPr>
      </w:pPr>
      <w:r>
        <w:rPr>
          <w:rFonts w:cs="Calibri"/>
          <w:color w:val="000000"/>
          <w:lang w:val="pt-BR"/>
        </w:rPr>
      </w:r>
    </w:p>
    <w:p>
      <w:pPr>
        <w:pStyle w:val="Normal"/>
        <w:spacing w:lineRule="auto" w:line="300"/>
        <w:ind w:firstLine="1418" w:end="0"/>
        <w:jc w:val="both"/>
        <w:textAlignment w:val="top"/>
        <w:rPr>
          <w:rFonts w:cs="Calibri"/>
          <w:color w:val="000000"/>
          <w:lang w:val="pt-BR"/>
        </w:rPr>
      </w:pPr>
      <w:r>
        <w:rPr>
          <w:rFonts w:cs="Calibri"/>
          <w:color w:val="000000"/>
          <w:lang w:val="pt-BR"/>
        </w:rPr>
        <w:t xml:space="preserve">Constatada a relação consumerista e a vulnerabilidade da parte requerente, esta deve ser amparada pelas normas da Lei nº 8.078/90, notadamente no que concerne aos direitos básicos do consumidor, conforme clara dicção legal. </w:t>
      </w:r>
    </w:p>
    <w:p>
      <w:pPr>
        <w:pStyle w:val="Normal"/>
        <w:spacing w:lineRule="auto" w:line="300"/>
        <w:ind w:firstLine="1418" w:end="0"/>
        <w:jc w:val="both"/>
        <w:textAlignment w:val="top"/>
        <w:rPr>
          <w:rFonts w:cs="Calibri"/>
          <w:color w:val="000000"/>
          <w:vertAlign w:val="subscript"/>
          <w:lang w:val="pt-BR"/>
        </w:rPr>
      </w:pPr>
      <w:r>
        <w:rPr>
          <w:rFonts w:cs="Calibri"/>
          <w:color w:val="000000"/>
          <w:vertAlign w:val="subscript"/>
          <w:lang w:val="pt-BR"/>
        </w:rPr>
      </w:r>
    </w:p>
    <w:p>
      <w:pPr>
        <w:pStyle w:val="Normal"/>
        <w:spacing w:lineRule="auto" w:line="300"/>
        <w:ind w:firstLine="1418" w:end="0"/>
        <w:jc w:val="both"/>
        <w:textAlignment w:val="top"/>
        <w:rPr>
          <w:rFonts w:cs="Calibri"/>
          <w:color w:val="000000"/>
          <w:vertAlign w:val="subscript"/>
          <w:lang w:val="pt-BR"/>
        </w:rPr>
      </w:pPr>
      <w:r>
        <w:rPr>
          <w:rFonts w:cs="Calibri"/>
          <w:color w:val="000000"/>
          <w:lang w:val="pt-BR"/>
        </w:rPr>
        <w:t xml:space="preserve">Feitas tais considerações, reportamo-nos ao Código de Defesa do Consumidor, que inovou ao dispor, em seu artigo 6º, inciso VIII, a possibilidade de inversão do ônus da prova para facilitar a defesa do consumidor lesado. Diferentemente do que ocorre no processo civil, onde a inversão se dá a critério do juiz, mediante a verossimilhança da alegação ou a hipossuficiência da parte, no âmbito consumerista, constata-se a inversão do </w:t>
      </w:r>
      <w:r>
        <w:rPr>
          <w:rFonts w:cs="Calibri"/>
          <w:i/>
          <w:iCs/>
          <w:color w:val="000000"/>
          <w:lang w:val="pt-BR"/>
        </w:rPr>
        <w:t>onus probandi</w:t>
      </w:r>
      <w:r>
        <w:rPr>
          <w:rFonts w:cs="Calibri"/>
          <w:color w:val="000000"/>
          <w:lang w:val="pt-BR"/>
        </w:rPr>
        <w:t xml:space="preserve">. </w:t>
      </w:r>
    </w:p>
    <w:p>
      <w:pPr>
        <w:pStyle w:val="Normal"/>
        <w:spacing w:lineRule="auto" w:line="300"/>
        <w:ind w:firstLine="1418" w:end="0"/>
        <w:jc w:val="both"/>
        <w:textAlignment w:val="top"/>
        <w:rPr>
          <w:rFonts w:cs="Calibri"/>
          <w:color w:val="000000"/>
          <w:vertAlign w:val="subscript"/>
          <w:lang w:val="pt-BR"/>
        </w:rPr>
      </w:pPr>
      <w:r>
        <w:rPr>
          <w:rFonts w:cs="Calibri"/>
          <w:color w:val="000000"/>
          <w:vertAlign w:val="subscript"/>
          <w:lang w:val="pt-BR"/>
        </w:rPr>
      </w:r>
    </w:p>
    <w:p>
      <w:pPr>
        <w:pStyle w:val="Normal"/>
        <w:spacing w:lineRule="auto" w:line="300"/>
        <w:ind w:firstLine="1418" w:end="0"/>
        <w:jc w:val="both"/>
        <w:textAlignment w:val="top"/>
        <w:rPr/>
      </w:pPr>
      <w:r>
        <w:rPr>
          <w:rFonts w:cs="Calibri"/>
          <w:color w:val="000000"/>
          <w:lang w:val="pt-BR"/>
        </w:rPr>
        <w:t xml:space="preserve">Da exegese do referido dispositivo legal, depreende-se que a inversão do ônus da prova pressupõe a verossimilhança das alegações, a critério do Juízo, ou a hipossuficiência da requerente. Portanto, o artigo em tela estabelece duas situações para a concessão da inversão do ônus probatório: a verossimilhança e/ou a hipossuficiência. </w:t>
      </w:r>
    </w:p>
    <w:p>
      <w:pPr>
        <w:pStyle w:val="Normal"/>
        <w:spacing w:lineRule="auto" w:line="300"/>
        <w:ind w:firstLine="1701" w:end="0"/>
        <w:jc w:val="both"/>
        <w:textAlignment w:val="top"/>
        <w:rPr>
          <w:rFonts w:cs="Calibri"/>
          <w:color w:val="000000"/>
          <w:lang w:val="pt-BR"/>
        </w:rPr>
      </w:pPr>
      <w:r>
        <w:rPr>
          <w:rFonts w:cs="Calibri"/>
          <w:color w:val="000000"/>
          <w:lang w:val="pt-BR"/>
        </w:rPr>
      </w:r>
    </w:p>
    <w:p>
      <w:pPr>
        <w:pStyle w:val="Normal"/>
        <w:spacing w:lineRule="auto" w:line="300"/>
        <w:ind w:firstLine="1418" w:end="0"/>
        <w:jc w:val="both"/>
        <w:textAlignment w:val="top"/>
        <w:rPr/>
      </w:pPr>
      <w:r>
        <w:rPr>
          <w:rFonts w:cs="Calibri"/>
          <w:color w:val="000000"/>
          <w:lang w:val="pt-BR"/>
        </w:rPr>
        <w:t>Dessarte, a relevância da inversão do ônus da prova reside em tornar o consumidor de boa-fé mais consciente de seus direitos e o fornecedor mais responsável e garantidor dos serviços que oferece no mercado. Portanto, considerando a verossimilhança das alegações da Requerente, esta faz jus à INVERSÃO DO ÔNUS DA PROVA, nos termos do artigo 6º, inciso VIII, da Lei nº 8.078/90, o que desde já se requer.</w:t>
      </w:r>
    </w:p>
    <w:p>
      <w:pPr>
        <w:pStyle w:val="Normal"/>
        <w:spacing w:lineRule="auto" w:line="300"/>
        <w:ind w:firstLine="2835" w:end="0"/>
        <w:jc w:val="both"/>
        <w:textAlignment w:val="top"/>
        <w:rPr>
          <w:rFonts w:cs="Calibri"/>
          <w:color w:val="FF0000"/>
          <w:lang w:val="pt-BR"/>
        </w:rPr>
      </w:pPr>
      <w:r>
        <w:rPr>
          <w:rFonts w:cs="Calibri"/>
          <w:color w:val="FF0000"/>
          <w:lang w:val="pt-BR"/>
        </w:rPr>
      </w:r>
    </w:p>
    <w:p>
      <w:pPr>
        <w:pStyle w:val="PargrafodaLista"/>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before="0" w:after="0"/>
        <w:ind w:start="0" w:end="0"/>
        <w:contextualSpacing/>
        <w:jc w:val="center"/>
        <w:rPr>
          <w:rFonts w:cs="Calibri"/>
          <w:b/>
        </w:rPr>
      </w:pPr>
      <w:r>
        <w:rPr>
          <w:rFonts w:cs="Calibri"/>
          <w:b/>
        </w:rPr>
        <w:t>5 - DOS PEDIDOS</w:t>
      </w:r>
    </w:p>
    <w:p>
      <w:pPr>
        <w:pStyle w:val="Normal"/>
        <w:spacing w:lineRule="auto" w:line="300"/>
        <w:ind w:firstLine="2835" w:end="0"/>
        <w:jc w:val="both"/>
        <w:rPr>
          <w:rFonts w:cs="Calibri"/>
          <w:b/>
          <w:lang w:val="pt-BR"/>
        </w:rPr>
      </w:pPr>
      <w:r>
        <w:rPr>
          <w:rFonts w:cs="Calibri"/>
          <w:b/>
          <w:lang w:val="pt-BR"/>
        </w:rPr>
      </w:r>
    </w:p>
    <w:p>
      <w:pPr>
        <w:pStyle w:val="Normal"/>
        <w:spacing w:lineRule="auto" w:line="300"/>
        <w:ind w:firstLine="1418" w:end="0"/>
        <w:jc w:val="both"/>
        <w:rPr>
          <w:rFonts w:cs="Calibri"/>
          <w:lang w:val="pt-BR"/>
        </w:rPr>
      </w:pPr>
      <w:r>
        <w:rPr>
          <w:rFonts w:cs="Calibri"/>
          <w:lang w:val="pt-BR"/>
        </w:rPr>
        <w:t>Diante do exposto, a parte requerente pugna para que Vossa Excelência se digne à:</w:t>
      </w:r>
    </w:p>
    <w:p>
      <w:pPr>
        <w:pStyle w:val="Normal"/>
        <w:spacing w:lineRule="auto" w:line="300"/>
        <w:ind w:firstLine="1418" w:end="0"/>
        <w:jc w:val="both"/>
        <w:rPr>
          <w:rFonts w:cs="Calibri"/>
          <w:lang w:val="pt-BR"/>
        </w:rPr>
      </w:pPr>
      <w:r>
        <w:rPr>
          <w:rFonts w:cs="Calibri"/>
          <w:lang w:val="pt-BR"/>
        </w:rPr>
      </w:r>
    </w:p>
    <w:p>
      <w:pPr>
        <w:pStyle w:val="PargrafodaLista"/>
        <w:numPr>
          <w:ilvl w:val="0"/>
          <w:numId w:val="5"/>
        </w:numPr>
        <w:spacing w:lineRule="auto" w:line="300" w:before="0" w:after="0"/>
        <w:ind w:firstLine="1418" w:start="0" w:end="0"/>
        <w:contextualSpacing/>
        <w:jc w:val="both"/>
        <w:rPr>
          <w:rFonts w:cs="Calibri"/>
        </w:rPr>
      </w:pPr>
      <w:r>
        <w:rPr>
          <w:rFonts w:cs="Calibri"/>
        </w:rPr>
        <w:t>Determinar a citação da empresa requerida no endereço supracitado, na pessoa do seu representante legal, para comparecer à audiência de conciliação, instrução e julgamento e, querendo, apresentar contestação no prazo legal, sob pena de revelia e confissão, nos termos do art. 246 e 344 do CPC/2015;</w:t>
      </w:r>
    </w:p>
    <w:p>
      <w:pPr>
        <w:pStyle w:val="PargrafodaLista"/>
        <w:spacing w:lineRule="auto" w:line="300" w:before="0" w:after="0"/>
        <w:ind w:start="1418" w:end="0"/>
        <w:contextualSpacing/>
        <w:jc w:val="both"/>
        <w:rPr>
          <w:rFonts w:cs="Calibri"/>
        </w:rPr>
      </w:pPr>
      <w:r>
        <w:rPr>
          <w:rFonts w:cs="Calibri"/>
        </w:rPr>
      </w:r>
    </w:p>
    <w:p>
      <w:pPr>
        <w:pStyle w:val="PargrafodaLista"/>
        <w:numPr>
          <w:ilvl w:val="0"/>
          <w:numId w:val="5"/>
        </w:numPr>
        <w:spacing w:lineRule="auto" w:line="300" w:before="0" w:after="0"/>
        <w:ind w:firstLine="1418" w:start="0" w:end="0"/>
        <w:contextualSpacing/>
        <w:jc w:val="both"/>
        <w:rPr>
          <w:rFonts w:cs="Calibri"/>
        </w:rPr>
      </w:pPr>
      <w:r>
        <w:rPr>
          <w:rFonts w:cs="Calibri"/>
        </w:rPr>
        <w:t xml:space="preserve">Determinar a aplicação do </w:t>
      </w:r>
      <w:r>
        <w:rPr>
          <w:rFonts w:cs="Calibri"/>
          <w:b/>
          <w:bCs/>
        </w:rPr>
        <w:t>Juízo 100% digital</w:t>
      </w:r>
      <w:r>
        <w:rPr>
          <w:rFonts w:cs="Calibri"/>
        </w:rPr>
        <w:t>, de acordo com a Resolução n° 345 de 09/10/2020 do CNJ e a Portaria n° 2330 de 04/12/2020 do TJAM;</w:t>
      </w:r>
    </w:p>
    <w:p>
      <w:pPr>
        <w:pStyle w:val="PargrafodaLista"/>
        <w:spacing w:lineRule="auto" w:line="300" w:before="0" w:after="0"/>
        <w:contextualSpacing/>
        <w:rPr>
          <w:rFonts w:cs="Calibri"/>
        </w:rPr>
      </w:pPr>
      <w:r>
        <w:rPr>
          <w:rFonts w:cs="Calibri"/>
        </w:rPr>
      </w:r>
    </w:p>
    <w:p>
      <w:pPr>
        <w:pStyle w:val="PargrafodaLista"/>
        <w:numPr>
          <w:ilvl w:val="0"/>
          <w:numId w:val="5"/>
        </w:numPr>
        <w:spacing w:lineRule="auto" w:line="300" w:before="0" w:after="0"/>
        <w:ind w:firstLine="1418" w:start="0" w:end="0"/>
        <w:contextualSpacing/>
        <w:jc w:val="both"/>
        <w:rPr>
          <w:rFonts w:cs="Calibri"/>
        </w:rPr>
      </w:pPr>
      <w:r>
        <w:rPr>
          <w:rFonts w:cs="Calibri"/>
        </w:rPr>
        <w:t xml:space="preserve">Reconhecer a </w:t>
      </w:r>
      <w:r>
        <w:rPr>
          <w:rFonts w:cs="Calibri"/>
          <w:b/>
          <w:bCs/>
        </w:rPr>
        <w:t>aplicabilidade do Código de Defesa do Consumidor</w:t>
      </w:r>
      <w:r>
        <w:rPr>
          <w:rFonts w:cs="Calibri"/>
        </w:rPr>
        <w:t>, declarando como objetiva a responsabilidade da empresa requerida;</w:t>
      </w:r>
    </w:p>
    <w:p>
      <w:pPr>
        <w:pStyle w:val="PargrafodaLista"/>
        <w:spacing w:lineRule="auto" w:line="300" w:before="0" w:after="0"/>
        <w:contextualSpacing/>
        <w:rPr>
          <w:rFonts w:cs="Calibri"/>
        </w:rPr>
      </w:pPr>
      <w:r>
        <w:rPr>
          <w:rFonts w:cs="Calibri"/>
        </w:rPr>
      </w:r>
    </w:p>
    <w:p>
      <w:pPr>
        <w:pStyle w:val="PargrafodaLista"/>
        <w:numPr>
          <w:ilvl w:val="0"/>
          <w:numId w:val="5"/>
        </w:numPr>
        <w:spacing w:lineRule="auto" w:line="300" w:before="0" w:after="0"/>
        <w:ind w:firstLine="1418" w:start="0" w:end="0"/>
        <w:contextualSpacing/>
        <w:jc w:val="both"/>
        <w:rPr>
          <w:rFonts w:cs="Calibri"/>
        </w:rPr>
      </w:pPr>
      <w:r>
        <w:rPr>
          <w:rFonts w:cs="Calibri"/>
        </w:rPr>
        <w:t xml:space="preserve">Determinar a </w:t>
      </w:r>
      <w:r>
        <w:rPr>
          <w:rFonts w:cs="Calibri"/>
          <w:b/>
          <w:bCs/>
        </w:rPr>
        <w:t>inversão do ônus</w:t>
      </w:r>
      <w:r>
        <w:rPr>
          <w:rFonts w:cs="Calibri"/>
        </w:rPr>
        <w:t xml:space="preserve"> da prova face a hipossuficiência da parte requerente, nos moldes do art. 6°, VIII do CDC;</w:t>
      </w:r>
      <w:bookmarkStart w:id="1" w:name="_Hlk46234814"/>
    </w:p>
    <w:p>
      <w:pPr>
        <w:pStyle w:val="PargrafodaLista"/>
        <w:spacing w:lineRule="auto" w:line="300" w:before="0" w:after="0"/>
        <w:contextualSpacing/>
        <w:rPr>
          <w:rFonts w:cs="Calibri"/>
          <w:b/>
          <w:bCs/>
        </w:rPr>
      </w:pPr>
      <w:r>
        <w:rPr>
          <w:rFonts w:cs="Calibri"/>
          <w:b/>
          <w:bCs/>
        </w:rPr>
      </w:r>
    </w:p>
    <w:p>
      <w:pPr>
        <w:pStyle w:val="PargrafodaLista"/>
        <w:numPr>
          <w:ilvl w:val="0"/>
          <w:numId w:val="5"/>
        </w:numPr>
        <w:spacing w:lineRule="auto" w:line="300" w:before="0" w:after="0"/>
        <w:ind w:firstLine="1418" w:start="0" w:end="0"/>
        <w:contextualSpacing/>
        <w:jc w:val="both"/>
        <w:rPr>
          <w:rFonts w:cs="Calibri"/>
        </w:rPr>
      </w:pPr>
      <w:r>
        <w:rPr>
          <w:rFonts w:cs="Calibri"/>
        </w:rPr>
        <w:t>Conceder os benefícios da</w:t>
      </w:r>
      <w:r>
        <w:rPr>
          <w:rFonts w:cs="Calibri"/>
          <w:b/>
          <w:bCs/>
        </w:rPr>
        <w:t xml:space="preserve"> Justiça Gratuita</w:t>
      </w:r>
      <w:r>
        <w:rPr>
          <w:rFonts w:cs="Calibri"/>
        </w:rPr>
        <w:t>, com fulcro no art. 9°, I da Constituição do Estado do Amazonas e art. 98 do CPC;</w:t>
      </w:r>
      <w:bookmarkEnd w:id="1"/>
    </w:p>
    <w:p>
      <w:pPr>
        <w:pStyle w:val="PargrafodaLista"/>
        <w:spacing w:lineRule="auto" w:line="300" w:before="0" w:after="0"/>
        <w:contextualSpacing/>
        <w:rPr>
          <w:rFonts w:cs="Calibri"/>
          <w:b/>
        </w:rPr>
      </w:pPr>
      <w:r>
        <w:rPr>
          <w:rFonts w:cs="Calibri"/>
          <w:b/>
        </w:rPr>
      </w:r>
    </w:p>
    <w:p>
      <w:pPr>
        <w:pStyle w:val="PargrafodaLista"/>
        <w:numPr>
          <w:ilvl w:val="0"/>
          <w:numId w:val="5"/>
        </w:numPr>
        <w:spacing w:lineRule="auto" w:line="300" w:before="0" w:after="0"/>
        <w:ind w:firstLine="1418" w:start="0" w:end="0"/>
        <w:contextualSpacing/>
        <w:jc w:val="both"/>
        <w:rPr>
          <w:rFonts w:cs="Calibri"/>
        </w:rPr>
      </w:pPr>
      <w:r>
        <w:rPr>
          <w:rFonts w:cs="Calibri"/>
          <w:bCs/>
        </w:rPr>
        <w:t xml:space="preserve">Julgar </w:t>
      </w:r>
      <w:r>
        <w:rPr>
          <w:rFonts w:cs="Calibri"/>
          <w:b/>
        </w:rPr>
        <w:t>TOTALMENTE PROCEDENTE</w:t>
      </w:r>
      <w:r>
        <w:rPr>
          <w:rFonts w:cs="Calibri"/>
        </w:rPr>
        <w:t xml:space="preserve"> a presente ação para:</w:t>
      </w:r>
    </w:p>
    <w:p>
      <w:pPr>
        <w:pStyle w:val="Normal"/>
        <w:spacing w:lineRule="auto" w:line="300"/>
        <w:ind w:firstLine="1701" w:start="2835" w:end="0"/>
        <w:jc w:val="both"/>
        <w:rPr>
          <w:rFonts w:cs="Calibri"/>
          <w:lang w:val="pt-BR"/>
        </w:rPr>
      </w:pPr>
      <w:r>
        <w:rPr>
          <w:rFonts w:cs="Calibri"/>
          <w:lang w:val="pt-BR"/>
        </w:rPr>
      </w:r>
    </w:p>
    <w:p>
      <w:pPr>
        <w:pStyle w:val="Normal"/>
        <w:spacing w:lineRule="auto" w:line="300"/>
        <w:ind w:firstLine="1418" w:end="0"/>
        <w:jc w:val="both"/>
        <w:rPr/>
      </w:pPr>
      <w:r>
        <w:rPr>
          <w:rFonts w:cs="Calibri"/>
          <w:lang w:val="pt-BR"/>
        </w:rPr>
        <w:t xml:space="preserve">(f.1) Reconhecer a prática abusiva de </w:t>
      </w:r>
      <w:r>
        <w:rPr>
          <w:rFonts w:cs="Calibri"/>
          <w:b/>
          <w:bCs/>
          <w:lang w:val="pt-BR"/>
        </w:rPr>
        <w:t>venda casada</w:t>
      </w:r>
      <w:r>
        <w:rPr>
          <w:rFonts w:cs="Calibri"/>
          <w:lang w:val="pt-BR"/>
        </w:rPr>
        <w:t xml:space="preserve"> perpetrada pelo requerido, em </w:t>
      </w:r>
      <w:r>
        <w:rPr>
          <w:rFonts w:cs="Calibri"/>
          <w:b/>
          <w:bCs/>
          <w:lang w:val="pt-BR"/>
        </w:rPr>
        <w:t>violação ao art. 39, I, do CDC</w:t>
      </w:r>
      <w:r>
        <w:rPr>
          <w:rFonts w:cs="Calibri"/>
          <w:lang w:val="pt-BR"/>
        </w:rPr>
        <w:t xml:space="preserve"> e ao </w:t>
      </w:r>
      <w:r>
        <w:rPr>
          <w:rFonts w:cs="Calibri"/>
          <w:b/>
          <w:bCs/>
          <w:lang w:val="pt-BR"/>
        </w:rPr>
        <w:t>art. 17 da Resolução CMN/Bacen nº 2.892/2001</w:t>
      </w:r>
      <w:r>
        <w:rPr>
          <w:rFonts w:cs="Calibri"/>
          <w:lang w:val="pt-BR"/>
        </w:rPr>
        <w:t>, em consonância com a orientação do STJ (Tema 972; REsp 1.639.320/SP e 1.639.259/SP);</w:t>
      </w:r>
    </w:p>
    <w:p>
      <w:pPr>
        <w:pStyle w:val="Normal"/>
        <w:spacing w:lineRule="auto" w:line="300"/>
        <w:ind w:firstLine="1701"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cs="Calibri"/>
          <w:lang w:val="pt-BR"/>
        </w:rPr>
        <w:t xml:space="preserve">(f.2) Condenar o requerido a </w:t>
      </w:r>
      <w:r>
        <w:rPr>
          <w:rFonts w:cs="Calibri"/>
          <w:b/>
          <w:bCs/>
          <w:lang w:val="pt-BR"/>
        </w:rPr>
        <w:t>restituição em dobro</w:t>
      </w:r>
      <w:r>
        <w:rPr>
          <w:rFonts w:cs="Calibri"/>
          <w:lang w:val="pt-BR"/>
        </w:rPr>
        <w:t xml:space="preserve">, nos termos do art. 42, parágrafo único, do CDC, do valor indevidamente cobrado a título de </w:t>
      </w:r>
      <w:r>
        <w:rPr>
          <w:rFonts w:cs="Calibri"/>
          <w:b/>
          <w:bCs/>
          <w:lang w:val="pt-BR"/>
        </w:rPr>
        <w:t xml:space="preserve">“Seguro Consignado Protegido” </w:t>
      </w:r>
      <w:r>
        <w:rPr>
          <w:rFonts w:cs="Calibri"/>
          <w:lang w:val="pt-BR"/>
        </w:rPr>
        <w:t xml:space="preserve">no importe de </w:t>
      </w:r>
      <w:r>
        <w:rPr>
          <w:rFonts w:cs="Calibri"/>
          <w:b/>
          <w:bCs/>
          <w:lang w:val="pt-BR"/>
        </w:rPr>
        <w:t>R$ 4.666,83</w:t>
      </w:r>
      <w:r>
        <w:rPr>
          <w:rFonts w:cs="Calibri"/>
          <w:lang w:val="pt-BR"/>
        </w:rPr>
        <w:t xml:space="preserve">, totalizando em dobro a importância de </w:t>
      </w:r>
      <w:r>
        <w:rPr>
          <w:rFonts w:cs="Calibri"/>
          <w:b/>
          <w:bCs/>
          <w:lang w:val="pt-BR"/>
        </w:rPr>
        <w:t>R$ 9.333,66 (novo mil, trezentos e trinta e três reais e sessenta e seis centavos)</w:t>
      </w:r>
      <w:r>
        <w:rPr>
          <w:rFonts w:cs="Calibri"/>
          <w:lang w:val="pt-BR"/>
        </w:rPr>
        <w:t>, acrescido de correção monetária desde o desembolso (Súmula 43/STJ) e juros moratórios desde o evento danoso (Súmula 54/STJ)</w:t>
      </w:r>
      <w:r>
        <w:rPr>
          <w:rFonts w:cs="Calibri"/>
          <w:bCs/>
          <w:lang w:val="pt-BR"/>
        </w:rPr>
        <w:t>;</w:t>
      </w:r>
    </w:p>
    <w:p>
      <w:pPr>
        <w:pStyle w:val="Normal"/>
        <w:spacing w:lineRule="auto" w:line="300"/>
        <w:ind w:firstLine="1701" w:end="0"/>
        <w:jc w:val="both"/>
        <w:rPr>
          <w:rFonts w:cs="Calibri"/>
          <w:sz w:val="18"/>
          <w:szCs w:val="18"/>
          <w:lang w:val="pt-BR"/>
        </w:rPr>
      </w:pPr>
      <w:r>
        <w:rPr>
          <w:rFonts w:cs="Calibri"/>
          <w:sz w:val="18"/>
          <w:szCs w:val="18"/>
          <w:lang w:val="pt-BR"/>
        </w:rPr>
      </w:r>
    </w:p>
    <w:p>
      <w:pPr>
        <w:pStyle w:val="Normal"/>
        <w:spacing w:lineRule="auto" w:line="300"/>
        <w:ind w:firstLine="1418" w:end="0"/>
        <w:jc w:val="both"/>
        <w:rPr/>
      </w:pPr>
      <w:r>
        <w:rPr>
          <w:rFonts w:cs="Calibri"/>
          <w:lang w:val="pt-BR"/>
        </w:rPr>
        <w:t xml:space="preserve">(f.3) Condenar o requerido </w:t>
      </w:r>
      <w:r>
        <w:rPr>
          <w:rFonts w:cs="Calibri"/>
          <w:color w:val="000000"/>
          <w:lang w:val="pt-BR"/>
        </w:rPr>
        <w:t xml:space="preserve">ao pagamento de </w:t>
      </w:r>
      <w:r>
        <w:rPr>
          <w:rFonts w:cs="Calibri"/>
          <w:b/>
          <w:bCs/>
          <w:color w:val="000000"/>
          <w:lang w:val="pt-BR"/>
        </w:rPr>
        <w:t>R$ 10.000,00 (dez mil reais) a título de</w:t>
      </w:r>
      <w:r>
        <w:rPr>
          <w:rFonts w:cs="Calibri"/>
          <w:color w:val="000000"/>
          <w:lang w:val="pt-BR"/>
        </w:rPr>
        <w:t xml:space="preserve"> </w:t>
      </w:r>
      <w:r>
        <w:rPr>
          <w:rFonts w:cs="Calibri"/>
          <w:b/>
          <w:bCs/>
          <w:color w:val="000000"/>
          <w:lang w:val="pt-BR"/>
        </w:rPr>
        <w:t>danos morais</w:t>
      </w:r>
      <w:r>
        <w:rPr>
          <w:rFonts w:cs="Calibri"/>
          <w:color w:val="000000"/>
          <w:lang w:val="pt-BR"/>
        </w:rPr>
        <w:t>, ou outra quantia que Vossa Excelência arbitrar, com correção monetária a partir do arbitramento (Súmula 362/STJ) e juros de mora desde o evento danoso (Súmula 54/STJ), com fundamento nos arts. 5º, V e X, da CF/88; 6º, VI, do CDC; e 186 e 927 do CC;</w:t>
      </w:r>
    </w:p>
    <w:p>
      <w:pPr>
        <w:pStyle w:val="PargrafodaLista"/>
        <w:spacing w:lineRule="auto" w:line="300" w:before="0" w:after="0"/>
        <w:ind w:firstLine="1701" w:start="0" w:end="0"/>
        <w:contextualSpacing/>
        <w:jc w:val="both"/>
        <w:rPr>
          <w:rFonts w:cs="Calibri"/>
          <w:color w:val="000000"/>
          <w:sz w:val="20"/>
          <w:szCs w:val="20"/>
          <w:lang w:val="pt-BR"/>
        </w:rPr>
      </w:pPr>
      <w:r>
        <w:rPr>
          <w:rFonts w:cs="Calibri"/>
          <w:color w:val="000000"/>
          <w:sz w:val="20"/>
          <w:szCs w:val="20"/>
          <w:lang w:val="pt-BR"/>
        </w:rPr>
      </w:r>
    </w:p>
    <w:p>
      <w:pPr>
        <w:pStyle w:val="PargrafodaLista"/>
        <w:spacing w:lineRule="auto" w:line="300" w:before="0" w:after="0"/>
        <w:ind w:firstLine="1418" w:start="0" w:end="0"/>
        <w:contextualSpacing/>
        <w:jc w:val="both"/>
        <w:rPr/>
      </w:pPr>
      <w:r>
        <w:rPr>
          <w:rFonts w:cs="Calibri"/>
        </w:rPr>
        <w:t>(f.4) Seja o requerido condenado ao pagamento das custas processuais e de honorários advocatícios de 20% (vinte por cento) sobre o valor apurado, além dos juros e correção monetária, em havendo recurso;</w:t>
      </w:r>
    </w:p>
    <w:p>
      <w:pPr>
        <w:pStyle w:val="Normal"/>
        <w:spacing w:lineRule="auto" w:line="300"/>
        <w:jc w:val="both"/>
        <w:rPr>
          <w:rFonts w:cs="Calibri"/>
          <w:lang w:val="pt-BR"/>
        </w:rPr>
      </w:pPr>
      <w:r>
        <w:rPr>
          <w:rFonts w:cs="Calibri"/>
          <w:lang w:val="pt-BR"/>
        </w:rPr>
      </w:r>
    </w:p>
    <w:p>
      <w:pPr>
        <w:pStyle w:val="PargrafodaLista"/>
        <w:numPr>
          <w:ilvl w:val="0"/>
          <w:numId w:val="5"/>
        </w:numPr>
        <w:spacing w:lineRule="auto" w:line="300" w:before="0" w:after="0"/>
        <w:ind w:firstLine="1418" w:start="0" w:end="0"/>
        <w:contextualSpacing/>
        <w:jc w:val="both"/>
        <w:rPr>
          <w:rFonts w:cs="Calibri"/>
        </w:rPr>
      </w:pPr>
      <w:r>
        <w:rPr>
          <w:rFonts w:cs="Calibri"/>
        </w:rPr>
        <w:t xml:space="preserve">Determinar que todas as publicações sejam realizadas </w:t>
      </w:r>
      <w:r>
        <w:rPr>
          <w:rFonts w:cs="Calibri"/>
          <w:b/>
          <w:bCs/>
        </w:rPr>
        <w:t>CONJUNTAMENTE</w:t>
      </w:r>
      <w:r>
        <w:rPr>
          <w:rFonts w:cs="Calibri"/>
        </w:rPr>
        <w:t xml:space="preserve"> em nome dos advogados</w:t>
      </w:r>
      <w:r>
        <w:rPr>
          <w:rFonts w:cs="Calibri"/>
          <w:b/>
        </w:rPr>
        <w:t xml:space="preserve"> ANDREY AUGUSTO BENTES RAMOS – OAB/AM 7.526 e GUSTAVO DA SILVA GRILLO – OAB/AM 7.883, </w:t>
      </w:r>
      <w:r>
        <w:rPr>
          <w:rFonts w:cs="Calibri"/>
          <w:bCs/>
        </w:rPr>
        <w:t>sob pena de nulidade, nos termos do art. 272, §5˚, do CPC</w:t>
      </w:r>
      <w:r>
        <w:rPr>
          <w:rFonts w:cs="Calibri"/>
        </w:rPr>
        <w:t>.</w:t>
      </w:r>
    </w:p>
    <w:p>
      <w:pPr>
        <w:pStyle w:val="Normal"/>
        <w:spacing w:lineRule="auto" w:line="300"/>
        <w:jc w:val="both"/>
        <w:rPr>
          <w:rFonts w:cs="Calibri"/>
          <w:lang w:val="pt-BR"/>
        </w:rPr>
      </w:pPr>
      <w:r>
        <w:rPr>
          <w:rFonts w:cs="Calibri"/>
          <w:lang w:val="pt-BR"/>
        </w:rPr>
      </w:r>
    </w:p>
    <w:p>
      <w:pPr>
        <w:pStyle w:val="Normal"/>
        <w:spacing w:lineRule="auto" w:line="300"/>
        <w:ind w:firstLine="1418" w:end="0"/>
        <w:jc w:val="both"/>
        <w:rPr/>
      </w:pPr>
      <w:r>
        <w:rPr>
          <w:rFonts w:cs="Calibri"/>
          <w:lang w:val="pt-BR"/>
        </w:rPr>
        <w:t>Por oportuno, requer, ainda, a produção de todas as provas em direito admitidas, em especial o depoimento pessoal do representante legal da requerida, bem como, prova testemunhal, documental, e de todas outras que façam necessárias ao curso da instrução processual.</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 xml:space="preserve">Dá-se a causa o valor de </w:t>
      </w:r>
      <w:r>
        <w:rPr>
          <w:rFonts w:cs="Calibri"/>
          <w:b/>
          <w:lang w:val="pt-BR"/>
        </w:rPr>
        <w:t xml:space="preserve">R$ 19.333,66 (dezenove mil, trezentos e trinta e três reais e sessenta e seis centavos). </w:t>
      </w:r>
    </w:p>
    <w:p>
      <w:pPr>
        <w:pStyle w:val="Normal"/>
        <w:spacing w:lineRule="auto" w:line="300"/>
        <w:ind w:firstLine="1418" w:end="0"/>
        <w:jc w:val="both"/>
        <w:rPr>
          <w:rFonts w:cs="Calibri"/>
          <w:b/>
          <w:lang w:val="pt-BR"/>
        </w:rPr>
      </w:pPr>
      <w:r>
        <w:rPr>
          <w:rFonts w:cs="Calibri"/>
          <w:b/>
          <w:lang w:val="pt-BR"/>
        </w:rPr>
      </w:r>
    </w:p>
    <w:p>
      <w:pPr>
        <w:pStyle w:val="Normal"/>
        <w:spacing w:lineRule="auto" w:line="300"/>
        <w:ind w:firstLine="1418" w:end="0"/>
        <w:jc w:val="both"/>
        <w:rPr>
          <w:rFonts w:cs="Calibri"/>
          <w:lang w:val="pt-BR"/>
        </w:rPr>
      </w:pPr>
      <w:r>
        <w:rPr>
          <w:rFonts w:cs="Calibri"/>
          <w:lang w:val="pt-BR"/>
        </w:rPr>
        <w:t>Nestes termos,</w:t>
      </w:r>
    </w:p>
    <w:p>
      <w:pPr>
        <w:pStyle w:val="Normal"/>
        <w:spacing w:lineRule="auto" w:line="300"/>
        <w:ind w:firstLine="1418" w:end="0"/>
        <w:jc w:val="both"/>
        <w:rPr>
          <w:rFonts w:cs="Calibri"/>
          <w:lang w:val="pt-BR"/>
        </w:rPr>
      </w:pPr>
      <w:r>
        <w:rPr>
          <w:rFonts w:cs="Calibri"/>
          <w:lang w:val="pt-BR"/>
        </w:rPr>
        <w:t>pede deferimento.</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cs="Calibri"/>
          <w:lang w:val="pt-BR"/>
        </w:rPr>
        <w:t>Parintins/AM, 24 de fevereiro de 2026.</w:t>
      </w:r>
    </w:p>
    <w:p>
      <w:pPr>
        <w:pStyle w:val="Normal"/>
        <w:spacing w:lineRule="auto" w:line="300"/>
        <w:jc w:val="both"/>
        <w:rPr>
          <w:rFonts w:cs="Calibri"/>
          <w:color w:val="FF0000"/>
          <w:lang w:val="pt-BR"/>
        </w:rPr>
      </w:pPr>
      <w:r>
        <w:rPr>
          <w:rFonts w:cs="Calibri"/>
          <w:color w:val="FF0000"/>
          <w:lang w:val="pt-BR"/>
        </w:rPr>
      </w:r>
    </w:p>
    <w:p>
      <w:pPr>
        <w:pStyle w:val="Normal"/>
        <w:spacing w:lineRule="auto" w:line="300"/>
        <w:jc w:val="both"/>
        <w:rPr>
          <w:rFonts w:cs="Calibri"/>
          <w:color w:val="FF0000"/>
          <w:lang w:val="pt-BR"/>
        </w:rPr>
      </w:pPr>
      <w:r>
        <w:rPr>
          <w:rFonts w:cs="Calibri"/>
          <w:color w:val="FF0000"/>
          <w:lang w:val="pt-BR"/>
        </w:rPr>
      </w:r>
    </w:p>
    <w:p>
      <w:pPr>
        <w:pStyle w:val="Normal"/>
        <w:spacing w:lineRule="auto" w:line="300"/>
        <w:jc w:val="center"/>
        <w:rPr>
          <w:rFonts w:cs="Calibri"/>
          <w:b/>
          <w:lang w:val="pt-BR"/>
        </w:rPr>
      </w:pPr>
      <w:bookmarkStart w:id="2" w:name="_Hlk49872811"/>
      <w:r>
        <w:rPr>
          <w:rFonts w:cs="Calibri"/>
          <w:b/>
          <w:lang w:val="pt-BR"/>
        </w:rPr>
        <w:t>-ASSINADO ELETRONICAMENTE-</w:t>
      </w:r>
    </w:p>
    <w:p>
      <w:pPr>
        <w:pStyle w:val="Normal"/>
        <w:spacing w:lineRule="auto" w:line="300"/>
        <w:jc w:val="center"/>
        <w:rPr>
          <w:rFonts w:cs="Calibri"/>
          <w:b/>
          <w:lang w:val="pt-BR"/>
        </w:rPr>
      </w:pPr>
      <w:r>
        <w:rPr>
          <w:rFonts w:cs="Calibri"/>
          <w:b/>
          <w:lang w:val="pt-BR"/>
        </w:rPr>
        <w:t>ANDREY AUGUSTO BENTES RAMOS</w:t>
      </w:r>
    </w:p>
    <w:p>
      <w:pPr>
        <w:pStyle w:val="Normal"/>
        <w:spacing w:lineRule="auto" w:line="300"/>
        <w:jc w:val="center"/>
        <w:rPr>
          <w:rFonts w:cs="Calibri"/>
          <w:b/>
          <w:lang w:val="pt-BR"/>
        </w:rPr>
      </w:pPr>
      <w:bookmarkStart w:id="3" w:name="_Hlk49872811"/>
      <w:r>
        <w:rPr>
          <w:rFonts w:cs="Calibri"/>
          <w:b/>
          <w:lang w:val="pt-BR"/>
        </w:rPr>
        <w:t>OAB/AM 7.526</w:t>
      </w:r>
      <w:bookmarkEnd w:id="3"/>
    </w:p>
    <w:p>
      <w:pPr>
        <w:pStyle w:val="Normal"/>
        <w:spacing w:lineRule="auto" w:line="300"/>
        <w:jc w:val="center"/>
        <w:rPr>
          <w:rFonts w:cs="Calibri"/>
          <w:b/>
          <w:lang w:val="pt-BR"/>
        </w:rPr>
      </w:pPr>
      <w:r>
        <w:rPr>
          <w:rFonts w:cs="Calibri"/>
          <w:b/>
          <w:lang w:val="pt-BR"/>
        </w:rPr>
      </w:r>
    </w:p>
    <w:p>
      <w:pPr>
        <w:pStyle w:val="Normal"/>
        <w:spacing w:lineRule="auto" w:line="300"/>
        <w:rPr>
          <w:rFonts w:cs="Calibri"/>
          <w:b/>
          <w:lang w:val="pt-BR"/>
        </w:rPr>
      </w:pPr>
      <w:r>
        <w:rPr>
          <w:rFonts w:cs="Calibri"/>
          <w:b/>
          <w:lang w:val="pt-BR"/>
        </w:rPr>
      </w:r>
    </w:p>
    <w:p>
      <w:pPr>
        <w:pStyle w:val="Normal"/>
        <w:spacing w:lineRule="auto" w:line="300"/>
        <w:jc w:val="both"/>
        <w:rPr>
          <w:rFonts w:cs="Calibri"/>
          <w:bCs/>
          <w:lang w:val="pt-BR"/>
        </w:rPr>
      </w:pPr>
      <w:r>
        <w:rPr>
          <w:rFonts w:cs="Calibri"/>
          <w:bCs/>
          <w:lang w:val="pt-BR"/>
        </w:rPr>
        <w:t xml:space="preserve">Documentos anexos: </w:t>
      </w:r>
    </w:p>
    <w:p>
      <w:pPr>
        <w:pStyle w:val="Normal"/>
        <w:spacing w:lineRule="auto" w:line="300"/>
        <w:jc w:val="both"/>
        <w:rPr>
          <w:rFonts w:cs="Calibri"/>
          <w:bCs/>
          <w:lang w:val="pt-BR"/>
        </w:rPr>
      </w:pPr>
      <w:r>
        <w:rPr>
          <w:rFonts w:cs="Calibri"/>
          <w:bCs/>
          <w:lang w:val="pt-BR"/>
        </w:rPr>
      </w:r>
    </w:p>
    <w:p>
      <w:pPr>
        <w:pStyle w:val="Normal"/>
        <w:numPr>
          <w:ilvl w:val="0"/>
          <w:numId w:val="4"/>
        </w:numPr>
        <w:spacing w:lineRule="auto" w:line="300"/>
        <w:ind w:hanging="720" w:start="720" w:end="0"/>
        <w:jc w:val="both"/>
        <w:rPr>
          <w:rFonts w:cs="Calibri"/>
          <w:bCs/>
          <w:lang w:val="pt-BR"/>
        </w:rPr>
      </w:pPr>
      <w:r>
        <w:rPr>
          <w:rFonts w:cs="Calibri"/>
          <w:bCs/>
          <w:lang w:val="pt-BR"/>
        </w:rPr>
        <w:t>Instrumento de procuração;</w:t>
      </w:r>
    </w:p>
    <w:p>
      <w:pPr>
        <w:pStyle w:val="Normal"/>
        <w:numPr>
          <w:ilvl w:val="0"/>
          <w:numId w:val="4"/>
        </w:numPr>
        <w:spacing w:lineRule="auto" w:line="300"/>
        <w:ind w:hanging="720" w:start="720" w:end="0"/>
        <w:jc w:val="both"/>
        <w:rPr>
          <w:rFonts w:cs="Calibri"/>
          <w:bCs/>
          <w:lang w:val="pt-BR"/>
        </w:rPr>
      </w:pPr>
      <w:r>
        <w:rPr>
          <w:rFonts w:cs="Calibri"/>
          <w:bCs/>
          <w:lang w:val="pt-BR"/>
        </w:rPr>
        <w:t>Documentos pessoais da parte autora (RG e CPF);</w:t>
      </w:r>
    </w:p>
    <w:p>
      <w:pPr>
        <w:pStyle w:val="Normal"/>
        <w:numPr>
          <w:ilvl w:val="0"/>
          <w:numId w:val="4"/>
        </w:numPr>
        <w:spacing w:lineRule="auto" w:line="300"/>
        <w:ind w:hanging="720" w:start="720" w:end="0"/>
        <w:jc w:val="both"/>
        <w:rPr>
          <w:rFonts w:cs="Calibri"/>
          <w:bCs/>
          <w:lang w:val="pt-BR"/>
        </w:rPr>
      </w:pPr>
      <w:r>
        <w:rPr>
          <w:rFonts w:cs="Calibri"/>
          <w:bCs/>
          <w:lang w:val="pt-BR"/>
        </w:rPr>
        <w:t>Comprovante de residência;</w:t>
      </w:r>
    </w:p>
    <w:p>
      <w:pPr>
        <w:pStyle w:val="Normal"/>
        <w:numPr>
          <w:ilvl w:val="0"/>
          <w:numId w:val="4"/>
        </w:numPr>
        <w:spacing w:lineRule="auto" w:line="300"/>
        <w:ind w:hanging="720" w:start="720" w:end="0"/>
        <w:jc w:val="both"/>
        <w:rPr>
          <w:rFonts w:cs="Calibri"/>
          <w:bCs/>
          <w:lang w:val="pt-BR"/>
        </w:rPr>
      </w:pPr>
      <w:r>
        <w:rPr>
          <w:rFonts w:cs="Calibri"/>
          <w:bCs/>
          <w:lang w:val="pt-BR"/>
        </w:rPr>
        <w:t>Declaração de hipossuficiência;</w:t>
      </w:r>
    </w:p>
    <w:p>
      <w:pPr>
        <w:pStyle w:val="Normal"/>
        <w:numPr>
          <w:ilvl w:val="0"/>
          <w:numId w:val="4"/>
        </w:numPr>
        <w:spacing w:lineRule="auto" w:line="300"/>
        <w:ind w:hanging="720" w:start="720" w:end="0"/>
        <w:jc w:val="both"/>
        <w:rPr>
          <w:rFonts w:cs="Calibri"/>
          <w:bCs/>
          <w:lang w:val="pt-BR"/>
        </w:rPr>
      </w:pPr>
      <w:r>
        <w:rPr>
          <w:rFonts w:cs="Calibri"/>
          <w:bCs/>
          <w:lang w:val="pt-BR"/>
        </w:rPr>
        <w:t>Contrato de empréstimo ________;</w:t>
      </w:r>
    </w:p>
    <w:p>
      <w:pPr>
        <w:pStyle w:val="Normal"/>
        <w:numPr>
          <w:ilvl w:val="0"/>
          <w:numId w:val="4"/>
        </w:numPr>
        <w:spacing w:lineRule="auto" w:line="300"/>
        <w:ind w:hanging="720" w:start="720" w:end="0"/>
        <w:jc w:val="both"/>
        <w:rPr>
          <w:rFonts w:cs="Calibri"/>
          <w:bCs/>
          <w:lang w:val="pt-BR"/>
        </w:rPr>
      </w:pPr>
      <w:r>
        <w:rPr>
          <w:rFonts w:cs="Calibri"/>
          <w:bCs/>
          <w:lang w:val="pt-BR"/>
        </w:rPr>
        <w:t>Resolução n° 2892/2021 do BACEN;</w:t>
      </w:r>
    </w:p>
    <w:p>
      <w:pPr>
        <w:pStyle w:val="Normal"/>
        <w:numPr>
          <w:ilvl w:val="0"/>
          <w:numId w:val="4"/>
        </w:numPr>
        <w:spacing w:lineRule="auto" w:line="300"/>
        <w:ind w:hanging="720" w:start="720" w:end="0"/>
        <w:jc w:val="both"/>
        <w:rPr>
          <w:rFonts w:cs="Calibri"/>
          <w:bCs/>
          <w:lang w:val="pt-BR"/>
        </w:rPr>
      </w:pPr>
      <w:r>
        <w:rPr>
          <w:rFonts w:cs="Calibri"/>
          <w:bCs/>
          <w:lang w:val="pt-BR"/>
        </w:rPr>
        <w:t>Jurisprudência.</w:t>
      </w:r>
    </w:p>
    <w:p>
      <w:pPr>
        <w:pStyle w:val="Normal"/>
        <w:rPr>
          <w:rFonts w:cs="Calibri"/>
          <w:bCs/>
          <w:lang w:val="pt-BR"/>
        </w:rPr>
      </w:pPr>
      <w:r>
        <w:rPr>
          <w:rFonts w:cs="Calibri"/>
          <w:bCs/>
          <w:lang w:val="pt-BR"/>
        </w:rPr>
      </w:r>
    </w:p>
    <w:p>
      <w:pPr>
        <w:pStyle w:val="Normal"/>
        <w:rPr>
          <w:rFonts w:cs="Calibri"/>
          <w:lang w:val="pt-BR"/>
        </w:rPr>
      </w:pPr>
      <w:r>
        <w:rPr>
          <w:rFonts w:cs="Calibri"/>
          <w:lang w:val="pt-BR"/>
        </w:rPr>
      </w:r>
    </w:p>
    <w:sectPr>
      <w:headerReference w:type="default" r:id="rId5"/>
      <w:footerReference w:type="default" r:id="rId6"/>
      <w:type w:val="nextPage"/>
      <w:pgSz w:w="11906" w:h="16838"/>
      <w:pgMar w:left="1440" w:right="1275" w:gutter="0" w:header="284" w:top="1440" w:footer="29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alibri Light">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Antique Olive">
    <w:charset w:val="00" w:characterSet="windows-1252"/>
    <w:family w:val="swiss"/>
    <w:pitch w:val="variable"/>
  </w:font>
  <w:font w:name="Liberation Sans">
    <w:altName w:val="Arial"/>
    <w:charset w:val="01" w:characterSet="utf-8"/>
    <w:family w:val="swiss"/>
    <w:pitch w:val="variable"/>
  </w:font>
  <w:font w:name="Helvetica">
    <w:altName w:val="Arial"/>
    <w:charset w:val="00" w:characterSet="windows-1252"/>
    <w:family w:val="swiss"/>
    <w:pitch w:val="variable"/>
  </w:font>
  <w:font w:name="Bookman Old Style">
    <w:charset w:val="00" w:characterSet="windows-1252"/>
    <w:family w:val="roman"/>
    <w:pitch w:val="variable"/>
  </w:font>
  <w:font w:name="Segoe UI Emoj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Normal"/>
      <w:spacing w:lineRule="auto" w:line="240"/>
      <w:jc w:val="both"/>
      <w:rPr/>
    </w:pPr>
    <w:r>
      <w:rPr>
        <w:rFonts w:cs="Segoe UI Emoji" w:ascii="Segoe UI Emoji" w:hAnsi="Segoe UI Emoji"/>
        <w:b/>
        <w:bCs/>
        <w:sz w:val="16"/>
        <w:szCs w:val="16"/>
      </w:rPr>
      <w:t>🏛️</w:t>
    </w:r>
    <w:r>
      <w:rPr>
        <w:rFonts w:cs="Calibri"/>
        <w:b/>
        <w:bCs/>
        <w:sz w:val="16"/>
        <w:szCs w:val="16"/>
        <w:lang w:val="pt-BR"/>
      </w:rPr>
      <w:t xml:space="preserve"> </w:t>
    </w:r>
    <w:r>
      <w:rPr>
        <w:b/>
        <w:bCs/>
        <w:sz w:val="16"/>
        <w:szCs w:val="16"/>
        <w:lang w:val="pt-BR"/>
      </w:rPr>
      <w:t>BENTES RAMOS ADVOCACIA E CONSULTORIA JURÍDICA</w:t>
    </w:r>
  </w:p>
  <w:p>
    <w:pPr>
      <w:pStyle w:val="Normal"/>
      <w:spacing w:lineRule="auto" w:line="240"/>
      <w:jc w:val="both"/>
      <w:rPr/>
    </w:pPr>
    <w:r>
      <w:rPr>
        <w:rFonts w:cs="Segoe UI Emoji" w:ascii="Segoe UI Emoji" w:hAnsi="Segoe UI Emoji"/>
        <w:sz w:val="16"/>
        <w:szCs w:val="16"/>
      </w:rPr>
      <w:t>📍</w:t>
    </w:r>
    <w:r>
      <w:rPr>
        <w:rFonts w:cs="Calibri"/>
        <w:sz w:val="16"/>
        <w:szCs w:val="16"/>
        <w:lang w:val="pt-BR"/>
      </w:rPr>
      <w:t xml:space="preserve"> </w:t>
    </w:r>
    <w:r>
      <w:rPr>
        <w:sz w:val="16"/>
        <w:szCs w:val="16"/>
        <w:lang w:val="pt-BR"/>
      </w:rPr>
      <w:t>Rua Salvador, 120, Sala 708 – Vieiralves Business Center – Adrianópolis, Manaus/AM – CEP 69057-040</w:t>
    </w:r>
  </w:p>
  <w:p>
    <w:pPr>
      <w:pStyle w:val="Normal"/>
      <w:spacing w:lineRule="auto" w:line="240"/>
      <w:jc w:val="both"/>
      <w:rPr/>
    </w:pPr>
    <w:r>
      <w:rPr>
        <w:rFonts w:cs="Segoe UI Emoji" w:ascii="Segoe UI Emoji" w:hAnsi="Segoe UI Emoji"/>
        <w:sz w:val="16"/>
        <w:szCs w:val="16"/>
      </w:rPr>
      <w:t>📞</w:t>
    </w:r>
    <w:r>
      <w:rPr>
        <w:rFonts w:cs="Calibri"/>
        <w:sz w:val="16"/>
        <w:szCs w:val="16"/>
        <w:lang w:val="pt-BR"/>
      </w:rPr>
      <w:t xml:space="preserve"> </w:t>
    </w:r>
    <w:r>
      <w:rPr>
        <w:sz w:val="16"/>
        <w:szCs w:val="16"/>
        <w:lang w:val="pt-BR"/>
      </w:rPr>
      <w:t xml:space="preserve">(92) 3343-6173   |   </w:t>
    </w:r>
    <w:r>
      <w:rPr>
        <w:rFonts w:cs="Segoe UI Emoji" w:ascii="Segoe UI Emoji" w:hAnsi="Segoe UI Emoji"/>
        <w:sz w:val="16"/>
        <w:szCs w:val="16"/>
      </w:rPr>
      <w:t>📱</w:t>
    </w:r>
    <w:r>
      <w:rPr>
        <w:sz w:val="16"/>
        <w:szCs w:val="16"/>
        <w:lang w:val="pt-BR"/>
      </w:rPr>
      <w:t xml:space="preserve"> (92) 98223-7330 / (92) 99160-4348 / 98588-8190</w:t>
    </w:r>
  </w:p>
  <w:p>
    <w:pPr>
      <w:pStyle w:val="Footer"/>
      <w:jc w:val="both"/>
      <w:rPr/>
    </w:pPr>
    <w:r>
      <w:rPr>
        <w:rFonts w:cs="Segoe UI Emoji" w:ascii="Segoe UI Emoji" w:hAnsi="Segoe UI Emoji"/>
        <w:sz w:val="16"/>
        <w:szCs w:val="16"/>
        <w:lang w:val="pt-BR"/>
      </w:rPr>
      <w:t>✉</w:t>
    </w:r>
    <w:r>
      <w:rPr>
        <w:rFonts w:cs="Segoe UI Emoji" w:ascii="Segoe UI Emoji" w:hAnsi="Segoe UI Emoji"/>
        <w:sz w:val="16"/>
        <w:szCs w:val="16"/>
      </w:rPr>
      <w:t>️</w:t>
    </w:r>
    <w:r>
      <w:rPr>
        <w:rFonts w:cs="Calibri"/>
        <w:sz w:val="16"/>
        <w:szCs w:val="16"/>
        <w:lang w:val="pt-BR"/>
      </w:rPr>
      <w:t xml:space="preserve"> </w:t>
    </w:r>
    <w:r>
      <w:rPr>
        <w:sz w:val="16"/>
        <w:szCs w:val="16"/>
        <w:lang w:val="pt-BR"/>
      </w:rPr>
      <w:t xml:space="preserve">juridico@bentesramos.adv.br   |   </w:t>
    </w:r>
    <w:r>
      <w:rPr>
        <w:rFonts w:cs="Segoe UI Emoji" w:ascii="Segoe UI Emoji" w:hAnsi="Segoe UI Emoji"/>
        <w:sz w:val="16"/>
        <w:szCs w:val="16"/>
      </w:rPr>
      <w:t>🌐</w:t>
    </w:r>
    <w:r>
      <w:rPr>
        <w:sz w:val="16"/>
        <w:szCs w:val="16"/>
        <w:lang w:val="pt-BR"/>
      </w:rPr>
      <w:t xml:space="preserve"> www.bentesramos.com.br</w:t>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lang w:val="pt-BR"/>
      </w:rPr>
    </w:pPr>
    <w:r>
      <w:rPr>
        <w:lang w:val="pt-BR"/>
      </w:rPr>
      <w:drawing>
        <wp:inline distT="0" distB="0" distL="0" distR="0">
          <wp:extent cx="1892300" cy="1028700"/>
          <wp:effectExtent l="0" t="0" r="0" b="0"/>
          <wp:docPr id="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title=""/>
                  <pic:cNvPicPr>
                    <a:picLocks noChangeAspect="1" noChangeArrowheads="1"/>
                  </pic:cNvPicPr>
                </pic:nvPicPr>
                <pic:blipFill>
                  <a:blip r:embed="rId1"/>
                  <a:srcRect l="-7" t="-13" r="-7" b="-13"/>
                  <a:stretch>
                    <a:fillRect/>
                  </a:stretch>
                </pic:blipFill>
                <pic:spPr bwMode="auto">
                  <a:xfrm>
                    <a:off x="0" y="0"/>
                    <a:ext cx="1892300" cy="102870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3195" w:hanging="360"/>
      </w:pPr>
      <w:rPr>
        <w:b/>
      </w:rPr>
    </w:lvl>
    <w:lvl w:ilvl="1">
      <w:start w:val="3"/>
      <w:isLgl/>
      <w:numFmt w:val="decimal"/>
      <w:lvlText w:val="%1.%2"/>
      <w:lvlJc w:val="start"/>
      <w:pPr>
        <w:tabs>
          <w:tab w:val="num" w:pos="0"/>
        </w:tabs>
        <w:ind w:start="3195" w:hanging="360"/>
      </w:pPr>
      <w:rPr/>
    </w:lvl>
    <w:lvl w:ilvl="2">
      <w:start w:val="1"/>
      <w:isLgl/>
      <w:numFmt w:val="decimal"/>
      <w:lvlText w:val="%1.%2.%3"/>
      <w:lvlJc w:val="start"/>
      <w:pPr>
        <w:tabs>
          <w:tab w:val="num" w:pos="0"/>
        </w:tabs>
        <w:ind w:start="3195" w:hanging="360"/>
      </w:pPr>
      <w:rPr/>
    </w:lvl>
    <w:lvl w:ilvl="3">
      <w:start w:val="1"/>
      <w:isLgl/>
      <w:numFmt w:val="decimal"/>
      <w:lvlText w:val="%1.%2.%3.%4"/>
      <w:lvlJc w:val="start"/>
      <w:pPr>
        <w:tabs>
          <w:tab w:val="num" w:pos="0"/>
        </w:tabs>
        <w:ind w:start="3555" w:hanging="720"/>
      </w:pPr>
      <w:rPr/>
    </w:lvl>
    <w:lvl w:ilvl="4">
      <w:start w:val="1"/>
      <w:isLgl/>
      <w:numFmt w:val="decimal"/>
      <w:lvlText w:val="%1.%2.%3.%4.%5"/>
      <w:lvlJc w:val="start"/>
      <w:pPr>
        <w:tabs>
          <w:tab w:val="num" w:pos="0"/>
        </w:tabs>
        <w:ind w:start="3555" w:hanging="720"/>
      </w:pPr>
      <w:rPr/>
    </w:lvl>
    <w:lvl w:ilvl="5">
      <w:start w:val="1"/>
      <w:isLgl/>
      <w:numFmt w:val="decimal"/>
      <w:lvlText w:val="%1.%2.%3.%4.%5.%6"/>
      <w:lvlJc w:val="start"/>
      <w:pPr>
        <w:tabs>
          <w:tab w:val="num" w:pos="0"/>
        </w:tabs>
        <w:ind w:start="3915" w:hanging="1080"/>
      </w:pPr>
      <w:rPr/>
    </w:lvl>
    <w:lvl w:ilvl="6">
      <w:start w:val="1"/>
      <w:isLgl/>
      <w:numFmt w:val="decimal"/>
      <w:lvlText w:val="%1.%2.%3.%4.%5.%6.%7"/>
      <w:lvlJc w:val="start"/>
      <w:pPr>
        <w:tabs>
          <w:tab w:val="num" w:pos="0"/>
        </w:tabs>
        <w:ind w:start="3915" w:hanging="1080"/>
      </w:pPr>
      <w:rPr/>
    </w:lvl>
    <w:lvl w:ilvl="7">
      <w:start w:val="1"/>
      <w:isLgl/>
      <w:numFmt w:val="decimal"/>
      <w:lvlText w:val="%1.%2.%3.%4.%5.%6.%7.%8"/>
      <w:lvlJc w:val="start"/>
      <w:pPr>
        <w:tabs>
          <w:tab w:val="num" w:pos="0"/>
        </w:tabs>
        <w:ind w:start="3915" w:hanging="1080"/>
      </w:pPr>
      <w:rPr/>
    </w:lvl>
    <w:lvl w:ilvl="8">
      <w:start w:val="1"/>
      <w:isLgl/>
      <w:numFmt w:val="decimal"/>
      <w:lvlText w:val="%1.%2.%3.%4.%5.%6.%7.%8.%9"/>
      <w:lvlJc w:val="start"/>
      <w:pPr>
        <w:tabs>
          <w:tab w:val="num" w:pos="0"/>
        </w:tabs>
        <w:ind w:start="4275" w:hanging="1440"/>
      </w:pPr>
      <w:rPr/>
    </w:lvl>
  </w:abstractNum>
  <w:abstractNum w:abstractNumId="3">
    <w:lvl w:ilvl="0">
      <w:start w:val="1"/>
      <w:numFmt w:val="bullet"/>
      <w:lvlText w:val=""/>
      <w:lvlJc w:val="start"/>
      <w:pPr>
        <w:tabs>
          <w:tab w:val="num" w:pos="0"/>
        </w:tabs>
        <w:ind w:start="720" w:hanging="360"/>
      </w:pPr>
      <w:rPr>
        <w:rFonts w:ascii="Wingdings" w:hAnsi="Wingdings" w:cs="Wingdings" w:hint="default"/>
      </w:rPr>
    </w:lvl>
  </w:abstractNum>
  <w:abstractNum w:abstractNumId="4">
    <w:lvl w:ilvl="0">
      <w:start w:val="1"/>
      <w:numFmt w:val="decimal"/>
      <w:lvlText w:val="%1."/>
      <w:lvlJc w:val="start"/>
      <w:pPr>
        <w:tabs>
          <w:tab w:val="num" w:pos="720"/>
        </w:tabs>
        <w:ind w:start="720" w:hanging="360"/>
      </w:pPr>
      <w:rPr/>
    </w:lvl>
  </w:abstractNum>
  <w:abstractNum w:abstractNumId="5">
    <w:lvl w:ilvl="0">
      <w:start w:val="1"/>
      <w:numFmt w:val="lowerLetter"/>
      <w:lvlText w:val="(%1)"/>
      <w:lvlJc w:val="start"/>
      <w:pPr>
        <w:tabs>
          <w:tab w:val="num" w:pos="0"/>
        </w:tabs>
        <w:ind w:start="72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pPr>
    <w:rPr>
      <w:rFonts w:ascii="Calibri" w:hAnsi="Calibri" w:eastAsia="Calibri" w:cs="Times New Roman"/>
      <w:color w:val="auto"/>
      <w:sz w:val="22"/>
      <w:szCs w:val="22"/>
      <w:lang w:val="en-US" w:bidi="ar-SA" w:eastAsia="zh-CN"/>
    </w:rPr>
  </w:style>
  <w:style w:type="paragraph" w:styleId="Heading1">
    <w:name w:val="Heading 1"/>
    <w:basedOn w:val="Normal"/>
    <w:next w:val="Normal"/>
    <w:qFormat/>
    <w:pPr>
      <w:keepNext w:val="true"/>
      <w:keepLines/>
      <w:numPr>
        <w:ilvl w:val="0"/>
        <w:numId w:val="1"/>
      </w:numPr>
      <w:spacing w:lineRule="auto" w:line="240" w:before="480" w:after="0"/>
      <w:outlineLvl w:val="0"/>
    </w:pPr>
    <w:rPr>
      <w:rFonts w:ascii="Calibri Light" w:hAnsi="Calibri Light" w:eastAsia="Times New Roman" w:cs="Calibri Light"/>
      <w:b/>
      <w:bCs/>
      <w:color w:val="2E74B5"/>
      <w:sz w:val="28"/>
      <w:szCs w:val="28"/>
    </w:rPr>
  </w:style>
  <w:style w:type="paragraph" w:styleId="Heading2">
    <w:name w:val="Heading 2"/>
    <w:basedOn w:val="Normal"/>
    <w:next w:val="BodyText"/>
    <w:qFormat/>
    <w:pPr>
      <w:numPr>
        <w:ilvl w:val="1"/>
        <w:numId w:val="1"/>
      </w:numPr>
      <w:spacing w:lineRule="auto" w:line="240" w:before="280" w:after="280"/>
      <w:outlineLvl w:val="1"/>
    </w:pPr>
    <w:rPr>
      <w:rFonts w:ascii="Times New Roman" w:hAnsi="Times New Roman" w:eastAsia="Times New Roman" w:cs="Times New Roman"/>
      <w:b/>
      <w:bCs/>
      <w:sz w:val="36"/>
      <w:szCs w:val="36"/>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rFonts w:ascii="Symbol" w:hAnsi="Symbol" w:cs="Symbol"/>
      <w:sz w:val="20"/>
    </w:rPr>
  </w:style>
  <w:style w:type="character" w:styleId="WW8Num5z1">
    <w:name w:val="WW8Num5z1"/>
    <w:qFormat/>
    <w:rPr>
      <w:rFonts w:ascii="Courier New" w:hAnsi="Courier New" w:cs="Courier New"/>
      <w:sz w:val="20"/>
    </w:rPr>
  </w:style>
  <w:style w:type="character" w:styleId="WW8Num5z2">
    <w:name w:val="WW8Num5z2"/>
    <w:qFormat/>
    <w:rPr>
      <w:rFonts w:ascii="Wingdings" w:hAnsi="Wingdings" w:cs="Wingdings"/>
      <w:sz w:val="20"/>
    </w:rPr>
  </w:style>
  <w:style w:type="character" w:styleId="WW8Num6z0">
    <w:name w:val="WW8Num6z0"/>
    <w:qFormat/>
    <w:rPr>
      <w:b/>
    </w:rPr>
  </w:style>
  <w:style w:type="character" w:styleId="WW8Num6z1">
    <w:name w:val="WW8Num6z1"/>
    <w:qFormat/>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style>
  <w:style w:type="character" w:styleId="WW8Num9z0">
    <w:name w:val="WW8Num9z0"/>
    <w:qFormat/>
    <w:rPr>
      <w:rFonts w:ascii="Symbol" w:hAnsi="Symbol" w:cs="Symbol"/>
      <w:sz w:val="20"/>
    </w:rPr>
  </w:style>
  <w:style w:type="character" w:styleId="WW8Num9z1">
    <w:name w:val="WW8Num9z1"/>
    <w:qFormat/>
    <w:rPr>
      <w:rFonts w:ascii="Courier New" w:hAnsi="Courier New" w:cs="Courier New"/>
      <w:sz w:val="20"/>
    </w:rPr>
  </w:style>
  <w:style w:type="character" w:styleId="WW8Num9z2">
    <w:name w:val="WW8Num9z2"/>
    <w:qFormat/>
    <w:rPr>
      <w:rFonts w:ascii="Wingdings" w:hAnsi="Wingdings" w:cs="Wingdings"/>
      <w:sz w:val="20"/>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Fontepargpadro">
    <w:name w:val="Fonte parág. padrão"/>
    <w:qFormat/>
    <w:rPr/>
  </w:style>
  <w:style w:type="character" w:styleId="Ttulo1Char">
    <w:name w:val="Título 1 Char"/>
    <w:qFormat/>
    <w:rPr>
      <w:rFonts w:ascii="Calibri Light" w:hAnsi="Calibri Light" w:eastAsia="Times New Roman" w:cs="Calibri Light"/>
      <w:b/>
      <w:bCs/>
      <w:color w:val="2E74B5"/>
      <w:sz w:val="28"/>
      <w:szCs w:val="28"/>
    </w:rPr>
  </w:style>
  <w:style w:type="character" w:styleId="Ttulo2Char">
    <w:name w:val="Título 2 Char"/>
    <w:qFormat/>
    <w:rPr>
      <w:rFonts w:ascii="Times New Roman" w:hAnsi="Times New Roman" w:eastAsia="Times New Roman" w:cs="Times New Roman"/>
      <w:b/>
      <w:bCs/>
      <w:sz w:val="36"/>
      <w:szCs w:val="36"/>
    </w:rPr>
  </w:style>
  <w:style w:type="character" w:styleId="CabealhoChar">
    <w:name w:val="Cabeçalho Char"/>
    <w:basedOn w:val="Fontepargpadro"/>
    <w:qFormat/>
    <w:rPr/>
  </w:style>
  <w:style w:type="character" w:styleId="RodapChar">
    <w:name w:val="Rodapé Char"/>
    <w:basedOn w:val="Fontepargpadro"/>
    <w:qFormat/>
    <w:rPr/>
  </w:style>
  <w:style w:type="character" w:styleId="TextodebaloChar">
    <w:name w:val="Texto de balão Char"/>
    <w:qFormat/>
    <w:rPr>
      <w:rFonts w:ascii="Tahoma" w:hAnsi="Tahoma" w:cs="Tahoma"/>
      <w:sz w:val="16"/>
      <w:szCs w:val="16"/>
    </w:rPr>
  </w:style>
  <w:style w:type="character" w:styleId="Corpodetexto3Char">
    <w:name w:val="Corpo de texto 3 Char"/>
    <w:qFormat/>
    <w:rPr>
      <w:rFonts w:ascii="Antique Olive" w:hAnsi="Antique Olive" w:eastAsia="Times New Roman" w:cs="Antique Olive"/>
      <w:b/>
      <w:sz w:val="22"/>
    </w:rPr>
  </w:style>
  <w:style w:type="character" w:styleId="RecuodecorpodetextoChar">
    <w:name w:val="Recuo de corpo de texto Char"/>
    <w:qFormat/>
    <w:rPr>
      <w:sz w:val="22"/>
      <w:szCs w:val="22"/>
      <w:lang w:val="en-US"/>
    </w:rPr>
  </w:style>
  <w:style w:type="character" w:styleId="CorpodetextoChar">
    <w:name w:val="Corpo de texto Char"/>
    <w:qFormat/>
    <w:rPr>
      <w:sz w:val="22"/>
      <w:szCs w:val="22"/>
      <w:lang w:val="en-US"/>
    </w:rPr>
  </w:style>
  <w:style w:type="character" w:styleId="Recuodecorpodetexto2Char">
    <w:name w:val="Recuo de corpo de texto 2 Char"/>
    <w:qFormat/>
    <w:rPr>
      <w:rFonts w:ascii="Times New Roman" w:hAnsi="Times New Roman" w:eastAsia="Times New Roman" w:cs="Times New Roman"/>
    </w:rPr>
  </w:style>
  <w:style w:type="character" w:styleId="Recuodecorpodetexto3Char">
    <w:name w:val="Recuo de corpo de texto 3 Char"/>
    <w:qFormat/>
    <w:rPr>
      <w:rFonts w:ascii="Times New Roman" w:hAnsi="Times New Roman" w:eastAsia="Times New Roman" w:cs="Times New Roman"/>
      <w:sz w:val="16"/>
      <w:szCs w:val="16"/>
    </w:rPr>
  </w:style>
  <w:style w:type="character" w:styleId="Corpodetexto2Char">
    <w:name w:val="Corpo de texto 2 Char"/>
    <w:qFormat/>
    <w:rPr>
      <w:rFonts w:ascii="Times New Roman" w:hAnsi="Times New Roman" w:eastAsia="Times New Roman" w:cs="Times New Roman"/>
    </w:rPr>
  </w:style>
  <w:style w:type="character" w:styleId="TextodenotaderodapChar">
    <w:name w:val="Texto de nota de rodapé Char"/>
    <w:qFormat/>
    <w:rPr>
      <w:rFonts w:ascii="Times New Roman" w:hAnsi="Times New Roman" w:eastAsia="Times New Roman" w:cs="Times New Roman"/>
    </w:rPr>
  </w:style>
  <w:style w:type="character" w:styleId="FootnoteCharacters">
    <w:name w:val="Footnote Characters"/>
    <w:qFormat/>
    <w:rPr>
      <w:vertAlign w:val="superscript"/>
    </w:rPr>
  </w:style>
  <w:style w:type="character" w:styleId="Hyperlink">
    <w:name w:val="Hyperlink"/>
    <w:rPr>
      <w:color w:val="0000FF"/>
      <w:u w:val="single"/>
    </w:rPr>
  </w:style>
  <w:style w:type="character" w:styleId="grame">
    <w:name w:val="grame"/>
    <w:qFormat/>
    <w:rPr/>
  </w:style>
  <w:style w:type="character" w:styleId="Strong">
    <w:name w:val="Strong"/>
    <w:qFormat/>
    <w:rPr>
      <w:b/>
      <w:bCs/>
    </w:rPr>
  </w:style>
  <w:style w:type="character" w:styleId="Emphasis">
    <w:name w:val="Emphasis"/>
    <w:qFormat/>
    <w:rPr>
      <w:i/>
      <w:iCs/>
    </w:rPr>
  </w:style>
  <w:style w:type="character" w:styleId="apple-converted-space">
    <w:name w:val="apple-converted-space"/>
    <w:basedOn w:val="Fontepargpadro"/>
    <w:qFormat/>
    <w:rPr/>
  </w:style>
  <w:style w:type="character" w:styleId="adtext">
    <w:name w:val="adtext"/>
    <w:basedOn w:val="Fontepargpadro"/>
    <w:qFormat/>
    <w:rPr/>
  </w:style>
  <w:style w:type="character" w:styleId="titulopaginas">
    <w:name w:val="titulo_paginas"/>
    <w:basedOn w:val="Fontepargpadro"/>
    <w:qFormat/>
    <w:rPr/>
  </w:style>
  <w:style w:type="character" w:styleId="cite">
    <w:name w:val="cite"/>
    <w:basedOn w:val="Fontepargpadro"/>
    <w:qFormat/>
    <w:rPr/>
  </w:style>
  <w:style w:type="character" w:styleId="MenoPendente">
    <w:name w:val="Menção Pendente"/>
    <w:qFormat/>
    <w:rPr>
      <w:color w:val="605E5C"/>
      <w:shd w:fill="E1DFDD" w:val="clear"/>
    </w:rPr>
  </w:style>
  <w:style w:type="character" w:styleId="PargrafodaListaChar">
    <w:name w:val="Parágrafo da Lista Char"/>
    <w:qFormat/>
    <w:rPr>
      <w:sz w:val="22"/>
      <w:szCs w:val="22"/>
    </w:rPr>
  </w:style>
  <w:style w:type="character" w:styleId="Link">
    <w:name w:val="Link"/>
    <w:qFormat/>
    <w:rPr>
      <w:color w:val="0563C1"/>
      <w:u w:val="single" w:color="0563C1"/>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before="0" w:after="12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spacing w:lineRule="auto" w:line="240"/>
    </w:pPr>
    <w:rPr/>
  </w:style>
  <w:style w:type="paragraph" w:styleId="Footer">
    <w:name w:val="Footer"/>
    <w:basedOn w:val="Normal"/>
    <w:pPr>
      <w:spacing w:lineRule="auto" w:line="240"/>
    </w:pPr>
    <w:rPr/>
  </w:style>
  <w:style w:type="paragraph" w:styleId="Textodebalo">
    <w:name w:val="Texto de balão"/>
    <w:basedOn w:val="Normal"/>
    <w:qFormat/>
    <w:pPr>
      <w:spacing w:lineRule="auto" w:line="240"/>
    </w:pPr>
    <w:rPr>
      <w:rFonts w:ascii="Tahoma" w:hAnsi="Tahoma" w:cs="Tahoma"/>
      <w:sz w:val="16"/>
      <w:szCs w:val="16"/>
    </w:rPr>
  </w:style>
  <w:style w:type="paragraph" w:styleId="PARAGRAFO">
    <w:name w:val="PARAGRAFO"/>
    <w:qFormat/>
    <w:pPr>
      <w:widowControl w:val="false"/>
      <w:overflowPunct w:val="false"/>
      <w:autoSpaceDE w:val="false"/>
      <w:bidi w:val="0"/>
      <w:ind w:firstLine="3600" w:start="0" w:end="288"/>
      <w:jc w:val="both"/>
    </w:pPr>
    <w:rPr>
      <w:rFonts w:ascii="Arial" w:hAnsi="Arial" w:eastAsia="Times New Roman" w:cs="Arial"/>
      <w:color w:val="000000"/>
      <w:sz w:val="24"/>
      <w:szCs w:val="20"/>
      <w:lang w:val="pt-BR" w:bidi="ar-SA" w:eastAsia="zh-CN"/>
    </w:rPr>
  </w:style>
  <w:style w:type="paragraph" w:styleId="FREE">
    <w:name w:val="FREE"/>
    <w:qFormat/>
    <w:pPr>
      <w:widowControl w:val="false"/>
      <w:bidi w:val="0"/>
      <w:jc w:val="both"/>
    </w:pPr>
    <w:rPr>
      <w:rFonts w:ascii="Arial" w:hAnsi="Arial" w:eastAsia="Times New Roman" w:cs="Arial"/>
      <w:color w:val="000000"/>
      <w:sz w:val="24"/>
      <w:szCs w:val="20"/>
      <w:lang w:val="pt-BR" w:bidi="ar-SA" w:eastAsia="zh-CN"/>
    </w:rPr>
  </w:style>
  <w:style w:type="paragraph" w:styleId="Corpodetexto3">
    <w:name w:val="Corpo de texto 3"/>
    <w:basedOn w:val="Normal"/>
    <w:qFormat/>
    <w:pPr>
      <w:spacing w:lineRule="auto" w:line="360"/>
      <w:jc w:val="both"/>
    </w:pPr>
    <w:rPr>
      <w:rFonts w:ascii="Antique Olive" w:hAnsi="Antique Olive" w:eastAsia="Times New Roman" w:cs="Antique Olive"/>
      <w:b/>
      <w:szCs w:val="20"/>
    </w:rPr>
  </w:style>
  <w:style w:type="paragraph" w:styleId="BodyTextIndent">
    <w:name w:val="Body Text Indent"/>
    <w:basedOn w:val="Normal"/>
    <w:pPr>
      <w:spacing w:before="0" w:after="120"/>
      <w:ind w:hanging="0" w:start="283" w:end="0"/>
    </w:pPr>
    <w:rPr/>
  </w:style>
  <w:style w:type="paragraph" w:styleId="Corpodetexto21">
    <w:name w:val="Corpo de texto 21"/>
    <w:basedOn w:val="Normal"/>
    <w:qFormat/>
    <w:pPr>
      <w:suppressAutoHyphens w:val="true"/>
      <w:spacing w:lineRule="auto" w:line="240"/>
      <w:ind w:firstLine="1418" w:start="0" w:end="0"/>
      <w:jc w:val="both"/>
    </w:pPr>
    <w:rPr>
      <w:rFonts w:ascii="Times New Roman" w:hAnsi="Times New Roman" w:eastAsia="Times New Roman" w:cs="Times New Roman"/>
      <w:sz w:val="28"/>
      <w:szCs w:val="20"/>
      <w:lang w:val="pt-BR"/>
    </w:rPr>
  </w:style>
  <w:style w:type="paragraph" w:styleId="PADRAO">
    <w:name w:val="PADRAO"/>
    <w:qFormat/>
    <w:pPr>
      <w:widowControl w:val="false"/>
      <w:bidi w:val="0"/>
      <w:jc w:val="both"/>
    </w:pPr>
    <w:rPr>
      <w:rFonts w:ascii="Arial" w:hAnsi="Arial" w:eastAsia="Times New Roman" w:cs="Arial"/>
      <w:color w:val="000000"/>
      <w:sz w:val="24"/>
      <w:szCs w:val="20"/>
      <w:lang w:val="pt-BR" w:bidi="ar-SA" w:eastAsia="zh-CN"/>
    </w:rPr>
  </w:style>
  <w:style w:type="paragraph" w:styleId="Recuodecorpodetexto2">
    <w:name w:val="Recuo de corpo de texto 2"/>
    <w:basedOn w:val="Normal"/>
    <w:qFormat/>
    <w:pPr>
      <w:spacing w:lineRule="auto" w:line="480" w:before="0" w:after="120"/>
      <w:ind w:hanging="0" w:start="283" w:end="0"/>
    </w:pPr>
    <w:rPr>
      <w:rFonts w:ascii="Times New Roman" w:hAnsi="Times New Roman" w:eastAsia="Times New Roman" w:cs="Times New Roman"/>
      <w:sz w:val="20"/>
      <w:szCs w:val="20"/>
    </w:rPr>
  </w:style>
  <w:style w:type="paragraph" w:styleId="Recuodecorpodetexto3">
    <w:name w:val="Recuo de corpo de texto 3"/>
    <w:basedOn w:val="Normal"/>
    <w:qFormat/>
    <w:pPr>
      <w:spacing w:lineRule="auto" w:line="240" w:before="0" w:after="120"/>
      <w:ind w:hanging="0" w:start="283" w:end="0"/>
    </w:pPr>
    <w:rPr>
      <w:rFonts w:ascii="Times New Roman" w:hAnsi="Times New Roman" w:eastAsia="Times New Roman" w:cs="Times New Roman"/>
      <w:sz w:val="16"/>
      <w:szCs w:val="16"/>
    </w:rPr>
  </w:style>
  <w:style w:type="paragraph" w:styleId="Corpodetexto2">
    <w:name w:val="Corpo de texto 2"/>
    <w:basedOn w:val="Normal"/>
    <w:qFormat/>
    <w:pPr>
      <w:spacing w:lineRule="auto" w:line="480" w:before="0" w:after="120"/>
    </w:pPr>
    <w:rPr>
      <w:rFonts w:ascii="Times New Roman" w:hAnsi="Times New Roman" w:eastAsia="Times New Roman" w:cs="Times New Roman"/>
      <w:sz w:val="20"/>
      <w:szCs w:val="20"/>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lang w:val="pt-BR"/>
    </w:rPr>
  </w:style>
  <w:style w:type="paragraph" w:styleId="FootnoteText">
    <w:name w:val="Footnote Text"/>
    <w:basedOn w:val="Normal"/>
    <w:pPr>
      <w:spacing w:lineRule="auto" w:line="240"/>
    </w:pPr>
    <w:rPr>
      <w:rFonts w:ascii="Times New Roman" w:hAnsi="Times New Roman" w:eastAsia="Times New Roman" w:cs="Times New Roman"/>
      <w:sz w:val="20"/>
      <w:szCs w:val="20"/>
    </w:rPr>
  </w:style>
  <w:style w:type="paragraph" w:styleId="Recuodecorpodetexto22">
    <w:name w:val="Recuo de corpo de texto 22"/>
    <w:basedOn w:val="Normal"/>
    <w:qFormat/>
    <w:pPr>
      <w:suppressAutoHyphens w:val="true"/>
      <w:spacing w:lineRule="auto" w:line="480" w:before="0" w:after="120"/>
      <w:ind w:hanging="0" w:start="283" w:end="0"/>
    </w:pPr>
    <w:rPr>
      <w:rFonts w:ascii="Times New Roman" w:hAnsi="Times New Roman" w:eastAsia="Times New Roman" w:cs="Times New Roman"/>
      <w:sz w:val="24"/>
      <w:szCs w:val="24"/>
      <w:lang w:val="pt-BR"/>
    </w:rPr>
  </w:style>
  <w:style w:type="paragraph" w:styleId="corpo">
    <w:name w:val="corpo"/>
    <w:basedOn w:val="Normal"/>
    <w:qFormat/>
    <w:pPr>
      <w:spacing w:lineRule="auto" w:line="240" w:before="280" w:after="280"/>
    </w:pPr>
    <w:rPr>
      <w:rFonts w:ascii="Times New Roman" w:hAnsi="Times New Roman" w:eastAsia="Times New Roman" w:cs="Times New Roman"/>
      <w:sz w:val="24"/>
      <w:szCs w:val="24"/>
      <w:lang w:val="pt-BR"/>
    </w:rPr>
  </w:style>
  <w:style w:type="paragraph" w:styleId="PargrafodaLista">
    <w:name w:val="Parágrafo da Lista"/>
    <w:basedOn w:val="Normal"/>
    <w:qFormat/>
    <w:pPr>
      <w:spacing w:lineRule="auto" w:line="256" w:before="0" w:after="160"/>
      <w:ind w:hanging="0" w:start="720" w:end="0"/>
      <w:contextualSpacing/>
    </w:pPr>
    <w:rPr>
      <w:lang w:val="pt-BR"/>
    </w:rPr>
  </w:style>
  <w:style w:type="paragraph" w:styleId="spip">
    <w:name w:val="spip"/>
    <w:basedOn w:val="Normal"/>
    <w:qFormat/>
    <w:pPr>
      <w:spacing w:lineRule="auto" w:line="240" w:before="280" w:after="280"/>
    </w:pPr>
    <w:rPr>
      <w:rFonts w:ascii="Times New Roman" w:hAnsi="Times New Roman" w:eastAsia="Times New Roman" w:cs="Times New Roman"/>
      <w:sz w:val="24"/>
      <w:szCs w:val="24"/>
      <w:lang w:val="pt-BR"/>
    </w:rPr>
  </w:style>
  <w:style w:type="paragraph" w:styleId="temapn">
    <w:name w:val="temapn"/>
    <w:basedOn w:val="Normal"/>
    <w:qFormat/>
    <w:pPr>
      <w:spacing w:lineRule="auto" w:line="240" w:before="280" w:after="280"/>
    </w:pPr>
    <w:rPr>
      <w:rFonts w:ascii="Times New Roman" w:hAnsi="Times New Roman" w:eastAsia="Times New Roman" w:cs="Times New Roman"/>
      <w:sz w:val="24"/>
      <w:szCs w:val="24"/>
      <w:lang w:val="pt-BR"/>
    </w:rPr>
  </w:style>
  <w:style w:type="paragraph" w:styleId="textoenun">
    <w:name w:val="textoenun"/>
    <w:basedOn w:val="Normal"/>
    <w:qFormat/>
    <w:pPr>
      <w:spacing w:lineRule="auto" w:line="240" w:before="280" w:after="280"/>
    </w:pPr>
    <w:rPr>
      <w:rFonts w:ascii="Times New Roman" w:hAnsi="Times New Roman" w:eastAsia="Times New Roman" w:cs="Times New Roman"/>
      <w:sz w:val="24"/>
      <w:szCs w:val="24"/>
      <w:lang w:val="pt-BR"/>
    </w:rPr>
  </w:style>
  <w:style w:type="paragraph" w:styleId="Style12">
    <w:name w:val="Style 1"/>
    <w:qFormat/>
    <w:pPr>
      <w:widowControl w:val="false"/>
      <w:autoSpaceDE w:val="false"/>
      <w:bidi w:val="0"/>
    </w:pPr>
    <w:rPr>
      <w:rFonts w:ascii="Times New Roman" w:hAnsi="Times New Roman" w:eastAsia="Times New Roman" w:cs="Times New Roman"/>
      <w:color w:val="auto"/>
      <w:sz w:val="20"/>
      <w:szCs w:val="20"/>
      <w:lang w:val="pt-BR" w:bidi="ar-SA" w:eastAsia="zh-CN"/>
    </w:rPr>
  </w:style>
  <w:style w:type="paragraph" w:styleId="p2">
    <w:name w:val="p2"/>
    <w:basedOn w:val="Normal"/>
    <w:qFormat/>
    <w:pPr>
      <w:widowControl w:val="false"/>
      <w:autoSpaceDE w:val="false"/>
      <w:spacing w:lineRule="atLeast" w:line="272"/>
    </w:pPr>
    <w:rPr>
      <w:rFonts w:ascii="Times New Roman" w:hAnsi="Times New Roman" w:eastAsia="Times New Roman" w:cs="Times New Roman"/>
      <w:sz w:val="24"/>
      <w:szCs w:val="24"/>
    </w:rPr>
  </w:style>
  <w:style w:type="paragraph" w:styleId="Pa3">
    <w:name w:val="Pa3"/>
    <w:basedOn w:val="Normal"/>
    <w:next w:val="Normal"/>
    <w:qFormat/>
    <w:pPr>
      <w:autoSpaceDE w:val="false"/>
      <w:spacing w:lineRule="atLeast" w:line="241"/>
    </w:pPr>
    <w:rPr>
      <w:rFonts w:ascii="Helvetica" w:hAnsi="Helvetica" w:eastAsia="Times New Roman" w:cs="Helvetica"/>
      <w:sz w:val="20"/>
      <w:szCs w:val="24"/>
      <w:lang w:val="pt-BR"/>
    </w:rPr>
  </w:style>
  <w:style w:type="paragraph" w:styleId="Padro">
    <w:name w:val="Padrão"/>
    <w:qFormat/>
    <w:pPr>
      <w:widowControl w:val="false"/>
      <w:tabs>
        <w:tab w:val="clear" w:pos="720"/>
        <w:tab w:val="left" w:pos="708" w:leader="none"/>
      </w:tabs>
      <w:suppressAutoHyphens w:val="true"/>
      <w:bidi w:val="0"/>
      <w:spacing w:lineRule="auto" w:line="276" w:before="0" w:after="200"/>
    </w:pPr>
    <w:rPr>
      <w:rFonts w:ascii="Times New Roman" w:hAnsi="Times New Roman" w:eastAsia="Lucida Sans Unicode" w:cs="Tahoma"/>
      <w:color w:val="00000A"/>
      <w:sz w:val="24"/>
      <w:szCs w:val="24"/>
      <w:lang w:val="pt-BR" w:eastAsia="zh-CN" w:bidi="hi-IN"/>
    </w:rPr>
  </w:style>
  <w:style w:type="paragraph" w:styleId="cab">
    <w:name w:val="cab"/>
    <w:basedOn w:val="Normal"/>
    <w:qFormat/>
    <w:pPr>
      <w:spacing w:lineRule="auto" w:line="240" w:before="280" w:after="280"/>
    </w:pPr>
    <w:rPr>
      <w:rFonts w:ascii="Times New Roman" w:hAnsi="Times New Roman" w:eastAsia="Times New Roman" w:cs="Times New Roman"/>
      <w:sz w:val="24"/>
      <w:szCs w:val="24"/>
      <w:lang w:val="pt-BR"/>
    </w:rPr>
  </w:style>
  <w:style w:type="paragraph" w:styleId="par">
    <w:name w:val="par"/>
    <w:basedOn w:val="Normal"/>
    <w:qFormat/>
    <w:pPr>
      <w:spacing w:lineRule="auto" w:line="240" w:before="280" w:after="280"/>
    </w:pPr>
    <w:rPr>
      <w:rFonts w:ascii="Times New Roman" w:hAnsi="Times New Roman" w:eastAsia="Times New Roman" w:cs="Times New Roman"/>
      <w:sz w:val="24"/>
      <w:szCs w:val="24"/>
      <w:lang w:val="pt-BR"/>
    </w:rPr>
  </w:style>
  <w:style w:type="paragraph" w:styleId="Default">
    <w:name w:val="Default"/>
    <w:qFormat/>
    <w:pPr>
      <w:widowControl/>
      <w:autoSpaceDE w:val="false"/>
      <w:bidi w:val="0"/>
    </w:pPr>
    <w:rPr>
      <w:rFonts w:ascii="Calibri" w:hAnsi="Calibri" w:eastAsia="Calibri" w:cs="Calibri"/>
      <w:color w:val="000000"/>
      <w:sz w:val="24"/>
      <w:szCs w:val="24"/>
      <w:lang w:val="pt-BR" w:bidi="ar-SA" w:eastAsia="zh-CN"/>
    </w:rPr>
  </w:style>
  <w:style w:type="paragraph" w:styleId="TextBody">
    <w:name w:val="Text Body"/>
    <w:basedOn w:val="Normal"/>
    <w:qFormat/>
    <w:pPr>
      <w:widowControl w:val="false"/>
      <w:suppressAutoHyphens w:val="true"/>
      <w:spacing w:lineRule="auto" w:line="360" w:before="397" w:after="397"/>
      <w:jc w:val="both"/>
    </w:pPr>
    <w:rPr>
      <w:rFonts w:ascii="Times New Roman" w:hAnsi="Times New Roman" w:eastAsia="Times New Roman" w:cs="Times New Roman"/>
      <w:sz w:val="24"/>
      <w:szCs w:val="24"/>
      <w:lang w:val="pt-BR" w:eastAsia="zh-CN" w:bidi="hi-IN"/>
    </w:rPr>
  </w:style>
  <w:style w:type="paragraph" w:styleId="artigo">
    <w:name w:val="artigo"/>
    <w:basedOn w:val="Normal"/>
    <w:qFormat/>
    <w:pPr>
      <w:spacing w:lineRule="auto" w:line="240" w:before="280" w:after="280"/>
    </w:pPr>
    <w:rPr>
      <w:rFonts w:ascii="Times New Roman" w:hAnsi="Times New Roman" w:eastAsia="Times New Roman" w:cs="Times New Roman"/>
      <w:sz w:val="24"/>
      <w:szCs w:val="24"/>
      <w:lang w:val="pt-BR"/>
    </w:rPr>
  </w:style>
  <w:style w:type="paragraph" w:styleId="Pargrafo">
    <w:name w:val="Parágrafo"/>
    <w:basedOn w:val="Normal"/>
    <w:qFormat/>
    <w:pPr>
      <w:widowControl w:val="false"/>
      <w:spacing w:lineRule="auto" w:line="240"/>
      <w:ind w:firstLine="3515" w:start="0" w:end="0"/>
      <w:jc w:val="both"/>
    </w:pPr>
    <w:rPr>
      <w:rFonts w:ascii="Bookman Old Style" w:hAnsi="Bookman Old Style" w:eastAsia="Times New Roman" w:cs="Bookman Old Style"/>
      <w:sz w:val="24"/>
      <w:szCs w:val="20"/>
      <w:lang w:val="pt-BR"/>
    </w:rPr>
  </w:style>
  <w:style w:type="paragraph" w:styleId="BlockQuote">
    <w:name w:val="Block Quote"/>
    <w:basedOn w:val="Normal"/>
    <w:next w:val="Normal"/>
    <w:qFormat/>
    <w:pPr>
      <w:spacing w:lineRule="auto" w:line="240" w:before="100" w:after="100"/>
    </w:pPr>
    <w:rPr>
      <w:rFonts w:eastAsia="Times New Roman"/>
      <w:bCs/>
      <w:sz w:val="20"/>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uridico@bentesramos.adv.br" TargetMode="External"/><Relationship Id="rId3" Type="http://schemas.openxmlformats.org/officeDocument/2006/relationships/hyperlink" Target="mailto:juridico@bentesramos.adv.br" TargetMode="Externa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_rels/header1.xml.rels><?xml version="1.0" encoding="UTF-8"?><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2026-02-24T16:22:00Z</dcterms:created>
  <dc:creator>arte-02</dc:creator>
  <dc:description/>
  <cp:keywords/>
  <dc:language>en-US</dc:language>
  <cp:lastModifiedBy>Andrey Ramos</cp:lastModifiedBy>
  <cp:lastPrinted>2026-01-24T13:11:00Z</cp:lastPrinted>
  <dcterms:modified xsi:type="dcterms:W3CDTF">2026-02-24T16:22:00Z</dcterms:modified>
  <cp:revision>3</cp:revision>
  <dc:subject/>
  <dc:title/>
</cp:coreProperties>
</file>