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both"/>
        <w:rPr>
          <w:rFonts w:cs="Calibri"/>
          <w:b/>
          <w:lang w:val="pt-BR"/>
        </w:rPr>
      </w:pPr>
      <w:r>
        <w:rPr>
          <w:rFonts w:cs="Calibri"/>
          <w:b/>
          <w:lang w:val="pt-BR"/>
        </w:rPr>
        <w:t>EXCELENTÍSSIMO(A) SENHOR(A) DOUTOR(A) JUIZ(A) DE DIREITO DA M.M. ____ª VARA DO JUIZADO ESPECIAL CÍVEL DA COMARCA DE MANAUS/AM</w:t>
      </w:r>
    </w:p>
    <w:p>
      <w:pPr>
        <w:pStyle w:val="Default"/>
        <w:spacing w:lineRule="auto" w:line="300"/>
        <w:ind w:firstLine="2835" w:end="0"/>
        <w:jc w:val="both"/>
        <w:rPr>
          <w:rFonts w:cs="Calibri"/>
          <w:b/>
          <w:sz w:val="22"/>
          <w:szCs w:val="22"/>
          <w:lang w:val="pt-BR"/>
        </w:rPr>
      </w:pPr>
      <w:r>
        <w:rPr>
          <w:rFonts w:cs="Calibri"/>
          <w:b/>
          <w:sz w:val="22"/>
          <w:szCs w:val="22"/>
          <w:lang w:val="pt-BR"/>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jc w:val="both"/>
        <w:rPr>
          <w:b/>
          <w:sz w:val="22"/>
          <w:szCs w:val="22"/>
        </w:rPr>
      </w:pPr>
      <w:r>
        <w:rPr>
          <w:b/>
          <w:sz w:val="22"/>
          <w:szCs w:val="22"/>
        </w:rPr>
      </w:r>
    </w:p>
    <w:p>
      <w:pPr>
        <w:pStyle w:val="Default"/>
        <w:spacing w:lineRule="auto" w:line="300"/>
        <w:jc w:val="both"/>
        <w:rPr>
          <w:b/>
          <w:sz w:val="22"/>
          <w:szCs w:val="22"/>
        </w:rPr>
      </w:pPr>
      <w:r>
        <w:rPr>
          <w:b/>
          <w:sz w:val="22"/>
          <w:szCs w:val="22"/>
        </w:rPr>
      </w:r>
    </w:p>
    <w:p>
      <w:pPr>
        <w:pStyle w:val="Default"/>
        <w:spacing w:lineRule="auto" w:line="300"/>
        <w:jc w:val="both"/>
        <w:rPr>
          <w:b/>
          <w:sz w:val="22"/>
          <w:szCs w:val="22"/>
        </w:rPr>
      </w:pPr>
      <w:r>
        <w:rPr>
          <w:b/>
          <w:sz w:val="22"/>
          <w:szCs w:val="22"/>
        </w:rPr>
      </w:r>
    </w:p>
    <w:p>
      <w:pPr>
        <w:pStyle w:val="Normal"/>
        <w:spacing w:lineRule="auto" w:line="300"/>
        <w:jc w:val="both"/>
        <w:rPr>
          <w:rFonts w:cs="Calibri"/>
          <w:b/>
          <w:color w:val="000000"/>
          <w:sz w:val="22"/>
          <w:szCs w:val="22"/>
          <w:lang w:val="pt-BR"/>
        </w:rPr>
      </w:pPr>
      <w:r>
        <w:rPr>
          <w:rFonts w:cs="Calibri"/>
          <w:b/>
          <w:color w:val="000000"/>
          <w:sz w:val="22"/>
          <w:szCs w:val="22"/>
          <w:lang w:val="pt-BR"/>
        </w:rPr>
      </w:r>
    </w:p>
    <w:p>
      <w:pPr>
        <w:pStyle w:val="Default"/>
        <w:spacing w:lineRule="auto" w:line="300"/>
        <w:ind w:firstLine="2835" w:end="0"/>
        <w:jc w:val="both"/>
        <w:rPr>
          <w:rFonts w:cs="Calibri"/>
          <w:b/>
          <w:color w:val="000000"/>
          <w:sz w:val="22"/>
          <w:szCs w:val="22"/>
          <w:lang w:val="pt-BR"/>
        </w:rPr>
      </w:pPr>
      <w:r>
        <w:rPr>
          <w:rFonts w:cs="Calibri"/>
          <w:b/>
          <w:color w:val="000000"/>
          <w:sz w:val="22"/>
          <w:szCs w:val="22"/>
          <w:lang w:val="pt-BR"/>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Normal"/>
        <w:spacing w:lineRule="auto" w:line="300"/>
        <w:ind w:firstLine="1418" w:end="0"/>
        <w:jc w:val="both"/>
        <w:rPr/>
      </w:pPr>
      <w:r>
        <w:rPr>
          <w:rFonts w:cs="Calibri"/>
          <w:b/>
          <w:lang w:val="pt-BR"/>
        </w:rPr>
        <w:t xml:space="preserve">{{NOME_COMPLETO}}, </w:t>
      </w:r>
      <w:r>
        <w:rPr>
          <w:rFonts w:cs="Calibri"/>
          <w:lang w:val="pt-BR"/>
        </w:rPr>
        <w:t xml:space="preserve">{{QUALIFICACAO}}, detentora da cédula de identidade n° {{RG}} e do CPF n° {{CPF}}, residente e domiciliada na {{ENDERECO_CLIENTE}}, por seus advogados que esta subscrevem (procuração anexa), com escritório profissional a Rua Salvador, n˚ 120, sala 708, 7˚ andar – Edifício Vieiralves Business Center, bairro: Adrianópolis, Manaus/AM – Cep: 69.079-210 e e-mail: </w:t>
      </w:r>
      <w:hyperlink r:id="rId2">
        <w:r>
          <w:rPr>
            <w:rStyle w:val="Hyperlink"/>
            <w:rFonts w:cs="Calibri"/>
            <w:b/>
            <w:lang w:val="pt-BR"/>
          </w:rPr>
          <w:t>juridico@bentesramos.adv.br</w:t>
        </w:r>
      </w:hyperlink>
      <w:r>
        <w:rPr>
          <w:rFonts w:cs="Calibri"/>
          <w:b/>
          <w:lang w:val="pt-BR"/>
        </w:rPr>
        <w:t>,</w:t>
      </w:r>
      <w:r>
        <w:rPr>
          <w:rFonts w:cs="Calibri"/>
          <w:lang w:val="pt-BR"/>
        </w:rPr>
        <w:t xml:space="preserve"> onde recebem intimações e demais atos processuais, vem, respeitosamente, a presença de Vossa Excelência, propor a presente</w:t>
      </w:r>
    </w:p>
    <w:p>
      <w:pPr>
        <w:pStyle w:val="Normal"/>
        <w:spacing w:lineRule="auto" w:line="30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color w:val="000000"/>
          <w:lang w:val="pt-BR"/>
        </w:rPr>
      </w:pPr>
      <w:r>
        <w:rPr>
          <w:rFonts w:cs="Calibri"/>
          <w:b/>
          <w:color w:val="000000"/>
          <w:lang w:val="pt-BR"/>
        </w:rPr>
        <w:t>{{TIPO_ACAO}}</w:t>
      </w:r>
    </w:p>
    <w:p>
      <w:pPr>
        <w:pStyle w:val="Normal"/>
        <w:spacing w:lineRule="auto" w:line="300"/>
        <w:jc w:val="center"/>
        <w:rPr>
          <w:rFonts w:cs="Calibri"/>
          <w:b/>
          <w:color w:val="000000"/>
          <w:lang w:val="pt-BR"/>
        </w:rPr>
      </w:pPr>
      <w:r>
        <w:rPr>
          <w:rFonts w:cs="Calibri"/>
          <w:b/>
          <w:color w:val="000000"/>
          <w:lang w:val="pt-BR"/>
        </w:rPr>
      </w:r>
    </w:p>
    <w:p>
      <w:pPr>
        <w:pStyle w:val="Normal"/>
        <w:spacing w:lineRule="auto" w:line="300"/>
        <w:jc w:val="both"/>
        <w:rPr/>
      </w:pPr>
      <w:r>
        <w:rPr>
          <w:rFonts w:cs="Calibri"/>
          <w:lang w:val="pt-BR"/>
        </w:rPr>
        <w:t xml:space="preserve">em face de </w:t>
      </w:r>
      <w:r>
        <w:rPr>
          <w:rFonts w:cs="Calibri"/>
          <w:b/>
          <w:lang w:val="pt-BR"/>
        </w:rPr>
        <w:t>{{REU_NOME}}</w:t>
      </w:r>
      <w:r>
        <w:rPr>
          <w:rFonts w:cs="Calibri"/>
          <w:lang w:val="pt-BR"/>
        </w:rPr>
        <w:t>, pessoa jurídica de direito privado, inscrito no CNPJ sob o n° {{REU_CNPJ}}, com endereço a {{REU_ENDERECO}}, pelos fatos e fundamentos a seguir expostos:</w:t>
      </w:r>
    </w:p>
    <w:p>
      <w:pPr>
        <w:pStyle w:val="Normal"/>
        <w:spacing w:lineRule="auto" w:line="300"/>
        <w:jc w:val="both"/>
        <w:rPr>
          <w:rFonts w:cs="Calibri"/>
          <w:color w:val="000000"/>
          <w:lang w:val="pt-BR"/>
        </w:rPr>
      </w:pPr>
      <w:r>
        <w:rPr>
          <w:rFonts w:cs="Calibri"/>
          <w:color w:val="000000"/>
          <w:lang w:val="pt-BR"/>
        </w:rPr>
      </w:r>
    </w:p>
    <w:p>
      <w:pPr>
        <w:pStyle w:val="PargrafodaLista"/>
        <w:numPr>
          <w:ilvl w:val="0"/>
          <w:numId w:val="2"/>
        </w:numPr>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hanging="142" w:start="142" w:end="0"/>
        <w:contextualSpacing/>
        <w:jc w:val="center"/>
        <w:rPr>
          <w:rFonts w:cs="Calibri"/>
          <w:b/>
          <w:color w:val="000000"/>
        </w:rPr>
      </w:pPr>
      <w:r>
        <w:rPr>
          <w:rFonts w:cs="Calibri"/>
          <w:b/>
          <w:color w:val="000000"/>
        </w:rPr>
        <w:t>– DOS REQUERIMENTOS PRÉVIOS</w:t>
      </w:r>
    </w:p>
    <w:p>
      <w:pPr>
        <w:pStyle w:val="Normal"/>
        <w:spacing w:lineRule="auto" w:line="300"/>
        <w:jc w:val="both"/>
        <w:rPr>
          <w:rFonts w:cs="Calibri"/>
          <w:b/>
          <w:color w:val="000000"/>
        </w:rPr>
      </w:pPr>
      <w:r>
        <w:rPr>
          <w:rFonts w:cs="Calibri"/>
          <w:b/>
          <w:color w:val="000000"/>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rFonts w:cs="Calibri"/>
          <w:b/>
          <w:lang w:val="pt-BR"/>
        </w:rPr>
      </w:pPr>
      <w:r>
        <w:rPr>
          <w:rFonts w:cs="Calibri"/>
          <w:b/>
          <w:lang w:val="pt-BR"/>
        </w:rPr>
        <w:t>1.1 - DA CONCESSÃO DE JUSTIÇA GRATUITA</w:t>
      </w:r>
    </w:p>
    <w:p>
      <w:pPr>
        <w:pStyle w:val="Normal"/>
        <w:spacing w:lineRule="auto" w:line="300"/>
        <w:jc w:val="both"/>
        <w:rPr>
          <w:rFonts w:cs="Calibri"/>
          <w:b/>
          <w:lang w:val="pt-BR"/>
        </w:rPr>
      </w:pPr>
      <w:r>
        <w:rPr>
          <w:rFonts w:cs="Calibri"/>
          <w:b/>
          <w:lang w:val="pt-BR"/>
        </w:rPr>
      </w:r>
    </w:p>
    <w:p>
      <w:pPr>
        <w:pStyle w:val="Normal"/>
        <w:tabs>
          <w:tab w:val="clear" w:pos="720"/>
          <w:tab w:val="left" w:pos="4366" w:leader="none"/>
        </w:tabs>
        <w:spacing w:lineRule="auto" w:line="300"/>
        <w:ind w:firstLine="1418" w:end="0"/>
        <w:jc w:val="both"/>
        <w:rPr/>
      </w:pPr>
      <w:r>
        <w:rPr>
          <w:rFonts w:cs="Calibri"/>
          <w:color w:val="000000"/>
          <w:lang w:val="pt-BR"/>
        </w:rPr>
        <w:t>A parte requerente pleiteia, desde logo, a concessão do benefício da Justiça Gratuita, por não possuir condições financeiras de arcar com as custas processuais e honorários advocatícios sem prejuízo de seu sustento e de sua família.</w:t>
        <w:tab/>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De forma complementar, a Constituição do Estado do Amazonas, em seu art. 9º, inciso I, prevê expressamente a assistência jurídica gratuita ao consumidor em demandas que envolvam relação de consumo.</w:t>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240"/>
        <w:ind w:start="2268" w:end="0"/>
        <w:jc w:val="both"/>
        <w:rPr>
          <w:rFonts w:cs="Calibri"/>
          <w:b/>
          <w:bCs/>
          <w:sz w:val="20"/>
          <w:szCs w:val="20"/>
          <w:lang w:val="pt-BR"/>
        </w:rPr>
      </w:pPr>
      <w:r>
        <w:rPr>
          <w:rFonts w:cs="Calibri"/>
          <w:b/>
          <w:bCs/>
          <w:sz w:val="20"/>
          <w:szCs w:val="20"/>
          <w:lang w:val="pt-BR"/>
        </w:rPr>
        <w:t>CAPÍTULO III – DA DEFESA DO CONSUMIDOR</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b/>
          <w:bCs/>
          <w:sz w:val="20"/>
          <w:szCs w:val="20"/>
          <w:lang w:val="pt-BR"/>
        </w:rPr>
        <w:t>I – assistência jurídica, integral e gratuita para o consumidor</w:t>
      </w:r>
      <w:r>
        <w:rPr>
          <w:rFonts w:cs="Calibri"/>
          <w:sz w:val="20"/>
          <w:szCs w:val="20"/>
          <w:lang w:val="pt-BR"/>
        </w:rPr>
        <w:t>; (grifo nosso)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color w:val="000000"/>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Assim, requer seja deferido o benefício da gratuidade da justiça, nos termos da legislação aplicável, conforme declaração de hipossuficiência ora anexada.</w:t>
      </w:r>
    </w:p>
    <w:p>
      <w:pPr>
        <w:pStyle w:val="Normal"/>
        <w:spacing w:lineRule="auto" w:line="300"/>
        <w:ind w:firstLine="2837" w:end="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rFonts w:cs="Calibri"/>
          <w:b/>
          <w:lang w:val="pt-BR"/>
        </w:rPr>
      </w:pPr>
      <w:r>
        <w:rPr>
          <w:rFonts w:cs="Calibri"/>
          <w:b/>
          <w:lang w:val="pt-BR"/>
        </w:rPr>
        <w:t>1.2 - DA DECLARAÇÃO DE AUTENTICIDADE DOS DOCUMENTOS JUNTADOS</w:t>
      </w:r>
    </w:p>
    <w:p>
      <w:pPr>
        <w:pStyle w:val="Normal"/>
        <w:spacing w:lineRule="auto" w:line="300"/>
        <w:jc w:val="both"/>
        <w:rPr>
          <w:rFonts w:cs="Calibri"/>
          <w:b/>
          <w:lang w:val="pt-BR"/>
        </w:rPr>
      </w:pPr>
      <w:r>
        <w:rPr>
          <w:rFonts w:cs="Calibri"/>
          <w:b/>
          <w:lang w:val="pt-BR"/>
        </w:rPr>
      </w:r>
    </w:p>
    <w:p>
      <w:pPr>
        <w:pStyle w:val="Normal"/>
        <w:tabs>
          <w:tab w:val="clear" w:pos="720"/>
          <w:tab w:val="left" w:pos="2552" w:leader="none"/>
        </w:tabs>
        <w:spacing w:lineRule="auto" w:line="300"/>
        <w:ind w:firstLine="1418" w:end="0"/>
        <w:jc w:val="both"/>
        <w:rPr>
          <w:rFonts w:cs="Calibri"/>
          <w:lang w:val="pt-BR"/>
        </w:rPr>
      </w:pPr>
      <w:r>
        <w:rPr>
          <w:rFonts w:cs="Calibri"/>
          <w:lang w:val="pt-BR"/>
        </w:rPr>
        <w:t>Com espeque no art. 425 do NCPC/2015, vêm os patronos da parte requerente declarar que todos os documentos juntados a presente exordial, que eventualmente encontrarem-se em cópia simples, são documentos que conferem com seus respectivos originais.</w:t>
      </w:r>
    </w:p>
    <w:p>
      <w:pPr>
        <w:pStyle w:val="Normal"/>
        <w:tabs>
          <w:tab w:val="clear" w:pos="720"/>
          <w:tab w:val="left" w:pos="2694" w:leader="none"/>
        </w:tabs>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tabs>
          <w:tab w:val="clear" w:pos="720"/>
          <w:tab w:val="left" w:pos="2694" w:leader="none"/>
        </w:tabs>
        <w:spacing w:lineRule="auto" w:line="300"/>
        <w:jc w:val="both"/>
        <w:rPr/>
      </w:pPr>
      <w:r>
        <w:rPr>
          <w:rFonts w:cs="Calibri"/>
          <w:b/>
          <w:bCs/>
          <w:lang w:val="pt-BR"/>
        </w:rPr>
        <w:t>1.3 - DO DESINTERESSE NA REALIZAÇÃO DE AUDIÊNCIA DE CONCILIAÇÃO</w:t>
      </w:r>
    </w:p>
    <w:p>
      <w:pPr>
        <w:pStyle w:val="Normal"/>
        <w:tabs>
          <w:tab w:val="clear" w:pos="720"/>
          <w:tab w:val="left" w:pos="2694" w:leader="none"/>
        </w:tabs>
        <w:spacing w:lineRule="auto" w:line="300"/>
        <w:jc w:val="both"/>
        <w:rPr>
          <w:rFonts w:cs="Calibri"/>
          <w:b/>
          <w:bCs/>
          <w:lang w:val="pt-BR"/>
        </w:rPr>
      </w:pPr>
      <w:r>
        <w:rPr>
          <w:rFonts w:cs="Calibri"/>
          <w:b/>
          <w:bCs/>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A parte requerente, em consonância com o art. 319, VII, do Código de Processo Civil, manifesta expressamente seu desinteresse na realização de audiência de conciliação ou mediação.</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Tal manifestação se justifica em virtude das inúmeras tentativas extrajudiciais de resolução amigável do conflito, todas infrutíferas, conforme será demonstrado no decorrer da instrução processual. A realização de audiência de conciliação, neste contexto, representaria um dispêndio desnecessário de tempo e recursos, sem perspectiva de solução consensual.</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Assim, requer-se o prosseguimento do feito, com a imediata citação da parte ré e o direcionamento do processo para a fase de instrução e julgamento.</w:t>
      </w:r>
    </w:p>
    <w:p>
      <w:pPr>
        <w:pStyle w:val="Normal"/>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color w:val="000000"/>
          <w:u w:val="single"/>
          <w:lang w:val="pt-BR"/>
        </w:rPr>
      </w:pPr>
      <w:r>
        <w:rPr>
          <w:rFonts w:cs="Calibri"/>
          <w:b/>
          <w:color w:val="000000"/>
          <w:lang w:val="pt-BR"/>
        </w:rPr>
        <w:t>2 – DOS FATOS</w:t>
      </w:r>
    </w:p>
    <w:p>
      <w:pPr>
        <w:pStyle w:val="Normal"/>
        <w:spacing w:lineRule="auto" w:line="300"/>
        <w:ind w:firstLine="1701" w:end="0"/>
        <w:jc w:val="both"/>
        <w:rPr>
          <w:rFonts w:cs="Calibri"/>
          <w:b/>
          <w:color w:val="000000"/>
          <w:u w:val="single"/>
          <w:lang w:val="pt-BR"/>
        </w:rPr>
      </w:pPr>
      <w:r>
        <w:rPr>
          <w:rFonts w:cs="Calibri"/>
          <w:b/>
          <w:color w:val="000000"/>
          <w:u w:val="single"/>
          <w:lang w:val="pt-BR"/>
        </w:rPr>
      </w:r>
    </w:p>
    <w:p>
      <w:pPr>
        <w:pStyle w:val="Normal"/>
        <w:spacing w:lineRule="auto" w:line="300"/>
        <w:ind w:firstLine="1418" w:end="0"/>
        <w:jc w:val="both"/>
        <w:rPr/>
      </w:pPr>
      <w:r>
        <w:rPr>
          <w:rFonts w:cs="Calibri"/>
          <w:color w:val="000000"/>
          <w:lang w:val="pt-BR"/>
        </w:rPr>
        <w:t xml:space="preserve">A parte requerente é titular da </w:t>
      </w:r>
      <w:r>
        <w:rPr>
          <w:rFonts w:cs="Calibri"/>
          <w:b/>
          <w:bCs/>
          <w:color w:val="000000"/>
          <w:lang w:val="pt-BR"/>
        </w:rPr>
        <w:t>conta corrente nº 59905-0, agência 3739</w:t>
      </w:r>
      <w:r>
        <w:rPr>
          <w:rFonts w:cs="Calibri"/>
          <w:color w:val="000000"/>
          <w:lang w:val="pt-BR"/>
        </w:rPr>
        <w:t>, mantida junto ao banco requerido, por meio da qual possui acesso aos serviços bancários exclusivamente através de cartão de débito, utilizando a referida conta apenas para a realização de operações simples, tais como saques e pagamentos de compras na função débito, não fazendo uso de serviços adicionais ou diferenciados.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Ocorre que, ao proceder à análise minuciosa dos extratos bancários de sua conta corrente, a parte requerente constatou que, </w:t>
      </w:r>
      <w:r>
        <w:rPr>
          <w:rFonts w:cs="Calibri"/>
          <w:b/>
          <w:bCs/>
          <w:color w:val="000000"/>
          <w:lang w:val="pt-BR"/>
        </w:rPr>
        <w:t>no período imprescrito compreendido entre 15/03/2021 a 04/03/2026</w:t>
      </w:r>
      <w:r>
        <w:rPr>
          <w:rFonts w:cs="Calibri"/>
          <w:color w:val="000000"/>
          <w:lang w:val="pt-BR"/>
        </w:rPr>
        <w:t xml:space="preserve">, o banco requerido, de forma </w:t>
      </w:r>
      <w:r>
        <w:rPr>
          <w:rFonts w:cs="Calibri"/>
          <w:b/>
          <w:bCs/>
          <w:color w:val="000000"/>
          <w:lang w:val="pt-BR"/>
        </w:rPr>
        <w:t>totalmente indevida</w:t>
      </w:r>
      <w:r>
        <w:rPr>
          <w:rFonts w:cs="Calibri"/>
          <w:color w:val="000000"/>
          <w:lang w:val="pt-BR"/>
        </w:rPr>
        <w:t xml:space="preserve">, passou a lançar </w:t>
      </w:r>
      <w:r>
        <w:rPr>
          <w:rFonts w:cs="Calibri"/>
          <w:b/>
          <w:bCs/>
          <w:color w:val="000000"/>
          <w:lang w:val="pt-BR"/>
        </w:rPr>
        <w:t>descontos mensais reiterados</w:t>
      </w:r>
      <w:r>
        <w:rPr>
          <w:rFonts w:cs="Calibri"/>
          <w:color w:val="000000"/>
          <w:lang w:val="pt-BR"/>
        </w:rPr>
        <w:t xml:space="preserve">, intitulados </w:t>
      </w:r>
      <w:r>
        <w:rPr>
          <w:rFonts w:cs="Calibri"/>
          <w:b/>
          <w:bCs/>
          <w:color w:val="000000"/>
          <w:lang w:val="pt-BR"/>
        </w:rPr>
        <w:t>“Cesta Exclusive”</w:t>
      </w:r>
      <w:r>
        <w:rPr>
          <w:rFonts w:cs="Calibri"/>
          <w:color w:val="000000"/>
          <w:lang w:val="pt-BR"/>
        </w:rPr>
        <w:t xml:space="preserve">, conforme se depreende claramente dos </w:t>
      </w:r>
      <w:r>
        <w:rPr>
          <w:rFonts w:cs="Calibri"/>
          <w:b/>
          <w:bCs/>
          <w:color w:val="000000"/>
          <w:lang w:val="pt-BR"/>
        </w:rPr>
        <w:t>extratos bancários anexados aos autos</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Importa salientar, desde já, que a parte requerente </w:t>
      </w:r>
      <w:r>
        <w:rPr>
          <w:rFonts w:cs="Calibri"/>
          <w:b/>
          <w:bCs/>
          <w:color w:val="000000"/>
          <w:lang w:val="pt-BR"/>
        </w:rPr>
        <w:t>jamais contratou, autorizou ou anuiu</w:t>
      </w:r>
      <w:r>
        <w:rPr>
          <w:rFonts w:cs="Calibri"/>
          <w:color w:val="000000"/>
          <w:lang w:val="pt-BR"/>
        </w:rPr>
        <w:t xml:space="preserve">, de forma expressa ou tácita, com a contratação de </w:t>
      </w:r>
      <w:r>
        <w:rPr>
          <w:rFonts w:cs="Calibri"/>
          <w:b/>
          <w:bCs/>
          <w:color w:val="000000"/>
          <w:lang w:val="pt-BR"/>
        </w:rPr>
        <w:t>pacote de tarifas bancárias</w:t>
      </w:r>
      <w:r>
        <w:rPr>
          <w:rFonts w:cs="Calibri"/>
          <w:color w:val="000000"/>
          <w:lang w:val="pt-BR"/>
        </w:rPr>
        <w:t xml:space="preserve"> ou qualquer outro serviço que pudesse legitimar a incidência dos referidos encargos, inexistindo, portanto, </w:t>
      </w:r>
      <w:r>
        <w:rPr>
          <w:rFonts w:cs="Calibri"/>
          <w:b/>
          <w:bCs/>
          <w:color w:val="000000"/>
          <w:lang w:val="pt-BR"/>
        </w:rPr>
        <w:t>base contratual válida</w:t>
      </w:r>
      <w:r>
        <w:rPr>
          <w:rFonts w:cs="Calibri"/>
          <w:color w:val="000000"/>
          <w:lang w:val="pt-BR"/>
        </w:rPr>
        <w:t xml:space="preserve"> que ampare tais descontos.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Cumpre destacar que os débitos promovidos pelo banco requerido vêm causando à parte requerente </w:t>
      </w:r>
      <w:r>
        <w:rPr>
          <w:rFonts w:cs="Calibri"/>
          <w:b/>
          <w:bCs/>
          <w:color w:val="000000"/>
          <w:lang w:val="pt-BR"/>
        </w:rPr>
        <w:t>transtornos, aborrecimentos e prejuízos de ordem financeira</w:t>
      </w:r>
      <w:r>
        <w:rPr>
          <w:rFonts w:cs="Calibri"/>
          <w:color w:val="000000"/>
          <w:lang w:val="pt-BR"/>
        </w:rPr>
        <w:t xml:space="preserve">, uma vez que se tratam de cobranças </w:t>
      </w:r>
      <w:r>
        <w:rPr>
          <w:rFonts w:cs="Calibri"/>
          <w:b/>
          <w:bCs/>
          <w:color w:val="000000"/>
          <w:lang w:val="pt-BR"/>
        </w:rPr>
        <w:t>manifestamente indevidas</w:t>
      </w:r>
      <w:r>
        <w:rPr>
          <w:rFonts w:cs="Calibri"/>
          <w:color w:val="000000"/>
          <w:lang w:val="pt-BR"/>
        </w:rPr>
        <w:t xml:space="preserve">, revelando conduta </w:t>
      </w:r>
      <w:r>
        <w:rPr>
          <w:rFonts w:cs="Calibri"/>
          <w:b/>
          <w:bCs/>
          <w:color w:val="000000"/>
          <w:lang w:val="pt-BR"/>
        </w:rPr>
        <w:t>ilícita e abusiva</w:t>
      </w:r>
      <w:r>
        <w:rPr>
          <w:rFonts w:cs="Calibri"/>
          <w:color w:val="000000"/>
          <w:lang w:val="pt-BR"/>
        </w:rPr>
        <w:t xml:space="preserve">, em total descompasso com os deveres de informação, transparência e lealdade que devem nortear as relações de consumo, sobretudo diante da </w:t>
      </w:r>
      <w:r>
        <w:rPr>
          <w:rFonts w:cs="Calibri"/>
          <w:b/>
          <w:bCs/>
          <w:color w:val="000000"/>
          <w:lang w:val="pt-BR"/>
        </w:rPr>
        <w:t>ausência absoluta de autorização ou contratação</w:t>
      </w:r>
      <w:r>
        <w:rPr>
          <w:rFonts w:cs="Calibri"/>
          <w:color w:val="000000"/>
          <w:lang w:val="pt-BR"/>
        </w:rPr>
        <w:t xml:space="preserve"> por parte da consumidora.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Consoante demonstrado pelos extratos bancários referentes ao período de </w:t>
      </w:r>
      <w:r>
        <w:rPr>
          <w:rFonts w:cs="Calibri"/>
          <w:b/>
          <w:bCs/>
          <w:color w:val="000000"/>
          <w:lang w:val="pt-BR"/>
        </w:rPr>
        <w:t>15/03/2021 a 04/03/2026</w:t>
      </w:r>
      <w:r>
        <w:rPr>
          <w:rFonts w:cs="Calibri"/>
          <w:color w:val="000000"/>
          <w:lang w:val="pt-BR"/>
        </w:rPr>
        <w:t xml:space="preserve">, bem como pela planilha de cálculo acostada, o banco requerido procedeu, de forma contínua e injustificada, a descontos mensais na conta corrente da parte autora a título de </w:t>
      </w:r>
      <w:r>
        <w:rPr>
          <w:rFonts w:cs="Calibri"/>
          <w:b/>
          <w:bCs/>
          <w:color w:val="000000"/>
          <w:lang w:val="pt-BR"/>
        </w:rPr>
        <w:t>“Cesta Exclusive”</w:t>
      </w:r>
      <w:r>
        <w:rPr>
          <w:rFonts w:cs="Calibri"/>
          <w:color w:val="000000"/>
          <w:lang w:val="pt-BR"/>
        </w:rPr>
        <w:t xml:space="preserve">, os quais, </w:t>
      </w:r>
      <w:r>
        <w:rPr>
          <w:rFonts w:cs="Calibri"/>
          <w:b/>
          <w:bCs/>
          <w:color w:val="000000"/>
          <w:lang w:val="pt-BR"/>
        </w:rPr>
        <w:t>somente no período indicado</w:t>
      </w:r>
      <w:r>
        <w:rPr>
          <w:rFonts w:cs="Calibri"/>
          <w:color w:val="000000"/>
          <w:lang w:val="pt-BR"/>
        </w:rPr>
        <w:t xml:space="preserve">, perfazem o montante de </w:t>
      </w:r>
      <w:r>
        <w:rPr>
          <w:rFonts w:cs="Calibri"/>
          <w:b/>
          <w:bCs/>
          <w:color w:val="000000"/>
          <w:lang w:val="pt-BR"/>
        </w:rPr>
        <w:t>R$ 4.416,29 (quatro mil, quatrocentos e dezesseis reais e vinte e nove centavos)</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Tais débitos são inequivocamente indevidos, haja vista que a parte requerente nunca celebrou contrato, tampouco autorizou a cobrança de quaisquer serviços tarifados junto à instituição financeira requerida.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Diante desse contexto fático, mostra-se evidente o dever do banco requerido de reparar os danos causados, como forma de compensar os prejuízos experimentados pela parte requerente, bem como de coibir a perpetuação de práticas abusivas incompatíveis com o ordenamento jurídico pátrio.</w:t>
      </w:r>
    </w:p>
    <w:p>
      <w:pPr>
        <w:pStyle w:val="Normal"/>
        <w:spacing w:lineRule="auto" w:line="30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pPr>
      <w:r>
        <w:rPr>
          <w:rFonts w:cs="Calibri"/>
          <w:b/>
          <w:color w:val="000000"/>
          <w:lang w:val="pt-BR"/>
        </w:rPr>
        <w:t>3 – DO DIREITO</w:t>
      </w:r>
    </w:p>
    <w:p>
      <w:pPr>
        <w:pStyle w:val="Normal"/>
        <w:spacing w:lineRule="auto" w:line="300"/>
        <w:jc w:val="both"/>
        <w:rPr>
          <w:rFonts w:cs="Calibri"/>
          <w:b/>
          <w:color w:val="000000"/>
          <w:lang w:val="pt-BR" w:eastAsia="pt-BR"/>
        </w:rPr>
      </w:pPr>
      <w:r>
        <w:rPr>
          <w:rFonts w:cs="Calibri"/>
          <w:b/>
          <w:color w:val="000000"/>
          <w:lang w:val="pt-BR" w:eastAsia="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3.1 – DA CLARA RELAÇÃO DE CONSUMO – INCIDÊNCIA DO CÓDIGO DE DEFESA DO CONSUMIDOR</w:t>
      </w:r>
    </w:p>
    <w:p>
      <w:pPr>
        <w:pStyle w:val="Normal"/>
        <w:spacing w:lineRule="auto" w:line="300"/>
        <w:ind w:firstLine="1701" w:end="0"/>
        <w:jc w:val="both"/>
        <w:rPr>
          <w:rFonts w:cs="Calibri"/>
          <w:b/>
          <w:color w:val="000000"/>
          <w:lang w:val="pt-BR"/>
        </w:rPr>
      </w:pPr>
      <w:r>
        <w:rPr>
          <w:rFonts w:cs="Calibri"/>
          <w:b/>
          <w:color w:val="000000"/>
          <w:lang w:val="pt-BR"/>
        </w:rPr>
      </w:r>
    </w:p>
    <w:p>
      <w:pPr>
        <w:pStyle w:val="Normal"/>
        <w:spacing w:lineRule="auto" w:line="300"/>
        <w:ind w:firstLine="1418" w:end="0"/>
        <w:jc w:val="both"/>
        <w:rPr>
          <w:rFonts w:cs="Calibri"/>
          <w:color w:val="000000"/>
          <w:lang w:val="pt-BR"/>
        </w:rPr>
      </w:pPr>
      <w:r>
        <w:rPr>
          <w:rFonts w:cs="Calibri"/>
          <w:color w:val="000000"/>
          <w:lang w:val="pt-BR"/>
        </w:rPr>
        <w:t>A relação jurídica estabelecida entre a parte requerente e o banco requerido é inequivocamente de consumo, atraindo, de forma direta e incontestável, a incidência do Código de Defesa do Consumidor (Lei nº 8.078/90).</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Com efeito, o entendimento encontra-se pacificado no âmbito do Superior Tribunal de Justiça, nos termos da Súmula 297, segundo a qual:</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rPr>
        <w:t>STJ – Súmula 297 – O Código de Defesa do Consumidor é aplicável as instituições financeiras.</w:t>
      </w:r>
    </w:p>
    <w:p>
      <w:pPr>
        <w:pStyle w:val="Normal"/>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No caso em apreço, estão nitidamente presentes todos os elementos caracterizadores da relação de consumo, quais sejam: (i) a parte requerente, pessoa física que utiliza os serviços bancários como destinatária final, enquadrando-se no conceito legal de consumidora; (ii) o banco requerido, instituição financeira que presta serviços de natureza bancária no mercado de consumo; (iii) a prestação de serviços bancários, ainda que de forma básica; e (iv) a manifesta vulnerabilidade da parte requerente frente ao requerido, notadamente no que se refere ao controle, à informação e à imposição de tarifas.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Nesse sentido, dispõe expressamente o art. 2º do Código de Defesa do Consumidor:</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 xml:space="preserve">Art. 2° do CDC – </w:t>
      </w:r>
      <w:r>
        <w:rPr>
          <w:rFonts w:cs="Calibri"/>
          <w:b/>
          <w:color w:val="000000"/>
          <w:sz w:val="20"/>
          <w:szCs w:val="20"/>
          <w:lang w:val="pt-BR"/>
        </w:rPr>
        <w:t>Consumidor é toda pessoa física ou jurídica que adquire ou utilize produto ou serviço como destinatário final.</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Parágrafo único. Equipara-se a consumidor a coletividade de pessoas, ainda que indetermináveis, que haja intervindo nas relações de consumo. (Grifo nosso)</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Por sua vez, o art. 3º do CDC é cristalino ao definir como fornecedor aquele que presta serviços no mercado de consumo, incluindo expressamente os serviços de natureza bancária:</w:t>
      </w:r>
    </w:p>
    <w:p>
      <w:pPr>
        <w:pStyle w:val="Normal"/>
        <w:spacing w:lineRule="auto" w:line="300"/>
        <w:ind w:start="2268"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Pr>
          <w:rFonts w:cs="Calibri"/>
          <w:b/>
          <w:color w:val="000000"/>
          <w:sz w:val="20"/>
          <w:szCs w:val="20"/>
          <w:lang w:val="pt-BR"/>
        </w:rPr>
        <w:t>distribuição ou comercialização de produtos ou prestação de serviços</w:t>
      </w:r>
      <w:r>
        <w:rPr>
          <w:rFonts w:cs="Calibri"/>
          <w:color w:val="000000"/>
          <w:sz w:val="20"/>
          <w:szCs w:val="20"/>
          <w:lang w:val="pt-BR"/>
        </w:rPr>
        <w:t xml:space="preserve">. </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pPr>
      <w:r>
        <w:rPr>
          <w:rFonts w:cs="Calibri"/>
          <w:color w:val="000000"/>
          <w:sz w:val="20"/>
          <w:szCs w:val="20"/>
          <w:lang w:val="pt-BR"/>
        </w:rPr>
        <w:t>§1° Produto é qualquer bem, móvel ou imóvel, material ou imaterial.</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pPr>
        <w:pStyle w:val="Normal"/>
        <w:spacing w:lineRule="auto" w:line="300"/>
        <w:ind w:firstLine="1701"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Não há, portanto, qualquer dúvida quanto à </w:t>
      </w:r>
      <w:r>
        <w:rPr>
          <w:rFonts w:cs="Calibri"/>
          <w:b/>
          <w:bCs/>
          <w:color w:val="000000"/>
          <w:lang w:val="pt-BR"/>
        </w:rPr>
        <w:t>qualidade de fornecedora da instituição financeira requerida</w:t>
      </w:r>
      <w:r>
        <w:rPr>
          <w:rFonts w:cs="Calibri"/>
          <w:color w:val="000000"/>
          <w:lang w:val="pt-BR"/>
        </w:rPr>
        <w:t xml:space="preserve">, a qual se submete integralmente às normas protetivas do CDC, inclusive quanto aos deveres de </w:t>
      </w:r>
      <w:r>
        <w:rPr>
          <w:rFonts w:cs="Calibri"/>
          <w:b/>
          <w:bCs/>
          <w:color w:val="000000"/>
          <w:lang w:val="pt-BR"/>
        </w:rPr>
        <w:t>informação, transparência, boa-fé objetiva e vedação de práticas abusivas</w:t>
      </w:r>
      <w:r>
        <w:rPr>
          <w:rFonts w:cs="Calibri"/>
          <w:color w:val="000000"/>
          <w:lang w:val="pt-BR"/>
        </w:rPr>
        <w:t xml:space="preserve">, especialmente no que tange à </w:t>
      </w:r>
      <w:r>
        <w:rPr>
          <w:rFonts w:cs="Calibri"/>
          <w:b/>
          <w:bCs/>
          <w:color w:val="000000"/>
          <w:lang w:val="pt-BR"/>
        </w:rPr>
        <w:t>cobrança de tarifas não contratadas</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A doutrina igualmente corrobora tal entendimento, conforme leciona Rizzatto Nunes, ao afirmar que são fornecedores, para fins do CDC, todas as pessoas jurídicas que atuam no mercado de consumo, incluindo expressamente as instituições financeiras.</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pPr>
        <w:pStyle w:val="Normal"/>
        <w:spacing w:lineRule="auto" w:line="300"/>
        <w:ind w:firstLine="1701"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Diante disso, a empresa requerida, na condição de fornecedora de serviços bancários, </w:t>
      </w:r>
      <w:r>
        <w:rPr>
          <w:rFonts w:cs="Calibri"/>
          <w:b/>
          <w:bCs/>
          <w:color w:val="000000"/>
          <w:lang w:val="pt-BR"/>
        </w:rPr>
        <w:t>responde objetivamente pelas práticas abusivas e ilícitas que promoveu</w:t>
      </w:r>
      <w:r>
        <w:rPr>
          <w:rFonts w:cs="Calibri"/>
          <w:color w:val="000000"/>
          <w:lang w:val="pt-BR"/>
        </w:rPr>
        <w:t xml:space="preserve">, devendo suportar as consequências jurídicas decorrentes da </w:t>
      </w:r>
      <w:r>
        <w:rPr>
          <w:rFonts w:cs="Calibri"/>
          <w:b/>
          <w:bCs/>
          <w:color w:val="000000"/>
          <w:lang w:val="pt-BR"/>
        </w:rPr>
        <w:t>cobrança indevida de tarifas bancárias não autorizadas</w:t>
      </w:r>
      <w:r>
        <w:rPr>
          <w:rFonts w:cs="Calibri"/>
          <w:color w:val="000000"/>
          <w:lang w:val="pt-BR"/>
        </w:rPr>
        <w:t xml:space="preserve">, bem como ser compelida à </w:t>
      </w:r>
      <w:r>
        <w:rPr>
          <w:rFonts w:cs="Calibri"/>
          <w:b/>
          <w:bCs/>
          <w:color w:val="000000"/>
          <w:lang w:val="pt-BR"/>
        </w:rPr>
        <w:t>reparação integral dos danos causados à parte requerente</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Destarte, não subsiste qualquer óbice à aplicação do Código de Defesa do Consumidor ao caso concreto, uma vez que a controvérsia decorre de típica relação de consumo, devendo o litígio ser apreciado sob a ótica das normas protetivas consumeristas, em especial aquelas voltadas à proteção da parte hipossuficiente da relação.</w:t>
      </w:r>
    </w:p>
    <w:p>
      <w:pPr>
        <w:pStyle w:val="Normal"/>
        <w:spacing w:lineRule="auto" w:line="300"/>
        <w:ind w:firstLine="1418" w:end="0"/>
        <w:jc w:val="both"/>
        <w:rPr>
          <w:rFonts w:cs="Calibri"/>
          <w:b/>
          <w:color w:val="000000"/>
          <w:u w:val="single"/>
          <w:lang w:val="pt-BR"/>
        </w:rPr>
      </w:pPr>
      <w:r>
        <w:rPr>
          <w:rFonts w:cs="Calibri"/>
          <w:b/>
          <w:color w:val="000000"/>
          <w:u w:val="single"/>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3.2 - DA ILEGALIDADE DA COBRANÇA DE TARIFAS BANCÁRIAS SEM PRÉVIA E EXPRESSA AUTORIZAÇÃO DO CLIENTE</w:t>
      </w:r>
    </w:p>
    <w:p>
      <w:pPr>
        <w:pStyle w:val="Normal"/>
        <w:spacing w:lineRule="auto" w:line="300"/>
        <w:ind w:firstLine="1701" w:end="0"/>
        <w:jc w:val="both"/>
        <w:rPr>
          <w:rFonts w:cs="Calibri"/>
          <w:color w:val="000000"/>
          <w:lang w:val="pt-BR"/>
        </w:rPr>
      </w:pPr>
      <w:r>
        <w:rPr>
          <w:rFonts w:cs="Calibri"/>
          <w:color w:val="000000"/>
          <w:lang w:val="pt-BR"/>
        </w:rPr>
        <w:t xml:space="preserve"> </w:t>
      </w:r>
    </w:p>
    <w:p>
      <w:pPr>
        <w:pStyle w:val="Normal"/>
        <w:tabs>
          <w:tab w:val="clear" w:pos="720"/>
          <w:tab w:val="left" w:pos="1418" w:leader="none"/>
        </w:tabs>
        <w:spacing w:lineRule="auto" w:line="300"/>
        <w:ind w:firstLine="1418" w:end="0"/>
        <w:jc w:val="both"/>
        <w:rPr/>
      </w:pPr>
      <w:r>
        <w:rPr>
          <w:rFonts w:cs="Calibri"/>
          <w:color w:val="000000"/>
          <w:lang w:val="pt-BR"/>
        </w:rPr>
        <w:t xml:space="preserve">No caso em apreço, restou cabalmente demonstrado que o banco requerido passou a realizar </w:t>
      </w:r>
      <w:r>
        <w:rPr>
          <w:rFonts w:cs="Calibri"/>
          <w:b/>
          <w:bCs/>
          <w:color w:val="000000"/>
          <w:lang w:val="pt-BR"/>
        </w:rPr>
        <w:t>descontos mensais indevidos</w:t>
      </w:r>
      <w:r>
        <w:rPr>
          <w:rFonts w:cs="Calibri"/>
          <w:color w:val="000000"/>
          <w:lang w:val="pt-BR"/>
        </w:rPr>
        <w:t xml:space="preserve"> na conta corrente da parte requerente, sob as rubricas </w:t>
      </w:r>
      <w:r>
        <w:rPr>
          <w:rFonts w:cs="Calibri"/>
          <w:b/>
          <w:bCs/>
          <w:color w:val="000000"/>
          <w:lang w:val="pt-BR"/>
        </w:rPr>
        <w:t>“Cesta Exclusive”</w:t>
      </w:r>
      <w:r>
        <w:rPr>
          <w:rFonts w:cs="Calibri"/>
          <w:color w:val="000000"/>
          <w:lang w:val="pt-BR"/>
        </w:rPr>
        <w:t xml:space="preserve">, </w:t>
      </w:r>
      <w:r>
        <w:rPr>
          <w:rFonts w:cs="Calibri"/>
          <w:b/>
          <w:bCs/>
          <w:color w:val="000000"/>
          <w:lang w:val="pt-BR"/>
        </w:rPr>
        <w:t>sem qualquer contratação prévia, autorização expressa ou solicitação por parte da consumidora</w:t>
      </w:r>
      <w:r>
        <w:rPr>
          <w:rFonts w:cs="Calibri"/>
          <w:color w:val="000000"/>
          <w:lang w:val="pt-BR"/>
        </w:rPr>
        <w:t>.</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701" w:end="0"/>
        <w:jc w:val="both"/>
        <w:rPr>
          <w:rFonts w:cs="Calibri"/>
          <w:color w:val="000000"/>
          <w:lang w:val="pt-BR"/>
        </w:rPr>
      </w:pPr>
      <w:r>
        <w:rPr>
          <w:rFonts w:cs="Calibri"/>
          <w:color w:val="000000"/>
          <w:lang w:val="pt-BR"/>
        </w:rPr>
        <w:t>A parte requerente jamais anuiu com a contratação de pacote de serviços pagos, tampouco foi devidamente informada acerca da origem, composição, natureza ou utilidade das referidas tarifas, em flagrante violação ao dever de informação, consagrado no art. 6º, inciso III, do Código de Defesa do Consumidor, segundo o qual constitui direito básico do consumidor:</w:t>
      </w:r>
    </w:p>
    <w:p>
      <w:pPr>
        <w:pStyle w:val="Normal"/>
        <w:tabs>
          <w:tab w:val="clear" w:pos="720"/>
          <w:tab w:val="left" w:pos="1418" w:leader="none"/>
        </w:tabs>
        <w:spacing w:lineRule="auto" w:line="300"/>
        <w:ind w:firstLine="1701"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240"/>
        <w:ind w:start="2268" w:end="0"/>
        <w:jc w:val="both"/>
        <w:rPr>
          <w:rFonts w:cs="Calibri"/>
          <w:color w:val="000000"/>
          <w:sz w:val="20"/>
          <w:szCs w:val="20"/>
          <w:lang w:val="pt-BR"/>
        </w:rPr>
      </w:pPr>
      <w:r>
        <w:rPr>
          <w:rFonts w:cs="Calibri"/>
          <w:color w:val="000000"/>
          <w:sz w:val="20"/>
          <w:szCs w:val="20"/>
          <w:lang w:val="pt-BR"/>
        </w:rPr>
        <w:t>Art. 6. São direitos básicas do consumidor:</w:t>
      </w:r>
    </w:p>
    <w:p>
      <w:pPr>
        <w:pStyle w:val="Normal"/>
        <w:tabs>
          <w:tab w:val="clear" w:pos="720"/>
          <w:tab w:val="left" w:pos="1418" w:leader="none"/>
        </w:tabs>
        <w:spacing w:lineRule="auto" w:line="240"/>
        <w:ind w:start="2268" w:end="0"/>
        <w:jc w:val="both"/>
        <w:rPr>
          <w:rFonts w:cs="Calibri"/>
          <w:color w:val="000000"/>
          <w:sz w:val="20"/>
          <w:szCs w:val="20"/>
          <w:lang w:val="pt-BR"/>
        </w:rPr>
      </w:pPr>
      <w:r>
        <w:rPr>
          <w:rFonts w:cs="Calibri"/>
          <w:color w:val="000000"/>
          <w:sz w:val="20"/>
          <w:szCs w:val="20"/>
          <w:lang w:val="pt-BR"/>
        </w:rPr>
        <w:t xml:space="preserve">(...) </w:t>
      </w:r>
    </w:p>
    <w:p>
      <w:pPr>
        <w:pStyle w:val="Normal"/>
        <w:tabs>
          <w:tab w:val="clear" w:pos="720"/>
          <w:tab w:val="left" w:pos="1418" w:leader="none"/>
        </w:tabs>
        <w:spacing w:lineRule="auto" w:line="240"/>
        <w:ind w:start="2268" w:end="0"/>
        <w:jc w:val="both"/>
        <w:rPr/>
      </w:pPr>
      <w:r>
        <w:rPr>
          <w:rFonts w:cs="Calibri"/>
          <w:color w:val="000000"/>
          <w:sz w:val="20"/>
          <w:szCs w:val="20"/>
          <w:lang w:val="pt-BR"/>
        </w:rPr>
        <w:t>III – a informação adequada e clara sobre os diferentes produtos e serviços, com especificação correta de quantidade, características, composição, qualidade e preço, bem como sobre os riscos que apresentam;</w:t>
      </w:r>
    </w:p>
    <w:p>
      <w:pPr>
        <w:pStyle w:val="Normal"/>
        <w:tabs>
          <w:tab w:val="clear" w:pos="720"/>
          <w:tab w:val="left" w:pos="1418" w:leader="none"/>
        </w:tabs>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No entanto, o banco requerido </w:t>
      </w:r>
      <w:r>
        <w:rPr>
          <w:rFonts w:cs="Calibri"/>
          <w:b/>
          <w:bCs/>
          <w:color w:val="000000"/>
          <w:lang w:val="pt-BR"/>
        </w:rPr>
        <w:t>limitou-se a lançar os débitos diretamente no extrato bancário</w:t>
      </w:r>
      <w:r>
        <w:rPr>
          <w:rFonts w:cs="Calibri"/>
          <w:color w:val="000000"/>
          <w:lang w:val="pt-BR"/>
        </w:rPr>
        <w:t xml:space="preserve">, sem qualquer detalhamento ou comprovação de contratação, impedindo que a parte requerente tivesse ciência real do que estava sendo cobrado e por qual motivo, comportamento que configura </w:t>
      </w:r>
      <w:r>
        <w:rPr>
          <w:rFonts w:cs="Calibri"/>
          <w:b/>
          <w:bCs/>
          <w:color w:val="000000"/>
          <w:lang w:val="pt-BR"/>
        </w:rPr>
        <w:t>falha grave na prestação do serviço</w:t>
      </w:r>
      <w:r>
        <w:rPr>
          <w:rFonts w:cs="Calibri"/>
          <w:color w:val="000000"/>
          <w:lang w:val="pt-BR"/>
        </w:rPr>
        <w:t>.</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Importa destacar que a parte requerente </w:t>
      </w:r>
      <w:r>
        <w:rPr>
          <w:rFonts w:cs="Calibri"/>
          <w:b/>
          <w:bCs/>
          <w:color w:val="000000"/>
          <w:lang w:val="pt-BR"/>
        </w:rPr>
        <w:t>utiliza a conta corrente apenas para o recebimento de vencimentos e a realização de operações simples</w:t>
      </w:r>
      <w:r>
        <w:rPr>
          <w:rFonts w:cs="Calibri"/>
          <w:color w:val="000000"/>
          <w:lang w:val="pt-BR"/>
        </w:rPr>
        <w:t xml:space="preserve">, como saques e pagamentos na função débito, enquadrando-se perfeitamente no </w:t>
      </w:r>
      <w:r>
        <w:rPr>
          <w:rFonts w:cs="Calibri"/>
          <w:b/>
          <w:bCs/>
          <w:color w:val="000000"/>
          <w:lang w:val="pt-BR"/>
        </w:rPr>
        <w:t>rol de serviços bancários essenciais</w:t>
      </w:r>
      <w:r>
        <w:rPr>
          <w:rFonts w:cs="Calibri"/>
          <w:color w:val="000000"/>
          <w:lang w:val="pt-BR"/>
        </w:rPr>
        <w:t xml:space="preserve">, os quais </w:t>
      </w:r>
      <w:r>
        <w:rPr>
          <w:rFonts w:cs="Calibri"/>
          <w:b/>
          <w:bCs/>
          <w:color w:val="000000"/>
          <w:lang w:val="pt-BR"/>
        </w:rPr>
        <w:t>não podem ser objeto de cobrança</w:t>
      </w:r>
      <w:r>
        <w:rPr>
          <w:rFonts w:cs="Calibri"/>
          <w:color w:val="000000"/>
          <w:lang w:val="pt-BR"/>
        </w:rPr>
        <w:t xml:space="preserve">, nos termos da </w:t>
      </w:r>
      <w:r>
        <w:rPr>
          <w:rFonts w:cs="Calibri"/>
          <w:b/>
          <w:bCs/>
          <w:color w:val="000000"/>
          <w:lang w:val="pt-BR"/>
        </w:rPr>
        <w:t>Resolução nº 3.919/2010 do Banco Central do Brasil</w:t>
      </w:r>
      <w:r>
        <w:rPr>
          <w:rFonts w:cs="Calibri"/>
          <w:color w:val="000000"/>
          <w:lang w:val="pt-BR"/>
        </w:rPr>
        <w:t>.</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t>Com efeito, dispõe expressamente o art. 2º da Resolução nº 3.919/2010:</w:t>
      </w:r>
    </w:p>
    <w:p>
      <w:pPr>
        <w:pStyle w:val="Normal"/>
        <w:tabs>
          <w:tab w:val="clear" w:pos="720"/>
          <w:tab w:val="left" w:pos="1418" w:leader="none"/>
        </w:tabs>
        <w:spacing w:lineRule="auto" w:line="300"/>
        <w:ind w:firstLine="1418" w:start="720" w:end="0"/>
        <w:jc w:val="both"/>
        <w:rPr>
          <w:rFonts w:cs="Calibri"/>
          <w:color w:val="000000"/>
          <w:lang w:val="pt-BR"/>
        </w:rPr>
      </w:pPr>
      <w:r>
        <w:rPr>
          <w:rFonts w:cs="Calibri"/>
          <w:color w:val="000000"/>
          <w:lang w:val="pt-BR"/>
        </w:rPr>
        <w:t xml:space="preserve">   </w:t>
      </w:r>
    </w:p>
    <w:p>
      <w:pPr>
        <w:pStyle w:val="Normal"/>
        <w:spacing w:lineRule="auto" w:line="240"/>
        <w:ind w:start="2268" w:end="0"/>
        <w:jc w:val="both"/>
        <w:rPr/>
      </w:pPr>
      <w:r>
        <w:rPr>
          <w:rFonts w:cs="Calibri"/>
          <w:b/>
          <w:color w:val="000000"/>
          <w:sz w:val="20"/>
          <w:szCs w:val="20"/>
          <w:lang w:val="pt-BR"/>
        </w:rPr>
        <w:t xml:space="preserve">Art. 2º É vedada às instituições mencionadas no art. 1º a cobrança de tarifas pela prestação de serviços bancários essenciais a pessoas naturais, assim considerados aqueles relativos a: </w:t>
      </w:r>
    </w:p>
    <w:p>
      <w:pPr>
        <w:pStyle w:val="Default"/>
        <w:ind w:start="2268" w:end="0"/>
        <w:jc w:val="both"/>
        <w:rPr>
          <w:rFonts w:cs="Calibri"/>
          <w:b/>
          <w:color w:val="000000"/>
          <w:sz w:val="20"/>
          <w:szCs w:val="20"/>
          <w:lang w:val="pt-BR"/>
        </w:rPr>
      </w:pPr>
      <w:r>
        <w:rPr>
          <w:rFonts w:cs="Calibri"/>
          <w:b/>
          <w:color w:val="000000"/>
          <w:sz w:val="20"/>
          <w:szCs w:val="20"/>
          <w:lang w:val="pt-BR"/>
        </w:rPr>
      </w:r>
    </w:p>
    <w:p>
      <w:pPr>
        <w:pStyle w:val="Default"/>
        <w:ind w:start="2268" w:end="0"/>
        <w:jc w:val="both"/>
        <w:rPr>
          <w:b/>
          <w:sz w:val="20"/>
          <w:szCs w:val="20"/>
        </w:rPr>
      </w:pPr>
      <w:r>
        <w:rPr>
          <w:b/>
          <w:sz w:val="20"/>
          <w:szCs w:val="20"/>
        </w:rPr>
        <w:t xml:space="preserve">I - conta de depósitos à vista: </w:t>
      </w:r>
    </w:p>
    <w:p>
      <w:pPr>
        <w:pStyle w:val="Default"/>
        <w:ind w:start="2268" w:end="0"/>
        <w:jc w:val="both"/>
        <w:rPr>
          <w:sz w:val="20"/>
          <w:szCs w:val="20"/>
        </w:rPr>
      </w:pPr>
      <w:r>
        <w:rPr>
          <w:sz w:val="20"/>
          <w:szCs w:val="20"/>
        </w:rPr>
        <w:t xml:space="preserve">a) fornecimento de cartão com função débito; </w:t>
      </w:r>
    </w:p>
    <w:p>
      <w:pPr>
        <w:pStyle w:val="Default"/>
        <w:ind w:start="2268" w:end="0"/>
        <w:jc w:val="both"/>
        <w:rPr>
          <w:sz w:val="20"/>
          <w:szCs w:val="20"/>
        </w:rPr>
      </w:pPr>
      <w:r>
        <w:rPr>
          <w:sz w:val="20"/>
          <w:szCs w:val="20"/>
        </w:rPr>
        <w:t xml:space="preserve">b) fornecimento de segunda via do cartão referido na alínea "a", exceto nos casos de pedidos de reposição formulados pelo correntista decorrentes de perda, roubo, furto, danificação e outros motivos não imputáveis à instituição emitente; </w:t>
      </w:r>
    </w:p>
    <w:p>
      <w:pPr>
        <w:pStyle w:val="Default"/>
        <w:ind w:start="2268" w:end="0"/>
        <w:jc w:val="both"/>
        <w:rPr/>
      </w:pPr>
      <w:r>
        <w:rPr>
          <w:sz w:val="20"/>
          <w:szCs w:val="20"/>
        </w:rPr>
        <w:t xml:space="preserve">c) realização de até quatro saques, por mês, em guichê de caixa, inclusive por meio de cheque ou de cheque avulso, ou em terminal de autoatendimento; </w:t>
      </w:r>
    </w:p>
    <w:p>
      <w:pPr>
        <w:pStyle w:val="Default"/>
        <w:ind w:start="2268" w:end="0"/>
        <w:jc w:val="both"/>
        <w:rPr>
          <w:sz w:val="20"/>
          <w:szCs w:val="20"/>
        </w:rPr>
      </w:pPr>
      <w:r>
        <w:rPr>
          <w:sz w:val="20"/>
          <w:szCs w:val="20"/>
        </w:rPr>
        <w:t xml:space="preserve">d) realização de até duas transferências de recursos entre contas na própria instituição, por mês, em guichê de caixa, em terminal de autoatendimento e/ou pela internet; </w:t>
      </w:r>
    </w:p>
    <w:p>
      <w:pPr>
        <w:pStyle w:val="Default"/>
        <w:ind w:start="2268" w:end="0"/>
        <w:jc w:val="both"/>
        <w:rPr>
          <w:sz w:val="20"/>
          <w:szCs w:val="20"/>
        </w:rPr>
      </w:pPr>
      <w:r>
        <w:rPr>
          <w:sz w:val="20"/>
          <w:szCs w:val="20"/>
        </w:rPr>
        <w:t xml:space="preserve">e) fornecimento de até dois extratos, por mês, contendo a movimentação dos últimos trinta dias por meio de guichê de caixa e/ou de terminal de autoatendimento; </w:t>
      </w:r>
    </w:p>
    <w:p>
      <w:pPr>
        <w:pStyle w:val="Default"/>
        <w:ind w:start="2268" w:end="0"/>
        <w:jc w:val="both"/>
        <w:rPr>
          <w:sz w:val="20"/>
          <w:szCs w:val="20"/>
        </w:rPr>
      </w:pPr>
      <w:r>
        <w:rPr>
          <w:sz w:val="20"/>
          <w:szCs w:val="20"/>
        </w:rPr>
        <w:t xml:space="preserve">f) realização de consultas mediante utilização da internet; </w:t>
      </w:r>
    </w:p>
    <w:p>
      <w:pPr>
        <w:pStyle w:val="Default"/>
        <w:ind w:start="2268" w:end="0"/>
        <w:jc w:val="both"/>
        <w:rPr/>
      </w:pPr>
      <w:r>
        <w:rPr>
          <w:sz w:val="20"/>
          <w:szCs w:val="20"/>
        </w:rPr>
        <w:t xml:space="preserve">g) fornecimento do extrato de que trata o art. 19; </w:t>
      </w:r>
    </w:p>
    <w:p>
      <w:pPr>
        <w:pStyle w:val="Default"/>
        <w:ind w:start="2268" w:end="0"/>
        <w:jc w:val="both"/>
        <w:rPr>
          <w:sz w:val="20"/>
          <w:szCs w:val="20"/>
        </w:rPr>
      </w:pPr>
      <w:r>
        <w:rPr>
          <w:sz w:val="20"/>
          <w:szCs w:val="20"/>
        </w:rPr>
        <w:t xml:space="preserve">h) compensação de cheques; </w:t>
      </w:r>
    </w:p>
    <w:p>
      <w:pPr>
        <w:pStyle w:val="Default"/>
        <w:ind w:start="2268" w:end="0"/>
        <w:jc w:val="both"/>
        <w:rPr>
          <w:sz w:val="20"/>
          <w:szCs w:val="20"/>
        </w:rPr>
      </w:pPr>
      <w:r>
        <w:rPr>
          <w:sz w:val="20"/>
          <w:szCs w:val="20"/>
        </w:rPr>
        <w:t xml:space="preserve">i) fornecimento de até dez folhas de cheques por mês, desde que o correntista reúna os requisitos necessários à utilização de cheques, de acordo com a regulamentação em vigor e as condições pactuadas; e </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j) prestação de qualquer serviço por meios eletrônicos, no caso de contas cujos contratos prevejam utilizar exclusivamente meios eletrônicos; (grifo nosso)</w:t>
      </w:r>
    </w:p>
    <w:p>
      <w:pPr>
        <w:pStyle w:val="Normal"/>
        <w:tabs>
          <w:tab w:val="clear" w:pos="720"/>
          <w:tab w:val="left" w:pos="1418" w:leader="none"/>
        </w:tabs>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1418" w:leader="none"/>
        </w:tabs>
        <w:spacing w:lineRule="auto" w:line="300"/>
        <w:ind w:firstLine="1418" w:end="0"/>
        <w:jc w:val="both"/>
        <w:rPr/>
      </w:pPr>
      <w:r>
        <w:rPr>
          <w:rFonts w:cs="Calibri"/>
          <w:color w:val="000000"/>
          <w:lang w:val="pt-BR"/>
        </w:rPr>
        <w:t>Ainda mais relevante para o caso concreto é o comando do art. 8º da citada Resolução, que estabelece de forma categórica:</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240"/>
        <w:ind w:start="2268" w:end="0"/>
        <w:jc w:val="both"/>
        <w:rPr/>
      </w:pPr>
      <w:r>
        <w:rPr>
          <w:rFonts w:cs="Calibri"/>
          <w:b/>
          <w:bCs/>
          <w:color w:val="000000"/>
          <w:sz w:val="20"/>
          <w:szCs w:val="20"/>
          <w:lang w:val="pt-BR"/>
        </w:rPr>
        <w:t>Art. 8° A contratação de pacotes de serviços deve ser realizada mediante contrato específico.</w:t>
      </w:r>
      <w:r>
        <w:rPr>
          <w:rFonts w:cs="Calibri"/>
          <w:color w:val="000000"/>
          <w:sz w:val="20"/>
          <w:szCs w:val="20"/>
          <w:lang w:val="pt-BR"/>
        </w:rPr>
        <w:t xml:space="preserve"> (grifo nosso)</w:t>
      </w:r>
    </w:p>
    <w:p>
      <w:pPr>
        <w:pStyle w:val="Normal"/>
        <w:tabs>
          <w:tab w:val="clear" w:pos="720"/>
          <w:tab w:val="left" w:pos="1418" w:leader="none"/>
        </w:tabs>
        <w:spacing w:lineRule="auto" w:line="300"/>
        <w:ind w:firstLine="1418"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E tal requisito </w:t>
      </w:r>
      <w:r>
        <w:rPr>
          <w:rFonts w:cs="Calibri"/>
          <w:b/>
          <w:bCs/>
          <w:color w:val="000000"/>
          <w:lang w:val="pt-BR"/>
        </w:rPr>
        <w:t>não foi observado pelo banco requerido</w:t>
      </w:r>
      <w:r>
        <w:rPr>
          <w:rFonts w:cs="Calibri"/>
          <w:color w:val="000000"/>
          <w:lang w:val="pt-BR"/>
        </w:rPr>
        <w:t xml:space="preserve">, que </w:t>
      </w:r>
      <w:r>
        <w:rPr>
          <w:rFonts w:cs="Calibri"/>
          <w:b/>
          <w:bCs/>
          <w:color w:val="000000"/>
          <w:lang w:val="pt-BR"/>
        </w:rPr>
        <w:t>não apresentou qualquer contrato</w:t>
      </w:r>
      <w:r>
        <w:rPr>
          <w:rFonts w:cs="Calibri"/>
          <w:color w:val="000000"/>
          <w:lang w:val="pt-BR"/>
        </w:rPr>
        <w:t>, termo de adesão ou documento apto a demonstrar a aceitação da parte requerente quanto à cobrança das mencionadas tarifas.</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Ressalte-se, ainda, que o próprio normativo do Banco Central garante ao cliente o direito de </w:t>
      </w:r>
      <w:r>
        <w:rPr>
          <w:rFonts w:cs="Calibri"/>
          <w:b/>
          <w:bCs/>
          <w:color w:val="000000"/>
          <w:lang w:val="pt-BR"/>
        </w:rPr>
        <w:t>optar livremente</w:t>
      </w:r>
      <w:r>
        <w:rPr>
          <w:rFonts w:cs="Calibri"/>
          <w:color w:val="000000"/>
          <w:lang w:val="pt-BR"/>
        </w:rPr>
        <w:t xml:space="preserve"> entre: (i) a utilização de </w:t>
      </w:r>
      <w:r>
        <w:rPr>
          <w:rFonts w:cs="Calibri"/>
          <w:b/>
          <w:bCs/>
          <w:color w:val="000000"/>
          <w:lang w:val="pt-BR"/>
        </w:rPr>
        <w:t>serviços essenciais gratuitos</w:t>
      </w:r>
      <w:r>
        <w:rPr>
          <w:rFonts w:cs="Calibri"/>
          <w:color w:val="000000"/>
          <w:lang w:val="pt-BR"/>
        </w:rPr>
        <w:t xml:space="preserve">; ou (ii) a contratação expressa de </w:t>
      </w:r>
      <w:r>
        <w:rPr>
          <w:rFonts w:cs="Calibri"/>
          <w:b/>
          <w:bCs/>
          <w:color w:val="000000"/>
          <w:lang w:val="pt-BR"/>
        </w:rPr>
        <w:t>pacote de serviços pagos</w:t>
      </w:r>
      <w:r>
        <w:rPr>
          <w:rFonts w:cs="Calibri"/>
          <w:color w:val="000000"/>
          <w:lang w:val="pt-BR"/>
        </w:rPr>
        <w:t xml:space="preserve">, conforme previsto no art. 9º da Resolução nº 3.919/2010, jamais podendo a instituição financeira </w:t>
      </w:r>
      <w:r>
        <w:rPr>
          <w:rFonts w:cs="Calibri"/>
          <w:b/>
          <w:bCs/>
          <w:color w:val="000000"/>
          <w:lang w:val="pt-BR"/>
        </w:rPr>
        <w:t>impor unilateralmente</w:t>
      </w:r>
      <w:r>
        <w:rPr>
          <w:rFonts w:cs="Calibri"/>
          <w:color w:val="000000"/>
          <w:lang w:val="pt-BR"/>
        </w:rPr>
        <w:t xml:space="preserve"> a migração para pacote tarifado, como ocorreu no presente caso.</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O banco requerido, ao </w:t>
      </w:r>
      <w:r>
        <w:rPr>
          <w:rFonts w:cs="Calibri"/>
          <w:b/>
          <w:bCs/>
          <w:color w:val="000000"/>
          <w:lang w:val="pt-BR"/>
        </w:rPr>
        <w:t>alterar unilateralmente</w:t>
      </w:r>
      <w:r>
        <w:rPr>
          <w:rFonts w:cs="Calibri"/>
          <w:color w:val="000000"/>
          <w:lang w:val="pt-BR"/>
        </w:rPr>
        <w:t xml:space="preserve"> o regime da conta da parte requerente e iniciar cobranças mensais sem respaldo contratual, </w:t>
      </w:r>
      <w:r>
        <w:rPr>
          <w:rFonts w:cs="Calibri"/>
          <w:b/>
          <w:bCs/>
          <w:color w:val="000000"/>
          <w:lang w:val="pt-BR"/>
        </w:rPr>
        <w:t>violou frontalmente a regulamentação do BACEN</w:t>
      </w:r>
      <w:r>
        <w:rPr>
          <w:rFonts w:cs="Calibri"/>
          <w:color w:val="000000"/>
          <w:lang w:val="pt-BR"/>
        </w:rPr>
        <w:t xml:space="preserve">, o CDC e os princípios da </w:t>
      </w:r>
      <w:r>
        <w:rPr>
          <w:rFonts w:cs="Calibri"/>
          <w:b/>
          <w:bCs/>
          <w:color w:val="000000"/>
          <w:lang w:val="pt-BR"/>
        </w:rPr>
        <w:t>boa-fé objetiva, transparência e lealdade</w:t>
      </w:r>
      <w:r>
        <w:rPr>
          <w:rFonts w:cs="Calibri"/>
          <w:color w:val="000000"/>
          <w:lang w:val="pt-BR"/>
        </w:rPr>
        <w:t>, explorando a vulnerabilidade técnica e informacional da consumidora.</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A irregularidade torna-se ainda mais grave ao se constatar que o requerido </w:t>
      </w:r>
      <w:r>
        <w:rPr>
          <w:rFonts w:cs="Calibri"/>
          <w:b/>
          <w:bCs/>
          <w:color w:val="000000"/>
          <w:lang w:val="pt-BR"/>
        </w:rPr>
        <w:t>não discrimina quais serviços compõem</w:t>
      </w:r>
      <w:r>
        <w:rPr>
          <w:rFonts w:cs="Calibri"/>
          <w:color w:val="000000"/>
          <w:lang w:val="pt-BR"/>
        </w:rPr>
        <w:t xml:space="preserve"> as tarifas lançadas, limitando-se a registrar débitos genéricos no extrato bancário, o que gera </w:t>
      </w:r>
      <w:r>
        <w:rPr>
          <w:rFonts w:cs="Calibri"/>
          <w:b/>
          <w:bCs/>
          <w:color w:val="000000"/>
          <w:lang w:val="pt-BR"/>
        </w:rPr>
        <w:t>insegurança jurídica</w:t>
      </w:r>
      <w:r>
        <w:rPr>
          <w:rFonts w:cs="Calibri"/>
          <w:color w:val="000000"/>
          <w:lang w:val="pt-BR"/>
        </w:rPr>
        <w:t>, impede o controle do consumidor sobre suas finanças e potencializa práticas abusivas.</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color w:val="000000"/>
          <w:lang w:val="pt-BR"/>
        </w:rPr>
        <w:t xml:space="preserve">Nesse contexto, a responsabilidade do banco requerido é </w:t>
      </w:r>
      <w:r>
        <w:rPr>
          <w:rFonts w:cs="Calibri"/>
          <w:b/>
          <w:bCs/>
          <w:color w:val="000000"/>
          <w:lang w:val="pt-BR"/>
        </w:rPr>
        <w:t>objetiva</w:t>
      </w:r>
      <w:r>
        <w:rPr>
          <w:rFonts w:cs="Calibri"/>
          <w:color w:val="000000"/>
          <w:lang w:val="pt-BR"/>
        </w:rPr>
        <w:t xml:space="preserve">, nos termos do </w:t>
      </w:r>
      <w:r>
        <w:rPr>
          <w:rFonts w:cs="Calibri"/>
          <w:b/>
          <w:bCs/>
          <w:color w:val="000000"/>
          <w:lang w:val="pt-BR"/>
        </w:rPr>
        <w:t>art. 14 do Código de Defesa do Consumidor</w:t>
      </w:r>
      <w:r>
        <w:rPr>
          <w:rFonts w:cs="Calibri"/>
          <w:color w:val="000000"/>
          <w:lang w:val="pt-BR"/>
        </w:rPr>
        <w:t>, bastando a demonstração do ato ilícito, do dano e do nexo causal — todos amplamente comprovados nos autos.</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t>A doutrina é pacífica nesse sentido, conforme leciona Sílvio de Salvo Venosa:</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Normal"/>
        <w:tabs>
          <w:tab w:val="clear" w:pos="720"/>
          <w:tab w:val="left" w:pos="1418" w:leader="none"/>
        </w:tabs>
        <w:spacing w:lineRule="auto" w:line="300"/>
        <w:ind w:firstLine="2268" w:end="0"/>
        <w:jc w:val="both"/>
        <w:rPr/>
      </w:pPr>
      <w:r>
        <w:rPr>
          <w:rFonts w:cs="Calibri"/>
          <w:color w:val="000000"/>
          <w:lang w:val="pt-BR"/>
        </w:rPr>
        <w:t xml:space="preserve">Assim, é manifesta a </w:t>
      </w:r>
      <w:r>
        <w:rPr>
          <w:rFonts w:cs="Calibri"/>
          <w:b/>
          <w:bCs/>
          <w:color w:val="000000"/>
          <w:lang w:val="pt-BR"/>
        </w:rPr>
        <w:t>ilegalidade das cobranças da tarifa denominada de “Cesta Exclusive”</w:t>
      </w:r>
      <w:r>
        <w:rPr>
          <w:rFonts w:cs="Calibri"/>
          <w:color w:val="000000"/>
          <w:lang w:val="pt-BR"/>
        </w:rPr>
        <w:t xml:space="preserve">, uma vez que </w:t>
      </w:r>
      <w:r>
        <w:rPr>
          <w:rFonts w:cs="Calibri"/>
          <w:b/>
          <w:bCs/>
          <w:color w:val="000000"/>
          <w:lang w:val="pt-BR"/>
        </w:rPr>
        <w:t>jamais houve contratação válida, autorização expressa ou informação adequada</w:t>
      </w:r>
      <w:r>
        <w:rPr>
          <w:rFonts w:cs="Calibri"/>
          <w:color w:val="000000"/>
          <w:lang w:val="pt-BR"/>
        </w:rPr>
        <w:t>, configurando-se falha na prestação do serviço, prática abusiva e violação direta às normas do CDC e da Resolução nº 3.919/2010 do BACEN, impondo-se a responsabilização integral da instituição financeira pelos danos causados à parte requerente.</w:t>
      </w:r>
    </w:p>
    <w:p>
      <w:pPr>
        <w:pStyle w:val="Normal"/>
        <w:tabs>
          <w:tab w:val="clear" w:pos="720"/>
          <w:tab w:val="left" w:pos="1418" w:leader="none"/>
        </w:tabs>
        <w:spacing w:lineRule="auto" w:line="300"/>
        <w:ind w:firstLine="2268" w:end="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 xml:space="preserve">3.3 - DA RESPONSABILIDADE OBJETIVA DA INSTITUIÇÃO FINANCEIRA À LUZ DO CÓDIGO DE DEFESA DO CONSUMIDOR </w:t>
      </w:r>
    </w:p>
    <w:p>
      <w:pPr>
        <w:pStyle w:val="Normal"/>
        <w:spacing w:lineRule="auto" w:line="300"/>
        <w:ind w:firstLine="2835" w:end="0"/>
        <w:jc w:val="both"/>
        <w:rPr>
          <w:rFonts w:cs="Calibri"/>
          <w:b/>
          <w:color w:val="000000"/>
          <w:lang w:val="pt-BR"/>
        </w:rPr>
      </w:pPr>
      <w:r>
        <w:rPr>
          <w:rFonts w:cs="Calibri"/>
          <w:b/>
          <w:color w:val="000000"/>
          <w:lang w:val="pt-BR"/>
        </w:rPr>
      </w:r>
    </w:p>
    <w:p>
      <w:pPr>
        <w:pStyle w:val="Normal"/>
        <w:spacing w:lineRule="auto" w:line="300"/>
        <w:ind w:firstLine="1418" w:end="0"/>
        <w:jc w:val="both"/>
        <w:rPr>
          <w:rFonts w:cs="Calibri"/>
          <w:color w:val="000000"/>
          <w:lang w:val="pt-BR"/>
        </w:rPr>
      </w:pPr>
      <w:r>
        <w:rPr>
          <w:rFonts w:cs="Calibri"/>
          <w:color w:val="000000"/>
          <w:lang w:val="pt-BR"/>
        </w:rPr>
        <w:t>No presente caso, resta plenamente configurada a responsabilidade objetiva do banco requerido, na condição de fornecedor e prestador de serviços bancários, nos exatos termos do art. 14 do Código de Defesa do Consumidor.</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Dispõe o referido dispositivo legal:</w:t>
      </w:r>
    </w:p>
    <w:p>
      <w:pPr>
        <w:pStyle w:val="Normal"/>
        <w:spacing w:lineRule="auto" w:line="300"/>
        <w:ind w:firstLine="1418" w:end="0"/>
        <w:jc w:val="both"/>
        <w:rPr>
          <w:rFonts w:cs="Calibri"/>
          <w:b/>
          <w:bCs/>
          <w:color w:val="000000"/>
          <w:lang w:val="pt-BR"/>
        </w:rPr>
      </w:pPr>
      <w:r>
        <w:rPr>
          <w:rFonts w:cs="Calibri"/>
          <w:b/>
          <w:bCs/>
          <w:color w:val="000000"/>
          <w:lang w:val="pt-BR"/>
        </w:rPr>
      </w:r>
    </w:p>
    <w:p>
      <w:pPr>
        <w:pStyle w:val="Normal"/>
        <w:spacing w:lineRule="auto" w:line="240"/>
        <w:ind w:start="2268" w:end="0"/>
        <w:jc w:val="both"/>
        <w:rPr/>
      </w:pPr>
      <w:r>
        <w:rPr>
          <w:rFonts w:cs="Calibri"/>
          <w:color w:val="000000"/>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 </w:t>
      </w:r>
    </w:p>
    <w:p>
      <w:pPr>
        <w:pStyle w:val="Normal"/>
        <w:spacing w:lineRule="auto" w:line="300"/>
        <w:ind w:firstLine="1701"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Nos termos do §1º do mesmo artigo, considera-se </w:t>
      </w:r>
      <w:r>
        <w:rPr>
          <w:rFonts w:cs="Calibri"/>
          <w:b/>
          <w:bCs/>
          <w:color w:val="000000"/>
          <w:lang w:val="pt-BR"/>
        </w:rPr>
        <w:t>defeituoso o serviço que não oferece ao consumidor a segurança e a previsibilidade razoavelmente esperadas</w:t>
      </w:r>
      <w:r>
        <w:rPr>
          <w:rFonts w:cs="Calibri"/>
          <w:color w:val="000000"/>
          <w:lang w:val="pt-BR"/>
        </w:rPr>
        <w:t xml:space="preserve">, levando-se em conta, dentre outros fatores, </w:t>
      </w:r>
      <w:r>
        <w:rPr>
          <w:rFonts w:cs="Calibri"/>
          <w:b/>
          <w:bCs/>
          <w:color w:val="000000"/>
          <w:lang w:val="pt-BR"/>
        </w:rPr>
        <w:t>o modo de seu fornecimento</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É exatamente essa a situação verificada nos autos. O banco requerido </w:t>
      </w:r>
      <w:r>
        <w:rPr>
          <w:rFonts w:cs="Calibri"/>
          <w:b/>
          <w:bCs/>
          <w:color w:val="000000"/>
          <w:lang w:val="pt-BR"/>
        </w:rPr>
        <w:t>lançou, de forma unilateral e reiterada</w:t>
      </w:r>
      <w:r>
        <w:rPr>
          <w:rFonts w:cs="Calibri"/>
          <w:color w:val="000000"/>
          <w:lang w:val="pt-BR"/>
        </w:rPr>
        <w:t xml:space="preserve">, débitos na conta corrente da parte requerente, a título de </w:t>
      </w:r>
      <w:r>
        <w:rPr>
          <w:rFonts w:cs="Calibri"/>
          <w:b/>
          <w:bCs/>
          <w:color w:val="000000"/>
          <w:lang w:val="pt-BR"/>
        </w:rPr>
        <w:t>“Cesta Exclusive”</w:t>
      </w:r>
      <w:r>
        <w:rPr>
          <w:rFonts w:cs="Calibri"/>
          <w:color w:val="000000"/>
          <w:lang w:val="pt-BR"/>
        </w:rPr>
        <w:t xml:space="preserve">, </w:t>
      </w:r>
      <w:r>
        <w:rPr>
          <w:rFonts w:cs="Calibri"/>
          <w:b/>
          <w:bCs/>
          <w:color w:val="000000"/>
          <w:lang w:val="pt-BR"/>
        </w:rPr>
        <w:t>sem qualquer contratação válida, autorização expressa ou informação prévia e adequada</w:t>
      </w:r>
      <w:r>
        <w:rPr>
          <w:rFonts w:cs="Calibri"/>
          <w:color w:val="000000"/>
          <w:lang w:val="pt-BR"/>
        </w:rPr>
        <w:t xml:space="preserve">, circunstância que caracteriza </w:t>
      </w:r>
      <w:r>
        <w:rPr>
          <w:rFonts w:cs="Calibri"/>
          <w:b/>
          <w:bCs/>
          <w:color w:val="000000"/>
          <w:lang w:val="pt-BR"/>
        </w:rPr>
        <w:t>inequívoca falha na prestação do serviço</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A irregularidade da conduta não reside apenas na cobrança indevida, mas também na </w:t>
      </w:r>
      <w:r>
        <w:rPr>
          <w:rFonts w:cs="Calibri"/>
          <w:b/>
          <w:bCs/>
          <w:color w:val="000000"/>
          <w:lang w:val="pt-BR"/>
        </w:rPr>
        <w:t>total ausência de transparência</w:t>
      </w:r>
      <w:r>
        <w:rPr>
          <w:rFonts w:cs="Calibri"/>
          <w:color w:val="000000"/>
          <w:lang w:val="pt-BR"/>
        </w:rPr>
        <w:t xml:space="preserve">, uma vez que a instituição financeira </w:t>
      </w:r>
      <w:r>
        <w:rPr>
          <w:rFonts w:cs="Calibri"/>
          <w:b/>
          <w:bCs/>
          <w:color w:val="000000"/>
          <w:lang w:val="pt-BR"/>
        </w:rPr>
        <w:t>não informou à consumidora a natureza, composição ou justificativa das tarifas descontadas</w:t>
      </w:r>
      <w:r>
        <w:rPr>
          <w:rFonts w:cs="Calibri"/>
          <w:color w:val="000000"/>
          <w:lang w:val="pt-BR"/>
        </w:rPr>
        <w:t xml:space="preserve">, esvaziando seu direito à informação e gerando </w:t>
      </w:r>
      <w:r>
        <w:rPr>
          <w:rFonts w:cs="Calibri"/>
          <w:b/>
          <w:bCs/>
          <w:color w:val="000000"/>
          <w:lang w:val="pt-BR"/>
        </w:rPr>
        <w:t>insegurança jurídica e prejuízo financeiro</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Em hipóteses como a dos autos, a legislação consumerista </w:t>
      </w:r>
      <w:r>
        <w:rPr>
          <w:rFonts w:cs="Calibri"/>
          <w:b/>
          <w:bCs/>
          <w:color w:val="000000"/>
          <w:lang w:val="pt-BR"/>
        </w:rPr>
        <w:t>dispensa a comprovação de culpa</w:t>
      </w:r>
      <w:r>
        <w:rPr>
          <w:rFonts w:cs="Calibri"/>
          <w:color w:val="000000"/>
          <w:lang w:val="pt-BR"/>
        </w:rPr>
        <w:t xml:space="preserve">, bastando a demonstração: (i) da </w:t>
      </w:r>
      <w:r>
        <w:rPr>
          <w:rFonts w:cs="Calibri"/>
          <w:b/>
          <w:bCs/>
          <w:color w:val="000000"/>
          <w:lang w:val="pt-BR"/>
        </w:rPr>
        <w:t>conduta ilícita</w:t>
      </w:r>
      <w:r>
        <w:rPr>
          <w:rFonts w:cs="Calibri"/>
          <w:color w:val="000000"/>
          <w:lang w:val="pt-BR"/>
        </w:rPr>
        <w:t xml:space="preserve"> (cobrança de tarifas não contratadas); (ii) do </w:t>
      </w:r>
      <w:r>
        <w:rPr>
          <w:rFonts w:cs="Calibri"/>
          <w:b/>
          <w:bCs/>
          <w:color w:val="000000"/>
          <w:lang w:val="pt-BR"/>
        </w:rPr>
        <w:t>dano</w:t>
      </w:r>
      <w:r>
        <w:rPr>
          <w:rFonts w:cs="Calibri"/>
          <w:color w:val="000000"/>
          <w:lang w:val="pt-BR"/>
        </w:rPr>
        <w:t xml:space="preserve"> (descontos indevidos na conta corrente); e (iii) do </w:t>
      </w:r>
      <w:r>
        <w:rPr>
          <w:rFonts w:cs="Calibri"/>
          <w:b/>
          <w:bCs/>
          <w:color w:val="000000"/>
          <w:lang w:val="pt-BR"/>
        </w:rPr>
        <w:t>nexo causal</w:t>
      </w:r>
      <w:r>
        <w:rPr>
          <w:rFonts w:cs="Calibri"/>
          <w:color w:val="000000"/>
          <w:lang w:val="pt-BR"/>
        </w:rPr>
        <w:t xml:space="preserve"> entre ambos, </w:t>
      </w:r>
    </w:p>
    <w:p>
      <w:pPr>
        <w:pStyle w:val="Normal"/>
        <w:spacing w:lineRule="auto" w:line="300"/>
        <w:ind w:start="720"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 </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Neste sentido, vejamos o que ensina o Mestre SÍLVIO DE SALVO VENOSA em sua obra sobre responsabilidade civil:</w:t>
      </w:r>
    </w:p>
    <w:p>
      <w:pPr>
        <w:pStyle w:val="Normal"/>
        <w:spacing w:lineRule="auto" w:line="300"/>
        <w:ind w:firstLine="1701" w:end="0"/>
        <w:rPr>
          <w:rFonts w:cs="Calibri"/>
          <w:color w:val="000000"/>
          <w:lang w:val="pt-BR"/>
        </w:rPr>
      </w:pPr>
      <w:r>
        <w:rPr>
          <w:rFonts w:cs="Calibri"/>
          <w:color w:val="000000"/>
          <w:lang w:val="pt-BR"/>
        </w:rPr>
        <w:t xml:space="preserve"> </w:t>
      </w:r>
    </w:p>
    <w:p>
      <w:pPr>
        <w:pStyle w:val="Normal"/>
        <w:spacing w:lineRule="auto" w:line="240"/>
        <w:ind w:start="2268" w:end="0"/>
        <w:jc w:val="both"/>
        <w:rPr/>
      </w:pPr>
      <w:r>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pPr>
        <w:pStyle w:val="Normal"/>
        <w:spacing w:lineRule="auto" w:line="300"/>
        <w:rPr>
          <w:rFonts w:cs="Calibri"/>
          <w:color w:val="000000"/>
          <w:lang w:val="pt-BR"/>
        </w:rPr>
      </w:pPr>
      <w:r>
        <w:rPr>
          <w:rFonts w:cs="Calibri"/>
          <w:color w:val="000000"/>
          <w:sz w:val="20"/>
          <w:szCs w:val="20"/>
          <w:lang w:val="pt-BR"/>
        </w:rPr>
        <w:t xml:space="preserve"> </w:t>
      </w:r>
    </w:p>
    <w:p>
      <w:pPr>
        <w:pStyle w:val="Normal"/>
        <w:spacing w:lineRule="auto" w:line="300"/>
        <w:ind w:firstLine="1418" w:end="0"/>
        <w:jc w:val="both"/>
        <w:rPr>
          <w:rFonts w:cs="Calibri"/>
          <w:color w:val="000000"/>
          <w:shd w:fill="FFFFFF" w:val="clear"/>
          <w:lang w:val="pt-BR"/>
        </w:rPr>
      </w:pPr>
      <w:r>
        <w:rPr>
          <w:rFonts w:cs="Calibri"/>
          <w:color w:val="000000"/>
          <w:shd w:fill="FFFFFF" w:val="clear"/>
          <w:lang w:val="pt-BR"/>
        </w:rPr>
        <w:t>Excelência, há de ser ressaltado a vontade prioritária da parte requerente em tentar resolver o impasse de forma amigável, sem a necessidade de movimentação da máquina judiciária, vontade essa que não veio a se concretizar por descaso do requerido.</w:t>
      </w:r>
    </w:p>
    <w:p>
      <w:pPr>
        <w:pStyle w:val="Normal"/>
        <w:spacing w:lineRule="auto" w:line="300"/>
        <w:ind w:firstLine="1418" w:end="0"/>
        <w:jc w:val="both"/>
        <w:rPr>
          <w:rFonts w:cs="Calibri"/>
          <w:color w:val="000000"/>
          <w:shd w:fill="FFFFFF" w:val="clear"/>
          <w:lang w:val="pt-BR"/>
        </w:rPr>
      </w:pPr>
      <w:r>
        <w:rPr>
          <w:rFonts w:cs="Calibri"/>
          <w:color w:val="000000"/>
          <w:shd w:fill="FFFFFF" w:val="clear"/>
          <w:lang w:val="pt-BR"/>
        </w:rPr>
      </w:r>
    </w:p>
    <w:p>
      <w:pPr>
        <w:pStyle w:val="Normal"/>
        <w:spacing w:lineRule="auto" w:line="300"/>
        <w:ind w:firstLine="1418" w:end="0"/>
        <w:jc w:val="both"/>
        <w:rPr/>
      </w:pPr>
      <w:r>
        <w:rPr>
          <w:rFonts w:cs="Calibri"/>
          <w:color w:val="000000"/>
          <w:shd w:fill="FFFFFF" w:val="clear"/>
          <w:lang w:val="pt-BR"/>
        </w:rPr>
        <w:t>Nesse entendimento, a conduta do requerido merece ser totalmente repreendida!</w:t>
      </w:r>
    </w:p>
    <w:p>
      <w:pPr>
        <w:pStyle w:val="Normal"/>
        <w:spacing w:lineRule="auto" w:line="300"/>
        <w:ind w:firstLine="1418" w:end="0"/>
        <w:jc w:val="both"/>
        <w:rPr>
          <w:rFonts w:cs="Calibri"/>
          <w:color w:val="000000"/>
          <w:shd w:fill="FFFFFF" w:val="clear"/>
          <w:lang w:val="pt-BR"/>
        </w:rPr>
      </w:pPr>
      <w:r>
        <w:rPr>
          <w:rFonts w:cs="Calibri"/>
          <w:color w:val="000000"/>
          <w:shd w:fill="FFFFFF" w:val="clear"/>
          <w:lang w:val="pt-BR"/>
        </w:rPr>
      </w:r>
    </w:p>
    <w:p>
      <w:pPr>
        <w:pStyle w:val="Normal"/>
        <w:spacing w:lineRule="auto" w:line="300"/>
        <w:ind w:firstLine="1418" w:end="0"/>
        <w:jc w:val="both"/>
        <w:rPr>
          <w:rFonts w:cs="Calibri"/>
          <w:b/>
          <w:color w:val="000000"/>
          <w:lang w:val="pt-BR"/>
        </w:rPr>
      </w:pPr>
      <w:r>
        <w:rPr>
          <w:rFonts w:cs="Calibri"/>
          <w:color w:val="000000"/>
          <w:lang w:val="pt-BR"/>
        </w:rPr>
        <w:t xml:space="preserve">O ato ilícito está consubstanciado no procedimento desidioso da requerida, pois, sem autorização da parte requerente lançou débitos indevidos em sua conta corrente referente a tarifa bancária denominada de </w:t>
      </w:r>
      <w:r>
        <w:rPr>
          <w:rFonts w:cs="Calibri"/>
          <w:b/>
          <w:bCs/>
          <w:color w:val="000000"/>
          <w:lang w:val="pt-BR"/>
        </w:rPr>
        <w:t>“Cesta Exclusive”</w:t>
      </w:r>
      <w:r>
        <w:rPr>
          <w:rFonts w:cs="Calibri"/>
          <w:b/>
          <w:color w:val="000000"/>
          <w:lang w:val="pt-BR"/>
        </w:rPr>
        <w:t xml:space="preserve">, </w:t>
      </w:r>
      <w:r>
        <w:rPr>
          <w:rFonts w:cs="Calibri"/>
          <w:color w:val="000000"/>
          <w:lang w:val="pt-BR"/>
        </w:rPr>
        <w:t xml:space="preserve">durante o período de </w:t>
      </w:r>
      <w:r>
        <w:rPr>
          <w:rFonts w:cs="Calibri"/>
          <w:b/>
          <w:bCs/>
          <w:color w:val="000000"/>
          <w:lang w:val="pt-BR"/>
        </w:rPr>
        <w:t>15/03/2021 a 04/03/2026</w:t>
      </w:r>
      <w:r>
        <w:rPr>
          <w:rFonts w:cs="Calibri"/>
          <w:color w:val="000000"/>
          <w:lang w:val="pt-BR"/>
        </w:rPr>
        <w:t>, configurando, portanto, erro na prestação do serviço, ensejando, conforme dispõe o art. 14 da Lei n° 8.078/90 (CDC) e a teor dos arts. 186 e 927 do CC a responsabilidade objetiva da requerida pela reparação do dano causado ao consumidor.</w:t>
      </w:r>
    </w:p>
    <w:p>
      <w:pPr>
        <w:pStyle w:val="Normal"/>
        <w:tabs>
          <w:tab w:val="clear" w:pos="720"/>
          <w:tab w:val="left" w:pos="1418" w:leader="none"/>
        </w:tabs>
        <w:spacing w:lineRule="auto" w:line="300"/>
        <w:ind w:firstLine="2268" w:end="0"/>
        <w:jc w:val="both"/>
        <w:rPr>
          <w:rFonts w:cs="Calibri"/>
          <w:b/>
          <w:color w:val="000000"/>
          <w:lang w:val="pt-BR"/>
        </w:rPr>
      </w:pPr>
      <w:r>
        <w:rPr>
          <w:rFonts w:cs="Calibri"/>
          <w:b/>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3.4 - DA VIOLAÇÃO AS MEDIDAS DE TRANSPARÊNCIA NA CONTRATAÇÃO E DIVULGAÇÃO DE PACOTES DE SERVIÇOS</w:t>
      </w:r>
    </w:p>
    <w:p>
      <w:pPr>
        <w:pStyle w:val="Normal"/>
        <w:tabs>
          <w:tab w:val="clear" w:pos="720"/>
          <w:tab w:val="left" w:pos="1418" w:leader="none"/>
        </w:tabs>
        <w:spacing w:lineRule="auto" w:line="300"/>
        <w:ind w:firstLine="2268" w:end="0"/>
        <w:jc w:val="both"/>
        <w:rPr>
          <w:rFonts w:cs="Calibri"/>
          <w:b/>
          <w:color w:val="000000"/>
          <w:lang w:val="pt-BR"/>
        </w:rPr>
      </w:pPr>
      <w:r>
        <w:rPr>
          <w:rFonts w:cs="Calibri"/>
          <w:b/>
          <w:color w:val="000000"/>
          <w:lang w:val="pt-BR"/>
        </w:rPr>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t>Insofismável que um dos problemas recorrentes é a cobrança de pacotes de manutenção de conta corrente. Antes das regras do BACEN, as instituições bancárias expandiram o rol de tarifas e usaram nomenclaturas diferente, o que dificultava a comparação de preços pelo consumidor.</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color w:val="000000"/>
          <w:lang w:val="pt-BR"/>
        </w:rPr>
        <w:t>Do ponto de vista regulatório, as Resoluções do Bacen trouxeram mais clareza aos consumidores na tentativa de brecar as inúmeras infrações cometidas pelas instituições bancárias em face de seus inúmeros clientes.</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t>Apesar de inúmeras regras determinadas pelo Banco Central, a maioria dos bancos continuam a enganar seus clientes, ao não apresentar a transparência e contratação de seus respectivos serviços seguindo corretamente as normas.</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pPr>
      <w:r>
        <w:rPr>
          <w:rFonts w:cs="Calibri"/>
          <w:i/>
          <w:color w:val="000000"/>
          <w:lang w:val="pt-BR"/>
        </w:rPr>
        <w:t xml:space="preserve">In casu, </w:t>
      </w:r>
      <w:r>
        <w:rPr>
          <w:rFonts w:cs="Calibri"/>
          <w:color w:val="000000"/>
          <w:lang w:val="pt-BR"/>
        </w:rPr>
        <w:t>o banco requerido omite informações de extrema relevância à requerente, uma vez que não esclarecem de forma clara e precisa os serviços relacionados à sua conta corrente. Não há qualquer especificação expressa do que de fato a parte requerente contratou ou o que está sendo cobrada.</w:t>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s>
        <w:spacing w:lineRule="auto" w:line="300"/>
        <w:ind w:firstLine="1418" w:end="0"/>
        <w:jc w:val="both"/>
        <w:rPr>
          <w:rFonts w:cs="Calibri"/>
          <w:color w:val="000000"/>
          <w:lang w:val="pt-BR"/>
        </w:rPr>
      </w:pPr>
      <w:r>
        <w:rPr>
          <w:rFonts w:cs="Calibri"/>
          <w:color w:val="000000"/>
          <w:lang w:val="pt-BR"/>
        </w:rPr>
        <w:t>A Resolução n° 4.196/2013 aclara totalmente essa omissão do banco requerido em seu art. 1º e Parágrafo Único, veja-se:</w:t>
      </w:r>
    </w:p>
    <w:p>
      <w:pPr>
        <w:pStyle w:val="Default"/>
        <w:spacing w:lineRule="auto" w:line="300"/>
        <w:ind w:firstLine="1418" w:end="0"/>
        <w:rPr>
          <w:rFonts w:cs="Calibri"/>
          <w:color w:val="000000"/>
          <w:sz w:val="22"/>
          <w:szCs w:val="22"/>
          <w:lang w:val="pt-BR"/>
        </w:rPr>
      </w:pPr>
      <w:r>
        <w:rPr>
          <w:rFonts w:cs="Calibri"/>
          <w:color w:val="000000"/>
          <w:sz w:val="22"/>
          <w:szCs w:val="22"/>
          <w:lang w:val="pt-BR"/>
        </w:rPr>
      </w:r>
    </w:p>
    <w:p>
      <w:pPr>
        <w:pStyle w:val="Default"/>
        <w:ind w:start="2268" w:end="0"/>
        <w:jc w:val="both"/>
        <w:rPr/>
      </w:pPr>
      <w:r>
        <w:rPr>
          <w:sz w:val="20"/>
          <w:szCs w:val="20"/>
        </w:rPr>
        <w:t>Art. 1º As instituições financeiras devem esclarecer ao cliente pessoa natural, por ocasião da contratação de serviços relacionados às suas contas de depósitos, sobre a faculdade de optar, sem a necessidade de adesão ou contratação específica de pacote de serviço, pela utilização de serviços e pagamento de tarifas individualizadas, além daqueles serviços gratuitos previstos na regulamentação vigente.</w:t>
      </w:r>
    </w:p>
    <w:p>
      <w:pPr>
        <w:pStyle w:val="Default"/>
        <w:ind w:start="2268" w:end="0"/>
        <w:jc w:val="both"/>
        <w:rPr>
          <w:sz w:val="20"/>
          <w:szCs w:val="20"/>
        </w:rPr>
      </w:pPr>
      <w:r>
        <w:rPr>
          <w:sz w:val="20"/>
          <w:szCs w:val="20"/>
        </w:rPr>
      </w:r>
    </w:p>
    <w:p>
      <w:pPr>
        <w:pStyle w:val="Normal"/>
        <w:tabs>
          <w:tab w:val="clear" w:pos="720"/>
          <w:tab w:val="left" w:pos="1418" w:leader="none"/>
        </w:tabs>
        <w:spacing w:lineRule="auto" w:line="240"/>
        <w:ind w:start="2268" w:end="0"/>
        <w:jc w:val="both"/>
        <w:rPr/>
      </w:pPr>
      <w:r>
        <w:rPr>
          <w:rFonts w:cs="Calibri"/>
          <w:color w:val="000000"/>
          <w:sz w:val="20"/>
          <w:szCs w:val="20"/>
          <w:lang w:val="pt-BR"/>
        </w:rPr>
        <w:t>Parágrafo único</w:t>
      </w:r>
      <w:r>
        <w:rPr>
          <w:rFonts w:cs="Calibri"/>
          <w:b/>
          <w:color w:val="000000"/>
          <w:sz w:val="20"/>
          <w:szCs w:val="20"/>
          <w:lang w:val="pt-BR"/>
        </w:rPr>
        <w:t>.</w:t>
      </w:r>
      <w:r>
        <w:rPr>
          <w:rFonts w:cs="Calibri"/>
          <w:color w:val="000000"/>
          <w:sz w:val="20"/>
          <w:szCs w:val="20"/>
          <w:lang w:val="pt-BR"/>
        </w:rPr>
        <w:t xml:space="preserve"> A opção pela utilização de serviços e tarifas individualizados ou por pacotes oferecidos pela instituição deve constar, de forma destacada, do contrato de abertura de conta de depósitos.  </w:t>
      </w:r>
    </w:p>
    <w:p>
      <w:pPr>
        <w:pStyle w:val="Normal"/>
        <w:tabs>
          <w:tab w:val="clear" w:pos="720"/>
          <w:tab w:val="left" w:pos="1418" w:leader="none"/>
          <w:tab w:val="left" w:pos="2552" w:leader="none"/>
        </w:tabs>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1418" w:leader="none"/>
          <w:tab w:val="left" w:pos="2552" w:leader="none"/>
        </w:tabs>
        <w:spacing w:lineRule="auto" w:line="300"/>
        <w:ind w:firstLine="1418" w:end="0"/>
        <w:jc w:val="both"/>
        <w:rPr/>
      </w:pPr>
      <w:r>
        <w:rPr>
          <w:rFonts w:cs="Calibri"/>
          <w:color w:val="000000"/>
          <w:lang w:val="pt-BR"/>
        </w:rPr>
        <w:t>Logo, ínclito Magistrado, as instituições bancárias possuem o dever relevantíssimo de prestar todos os esclarecimentos possíveis aos seus clientes, inclusive sobre pacotes de serviços gratuitos (essenciais) e pacotes de serviços com cobrança de tarifas.</w:t>
      </w:r>
    </w:p>
    <w:p>
      <w:pPr>
        <w:pStyle w:val="Normal"/>
        <w:tabs>
          <w:tab w:val="clear" w:pos="720"/>
          <w:tab w:val="left" w:pos="1418" w:leader="none"/>
          <w:tab w:val="left" w:pos="2552" w:leader="none"/>
        </w:tabs>
        <w:spacing w:lineRule="auto" w:line="300"/>
        <w:ind w:firstLine="1701"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b/>
          <w:color w:val="000000"/>
          <w:lang w:val="pt-BR"/>
        </w:rPr>
      </w:pPr>
      <w:r>
        <w:rPr>
          <w:rFonts w:cs="Calibri"/>
          <w:color w:val="000000"/>
          <w:lang w:val="pt-BR"/>
        </w:rPr>
        <w:t xml:space="preserve">Nesse viés, não é o que o banco requerido adotou quando da vinculação contratual com a parte requerente. Ora, se é um direito da parte requerente optar por ter uma conta bancária sem custo tarifário, obviamente desde que esteja dentro dos limites do pacote gratuito - que de fato a parte requerente está! -, por que o banco requerido cobra tarifa denominada de </w:t>
      </w:r>
      <w:r>
        <w:rPr>
          <w:rFonts w:cs="Calibri"/>
          <w:b/>
          <w:bCs/>
          <w:color w:val="000000"/>
          <w:lang w:val="pt-BR"/>
        </w:rPr>
        <w:t>“Cesta Exclusive”</w:t>
      </w:r>
      <w:r>
        <w:rPr>
          <w:rFonts w:cs="Calibri"/>
          <w:b/>
          <w:color w:val="000000"/>
          <w:lang w:val="pt-BR"/>
        </w:rPr>
        <w:t>,</w:t>
      </w:r>
      <w:r>
        <w:rPr>
          <w:rFonts w:cs="Calibri"/>
          <w:color w:val="000000"/>
          <w:lang w:val="pt-BR"/>
        </w:rPr>
        <w:t xml:space="preserve"> mês a mês sem sequer o mesmo ter contratado? Ainda por questionamento, por que o banco requerido não esclarece aos seus clientes, cada pacote de serviço disponibilizado com seus respectivos custos? </w:t>
      </w:r>
    </w:p>
    <w:p>
      <w:pPr>
        <w:pStyle w:val="Normal"/>
        <w:tabs>
          <w:tab w:val="clear" w:pos="720"/>
          <w:tab w:val="left" w:pos="1418" w:leader="none"/>
          <w:tab w:val="left" w:pos="2552" w:leader="none"/>
        </w:tabs>
        <w:spacing w:lineRule="auto" w:line="300"/>
        <w:ind w:firstLine="1701" w:end="0"/>
        <w:jc w:val="both"/>
        <w:rPr>
          <w:rFonts w:cs="Calibri"/>
          <w:b/>
          <w:color w:val="000000"/>
          <w:lang w:val="pt-BR"/>
        </w:rPr>
      </w:pPr>
      <w:r>
        <w:rPr>
          <w:rFonts w:cs="Calibri"/>
          <w:b/>
          <w:color w:val="000000"/>
          <w:lang w:val="pt-BR"/>
        </w:rPr>
      </w:r>
    </w:p>
    <w:p>
      <w:pPr>
        <w:pStyle w:val="Normal"/>
        <w:tabs>
          <w:tab w:val="clear" w:pos="720"/>
          <w:tab w:val="left" w:pos="1418" w:leader="none"/>
          <w:tab w:val="left" w:pos="2552" w:leader="none"/>
        </w:tabs>
        <w:spacing w:lineRule="auto" w:line="300"/>
        <w:ind w:firstLine="1418" w:end="0"/>
        <w:jc w:val="both"/>
        <w:rPr>
          <w:rFonts w:cs="Calibri"/>
          <w:color w:val="000000"/>
          <w:lang w:val="pt-BR"/>
        </w:rPr>
      </w:pPr>
      <w:r>
        <w:rPr>
          <w:rFonts w:cs="Calibri"/>
          <w:color w:val="000000"/>
          <w:lang w:val="pt-BR"/>
        </w:rPr>
        <w:t>Por obviedade Excelência, essas perguntas são retóricas, uma vez que é sabido que o banco requerido é o maior banco privado do país, com lucros extremamente vultosos, como por exemplo, o lucro líquido recorrente de 19,6 bilhões em 2024.</w:t>
      </w:r>
    </w:p>
    <w:p>
      <w:pPr>
        <w:pStyle w:val="Normal"/>
        <w:tabs>
          <w:tab w:val="clear" w:pos="720"/>
          <w:tab w:val="left" w:pos="1418" w:leader="none"/>
          <w:tab w:val="left" w:pos="2552"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418" w:leader="none"/>
          <w:tab w:val="left" w:pos="2552" w:leader="none"/>
        </w:tabs>
        <w:spacing w:lineRule="auto" w:line="300"/>
        <w:ind w:firstLine="1418" w:end="0"/>
        <w:jc w:val="both"/>
        <w:rPr/>
      </w:pPr>
      <w:r>
        <w:rPr>
          <w:rFonts w:cs="Calibri"/>
          <w:color w:val="000000"/>
          <w:lang w:val="pt-BR"/>
        </w:rPr>
        <w:t>Assim, resta inequívoca a atitude desempenhada pelo banco requerido em omitir informações vitais a parte requerente, uma vez que o mesmo se desloca até a agência em busca de esclarecimentos e os prepostos do banco requerido não suprem em nada suas dúvidas, fazendo com que o mesmo crie um sentimento de indignação e de impotência, perpetuando seu calvário nos pagamentos das famigeradas tarifas de pacotes de serviços mês a mês.</w:t>
      </w:r>
    </w:p>
    <w:p>
      <w:pPr>
        <w:pStyle w:val="Normal"/>
        <w:tabs>
          <w:tab w:val="clear" w:pos="720"/>
          <w:tab w:val="left" w:pos="1418" w:leader="none"/>
        </w:tabs>
        <w:spacing w:lineRule="auto" w:line="300"/>
        <w:ind w:firstLine="1701" w:end="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3.5 – DA VIOLAÇÃO DO PRINCÍPIO DA BOA-FÉ OBJETIVA</w:t>
      </w:r>
    </w:p>
    <w:p>
      <w:pPr>
        <w:pStyle w:val="Normal"/>
        <w:spacing w:lineRule="auto" w:line="300"/>
        <w:jc w:val="both"/>
        <w:rPr>
          <w:rFonts w:cs="Calibri"/>
          <w:b/>
          <w:color w:val="000000"/>
          <w:u w:val="single"/>
          <w:lang w:val="pt-BR"/>
        </w:rPr>
      </w:pPr>
      <w:r>
        <w:rPr>
          <w:rFonts w:cs="Calibri"/>
          <w:b/>
          <w:color w:val="000000"/>
          <w:u w:val="single"/>
          <w:lang w:val="pt-BR"/>
        </w:rPr>
      </w:r>
    </w:p>
    <w:p>
      <w:pPr>
        <w:pStyle w:val="Normal"/>
        <w:tabs>
          <w:tab w:val="clear" w:pos="720"/>
          <w:tab w:val="left" w:pos="1720" w:leader="none"/>
        </w:tabs>
        <w:spacing w:lineRule="auto" w:line="300"/>
        <w:ind w:firstLine="1418" w:end="0"/>
        <w:jc w:val="both"/>
        <w:rPr/>
      </w:pPr>
      <w:r>
        <w:rPr>
          <w:rFonts w:cs="Calibri"/>
          <w:color w:val="000000"/>
          <w:lang w:val="pt-BR"/>
        </w:rPr>
        <w:t xml:space="preserve">Em homenagem a tutela da confiança, as condições contratuais devem se fazer entendidas de forma </w:t>
      </w:r>
      <w:r>
        <w:rPr>
          <w:rFonts w:cs="Calibri"/>
          <w:b/>
          <w:color w:val="000000"/>
          <w:lang w:val="pt-BR"/>
        </w:rPr>
        <w:t>CLARA</w:t>
      </w:r>
      <w:r>
        <w:rPr>
          <w:rFonts w:cs="Calibri"/>
          <w:color w:val="000000"/>
          <w:lang w:val="pt-BR"/>
        </w:rPr>
        <w:t xml:space="preserve"> e </w:t>
      </w:r>
      <w:r>
        <w:rPr>
          <w:rFonts w:cs="Calibri"/>
          <w:b/>
          <w:color w:val="000000"/>
          <w:lang w:val="pt-BR"/>
        </w:rPr>
        <w:t>CRISTALINA</w:t>
      </w:r>
      <w:r>
        <w:rPr>
          <w:rFonts w:cs="Calibri"/>
          <w:color w:val="000000"/>
          <w:lang w:val="pt-BR"/>
        </w:rPr>
        <w:t>, não se admitindo chicanas como as presentemente observadas, uma vez que frontalmente opostas ao standard de boa-fé objetiva preconizado pela lei consumerista.</w:t>
      </w:r>
    </w:p>
    <w:p>
      <w:pPr>
        <w:pStyle w:val="Normal"/>
        <w:tabs>
          <w:tab w:val="clear" w:pos="720"/>
          <w:tab w:val="left" w:pos="1560"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560" w:leader="none"/>
        </w:tabs>
        <w:spacing w:lineRule="auto" w:line="300"/>
        <w:ind w:firstLine="1418" w:end="0"/>
        <w:jc w:val="both"/>
        <w:rPr>
          <w:rFonts w:cs="Calibri"/>
          <w:color w:val="000000"/>
          <w:lang w:val="pt-BR"/>
        </w:rPr>
      </w:pPr>
      <w:r>
        <w:rPr>
          <w:rFonts w:cs="Calibri"/>
          <w:color w:val="000000"/>
          <w:lang w:val="pt-BR"/>
        </w:rPr>
        <w:t>Resta insofismável que no complexo enredo contratual, foram transgredidos vários princípios que norteiam o direito consumerista, em especial, os princípios da boa-fé objetiva.</w:t>
      </w:r>
    </w:p>
    <w:p>
      <w:pPr>
        <w:pStyle w:val="Normal"/>
        <w:tabs>
          <w:tab w:val="clear" w:pos="720"/>
          <w:tab w:val="left" w:pos="1560"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1560" w:leader="none"/>
        </w:tabs>
        <w:spacing w:lineRule="auto" w:line="300"/>
        <w:ind w:firstLine="1418" w:end="0"/>
        <w:jc w:val="both"/>
        <w:rPr/>
      </w:pPr>
      <w:r>
        <w:rPr>
          <w:rFonts w:cs="Calibri"/>
          <w:color w:val="000000"/>
          <w:lang w:val="pt-BR"/>
        </w:rPr>
        <w:t>Tem-se que o princípio da boa-fé objetiva é fundamental no direito contratual contemporâneo, pois impõe às partes um dever de lealdade contratual, antes durante e depois da conclusão do contrato, independente de previsão explicita no instrumento contratual, pois é princípio cuja força normativa não pode ser afastada ainda que as partes o desejem.</w:t>
      </w:r>
    </w:p>
    <w:p>
      <w:pPr>
        <w:pStyle w:val="Normal"/>
        <w:tabs>
          <w:tab w:val="clear" w:pos="720"/>
          <w:tab w:val="left" w:pos="1560" w:leader="none"/>
        </w:tabs>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Note-se que o dever de informar é corolário lógico da boa-fé objetiva, e permeia toda a relação contratual, desde seu nascedouro seguindo até após a sua extinção. Assim, eventuais contaminações na fase pré-negocial, decerto concebem verdadeiro natimorto contratual, o que se afigura inadmissível, já que não é esta a função social dos contratos de consumo. </w:t>
      </w:r>
    </w:p>
    <w:p>
      <w:pPr>
        <w:pStyle w:val="Normal"/>
        <w:tabs>
          <w:tab w:val="clear" w:pos="720"/>
          <w:tab w:val="left" w:pos="1560" w:leader="none"/>
        </w:tabs>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eastAsia="Times New Roman" w:cs="Calibri"/>
          <w:color w:val="000000"/>
          <w:lang w:val="pt-BR"/>
        </w:rPr>
        <w:t xml:space="preserve">Ressalte-se que a boa-fé objetiva nos contratos de consumo não se refere somente às cláusulas contratuais, mas a toda e qualquer conduta que esteja contida na relação jurídica de consumo, isto é, pelo “contato social, existente entre fornecedor e consumidor”. Assim, toda a sorte de condutas abusivas, ainda que não textualmente abarcada nas cláusulas contratuais, é contrária a boa-fé. Aliás, foi exatamente esse o objetivo do legislador consagrar a boa-fé, no art. 4º inciso III, do Código de Defesa do Consumidor como princípio geral das relações de consumo e exemplificar em rol próprio no corpo do Código as práticas abusivas vedadas, porque, sobretudo em relação às práticas contratuais, não expressas em cláusulas do contrato, deve acentuar-se o dever de boa-fé, na medida em que a proteção do consumidor e a prova do abuso se tornam ainda mais difíceis de serem apuradas e combatidas no plano concreto. </w:t>
      </w:r>
    </w:p>
    <w:p>
      <w:pPr>
        <w:pStyle w:val="Normal"/>
        <w:spacing w:lineRule="auto" w:line="300"/>
        <w:ind w:firstLine="1418" w:end="0"/>
        <w:jc w:val="both"/>
        <w:rPr>
          <w:rFonts w:eastAsia="Times New Roman" w:cs="Calibri"/>
          <w:color w:val="000000"/>
          <w:lang w:val="pt-BR"/>
        </w:rPr>
      </w:pPr>
      <w:r>
        <w:rPr>
          <w:rFonts w:eastAsia="Times New Roman" w:cs="Calibri"/>
          <w:color w:val="000000"/>
          <w:lang w:val="pt-BR"/>
        </w:rPr>
      </w:r>
    </w:p>
    <w:p>
      <w:pPr>
        <w:pStyle w:val="Normal"/>
        <w:spacing w:lineRule="auto" w:line="300"/>
        <w:ind w:firstLine="1418" w:end="0"/>
        <w:jc w:val="both"/>
        <w:rPr>
          <w:rFonts w:eastAsia="Times New Roman" w:cs="Calibri"/>
          <w:color w:val="000000"/>
          <w:lang w:val="pt-BR"/>
        </w:rPr>
      </w:pPr>
      <w:r>
        <w:rPr>
          <w:rFonts w:eastAsia="Times New Roman" w:cs="Calibri"/>
          <w:color w:val="000000"/>
          <w:lang w:val="pt-BR"/>
        </w:rPr>
        <w:t xml:space="preserve">Aliás, dada a sua importância, os contratos são comprometidos com a função social, isto é, cercados pelos princípios da probidade, equidade, boa fé e menos influenciados pelo dogma da autonomia da vontade. </w:t>
      </w:r>
    </w:p>
    <w:p>
      <w:pPr>
        <w:pStyle w:val="Normal"/>
        <w:spacing w:lineRule="auto" w:line="300"/>
        <w:ind w:firstLine="1418" w:end="0"/>
        <w:jc w:val="both"/>
        <w:rPr>
          <w:rFonts w:eastAsia="Times New Roman" w:cs="Calibri"/>
          <w:color w:val="000000"/>
          <w:lang w:val="pt-BR"/>
        </w:rPr>
      </w:pPr>
      <w:r>
        <w:rPr>
          <w:rFonts w:eastAsia="Times New Roman" w:cs="Calibri"/>
          <w:color w:val="000000"/>
          <w:lang w:val="pt-BR"/>
        </w:rPr>
      </w:r>
    </w:p>
    <w:p>
      <w:pPr>
        <w:pStyle w:val="Normal"/>
        <w:spacing w:lineRule="auto" w:line="300"/>
        <w:ind w:firstLine="1418" w:end="0"/>
        <w:jc w:val="both"/>
        <w:rPr/>
      </w:pPr>
      <w:r>
        <w:rPr>
          <w:rFonts w:cs="Calibri"/>
          <w:color w:val="000000"/>
          <w:lang w:val="pt-BR"/>
        </w:rPr>
        <w:t>O sentido do princípio da boa-fé objetiva pode ser percebido da análise do artigo 422 do Código Civil Brasileiro, pelo qual “</w:t>
      </w:r>
      <w:r>
        <w:rPr>
          <w:rFonts w:cs="Calibri"/>
          <w:i/>
          <w:color w:val="000000"/>
          <w:lang w:val="pt-BR"/>
        </w:rPr>
        <w:t>os contratantes são obrigados a guardar, assim na conclusão do contrato, como em sua execução, os princípios da probidade e da boa-fé</w:t>
      </w:r>
      <w:r>
        <w:rPr>
          <w:rFonts w:cs="Calibri"/>
          <w:color w:val="000000"/>
          <w:lang w:val="pt-BR"/>
        </w:rPr>
        <w:t xml:space="preserve">”. </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Assim, a conduta ilícita e arbitrária da empresa requerida está totalmente configurada, ocasionando a parte requerente, diversos danos, ferindo frontalmente o princípio da boa-fé objetiva que norteia os contratos em geral, o qual encontra-se esculpido no art. 422 do Código Civil Brasileiro.</w:t>
      </w:r>
    </w:p>
    <w:p>
      <w:pPr>
        <w:pStyle w:val="Normal"/>
        <w:spacing w:lineRule="auto" w:line="300"/>
        <w:ind w:firstLine="1701" w:end="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0" w:color="000000" w:shadow="1"/>
          <w:right w:val="single" w:sz="12" w:space="4" w:color="000000" w:shadow="1"/>
        </w:pBdr>
        <w:shd w:fill="F2F2F2" w:val="clear"/>
        <w:spacing w:lineRule="auto" w:line="300"/>
        <w:jc w:val="both"/>
        <w:rPr/>
      </w:pPr>
      <w:r>
        <w:rPr>
          <w:rFonts w:cs="Calibri"/>
          <w:b/>
          <w:color w:val="000000"/>
          <w:lang w:val="pt-BR"/>
        </w:rPr>
        <w:t>3.6 – DA PRÁTICA ABUSIVA – ART. 39, III, DO CDC</w:t>
      </w:r>
    </w:p>
    <w:p>
      <w:pPr>
        <w:pStyle w:val="Normal"/>
        <w:spacing w:lineRule="auto" w:line="300"/>
        <w:ind w:firstLine="2268" w:start="-567" w:end="0"/>
        <w:jc w:val="both"/>
        <w:rPr>
          <w:rFonts w:cs="Calibri"/>
          <w:b/>
          <w:color w:val="000000"/>
          <w:sz w:val="18"/>
          <w:szCs w:val="18"/>
          <w:lang w:val="pt-BR"/>
        </w:rPr>
      </w:pPr>
      <w:r>
        <w:rPr>
          <w:rFonts w:cs="Calibri"/>
          <w:b/>
          <w:color w:val="000000"/>
          <w:sz w:val="18"/>
          <w:szCs w:val="18"/>
          <w:lang w:val="pt-BR"/>
        </w:rPr>
      </w:r>
    </w:p>
    <w:p>
      <w:pPr>
        <w:pStyle w:val="Normal"/>
        <w:spacing w:lineRule="auto" w:line="300"/>
        <w:ind w:firstLine="1418" w:end="0"/>
        <w:jc w:val="both"/>
        <w:rPr>
          <w:rFonts w:cs="Calibri"/>
          <w:color w:val="000000"/>
          <w:lang w:val="pt-BR"/>
        </w:rPr>
      </w:pPr>
      <w:r>
        <w:rPr>
          <w:rFonts w:cs="Calibri"/>
          <w:color w:val="000000"/>
          <w:lang w:val="pt-BR"/>
        </w:rPr>
        <w:t>O ato ilícito praticado pelo requerido consiste na prática abusiva prevista no art. 39, inciso III, do CDC, conforme consta a seguir:</w:t>
      </w:r>
    </w:p>
    <w:p>
      <w:pPr>
        <w:pStyle w:val="Normal"/>
        <w:spacing w:lineRule="auto" w:line="300"/>
        <w:ind w:firstLine="1416" w:end="0"/>
        <w:jc w:val="both"/>
        <w:rPr>
          <w:rFonts w:cs="Calibri"/>
          <w:color w:val="000000"/>
          <w:sz w:val="16"/>
          <w:szCs w:val="16"/>
          <w:lang w:val="pt-BR"/>
        </w:rPr>
      </w:pPr>
      <w:r>
        <w:rPr>
          <w:rFonts w:cs="Calibri"/>
          <w:color w:val="000000"/>
          <w:sz w:val="16"/>
          <w:szCs w:val="16"/>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 39 - É vedado ao fornecedor de produtos ou serviços, dentre outras práticas abusivas:</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III - enviar ou entregar ao consumidor, sem solicitação prévia, qualquer produto, ou fornecer qualquer serviço;</w:t>
      </w:r>
    </w:p>
    <w:p>
      <w:pPr>
        <w:pStyle w:val="Normal"/>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rFonts w:cs="Calibri"/>
          <w:b/>
          <w:color w:val="000000"/>
          <w:lang w:val="pt-BR"/>
        </w:rPr>
      </w:pPr>
      <w:r>
        <w:rPr>
          <w:rFonts w:cs="Calibri"/>
          <w:color w:val="000000"/>
          <w:lang w:val="pt-BR"/>
        </w:rPr>
        <w:t xml:space="preserve">Douto julgador, a parte requerente nunca autorizou descontos de taxas em sua conta tampouco contratou com o banco requerido, pacote de serviço pago denominado </w:t>
      </w:r>
      <w:r>
        <w:rPr>
          <w:rFonts w:cs="Calibri"/>
          <w:b/>
          <w:bCs/>
          <w:color w:val="000000"/>
          <w:lang w:val="pt-BR"/>
        </w:rPr>
        <w:t>“Cesta Exclusive”</w:t>
      </w:r>
      <w:r>
        <w:rPr>
          <w:rFonts w:cs="Calibri"/>
          <w:b/>
          <w:color w:val="000000"/>
          <w:lang w:val="pt-BR"/>
        </w:rPr>
        <w:t>.</w:t>
      </w:r>
      <w:r>
        <w:rPr>
          <w:rFonts w:cs="Calibri"/>
          <w:color w:val="000000"/>
          <w:lang w:val="pt-BR"/>
        </w:rPr>
        <w:t xml:space="preserve"> Portanto, tal valor é totalmente indevido, uma vez que se originou de ato ilícito.</w:t>
      </w:r>
    </w:p>
    <w:p>
      <w:pPr>
        <w:pStyle w:val="Normal"/>
        <w:tabs>
          <w:tab w:val="clear" w:pos="720"/>
          <w:tab w:val="left" w:pos="1418" w:leader="none"/>
        </w:tabs>
        <w:spacing w:lineRule="auto" w:line="300"/>
        <w:jc w:val="both"/>
        <w:rPr>
          <w:rFonts w:cs="Calibri"/>
          <w:b/>
          <w:color w:val="000000"/>
          <w:lang w:val="pt-BR"/>
        </w:rPr>
      </w:pPr>
      <w:r>
        <w:rPr>
          <w:rFonts w:cs="Calibri"/>
          <w:b/>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3.7 – DO DANO MATERIAL - REPETIÇÃO DO INDÉBITO – INTELIGÊNCIA DO ART. 42, PARÁGRAFO ÚNICO, DO CDC</w:t>
      </w:r>
    </w:p>
    <w:p>
      <w:pPr>
        <w:pStyle w:val="Normal"/>
        <w:spacing w:lineRule="auto" w:line="300"/>
        <w:ind w:firstLine="1701" w:end="0"/>
        <w:jc w:val="both"/>
        <w:rPr>
          <w:rFonts w:cs="Calibri"/>
          <w:b/>
          <w:color w:val="000000"/>
          <w:lang w:val="pt-BR"/>
        </w:rPr>
      </w:pPr>
      <w:r>
        <w:rPr>
          <w:rFonts w:cs="Calibri"/>
          <w:b/>
          <w:color w:val="000000"/>
          <w:lang w:val="pt-BR"/>
        </w:rPr>
      </w:r>
    </w:p>
    <w:p>
      <w:pPr>
        <w:pStyle w:val="Normal"/>
        <w:spacing w:lineRule="auto" w:line="300"/>
        <w:ind w:firstLine="1418" w:end="0"/>
        <w:jc w:val="both"/>
        <w:rPr>
          <w:rFonts w:cs="Calibri"/>
          <w:b/>
          <w:color w:val="000000"/>
          <w:lang w:val="pt-BR"/>
        </w:rPr>
      </w:pPr>
      <w:r>
        <w:rPr>
          <w:rFonts w:cs="Calibri"/>
          <w:color w:val="000000"/>
          <w:lang w:val="pt-BR"/>
        </w:rPr>
        <w:t xml:space="preserve">A parte requerente conforme relatado </w:t>
      </w:r>
      <w:r>
        <w:rPr>
          <w:rFonts w:cs="Calibri"/>
          <w:b/>
          <w:bCs/>
          <w:color w:val="000000"/>
          <w:lang w:val="pt-BR"/>
        </w:rPr>
        <w:t>não</w:t>
      </w:r>
      <w:r>
        <w:rPr>
          <w:rFonts w:cs="Calibri"/>
          <w:color w:val="000000"/>
          <w:lang w:val="pt-BR"/>
        </w:rPr>
        <w:t xml:space="preserve"> contratou qualquer pacote de tarifa bancária e tampouco autorizou o banco requerido a realizar débito em sua conta corrente referente a pacote de tarifa bancária denominado de </w:t>
      </w:r>
      <w:r>
        <w:rPr>
          <w:rFonts w:cs="Calibri"/>
          <w:b/>
          <w:bCs/>
          <w:color w:val="000000"/>
          <w:lang w:val="pt-BR"/>
        </w:rPr>
        <w:t>“Cesta Exclusive”</w:t>
      </w:r>
      <w:r>
        <w:rPr>
          <w:rFonts w:cs="Calibri"/>
          <w:color w:val="000000"/>
          <w:lang w:val="pt-BR"/>
        </w:rPr>
        <w:t xml:space="preserve">, logo, tem-se que os débitos realizados em sua conta bancária no período de </w:t>
      </w:r>
      <w:r>
        <w:rPr>
          <w:rFonts w:cs="Calibri"/>
          <w:b/>
          <w:bCs/>
          <w:color w:val="000000"/>
          <w:lang w:val="pt-BR"/>
        </w:rPr>
        <w:t>15/03/2021 a 04/03/2026</w:t>
      </w:r>
      <w:r>
        <w:rPr>
          <w:rFonts w:cs="Calibri"/>
          <w:color w:val="000000"/>
          <w:lang w:val="pt-BR"/>
        </w:rPr>
        <w:t xml:space="preserve">, são indevidos e ilícitos. </w:t>
      </w:r>
    </w:p>
    <w:p>
      <w:pPr>
        <w:pStyle w:val="Normal"/>
        <w:spacing w:lineRule="auto" w:line="300"/>
        <w:ind w:firstLine="1418" w:end="0"/>
        <w:jc w:val="both"/>
        <w:rPr>
          <w:rFonts w:cs="Calibri"/>
          <w:b/>
          <w:color w:val="000000"/>
          <w:lang w:val="pt-BR"/>
        </w:rPr>
      </w:pPr>
      <w:r>
        <w:rPr>
          <w:rFonts w:cs="Calibri"/>
          <w:b/>
          <w:color w:val="000000"/>
          <w:lang w:val="pt-BR"/>
        </w:rPr>
      </w:r>
    </w:p>
    <w:p>
      <w:pPr>
        <w:pStyle w:val="Normal"/>
        <w:spacing w:lineRule="auto" w:line="300"/>
        <w:ind w:firstLine="1418" w:end="0"/>
        <w:jc w:val="both"/>
        <w:rPr/>
      </w:pPr>
      <w:r>
        <w:rPr>
          <w:rFonts w:cs="Calibri"/>
          <w:color w:val="000000"/>
          <w:lang w:val="pt-BR"/>
        </w:rPr>
        <w:t xml:space="preserve">Conforme citado no item 4 desta exordial, recentemente foi firmada 03 (três) teses por meio do </w:t>
      </w:r>
      <w:r>
        <w:rPr>
          <w:rFonts w:cs="Calibri"/>
          <w:b/>
          <w:bCs/>
          <w:color w:val="000000"/>
          <w:lang w:val="pt-BR"/>
        </w:rPr>
        <w:t>Incidente de Uniformização 0000511-49.2018.8.04.9000</w:t>
      </w:r>
      <w:r>
        <w:rPr>
          <w:rFonts w:cs="Calibri"/>
          <w:color w:val="000000"/>
          <w:lang w:val="pt-BR"/>
        </w:rPr>
        <w:t>, onde, passamos a destacar as Súmulas n° 1 e 3 do respectivo incidente. Confira-se:</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eastAsia="pt-BR"/>
        </w:rPr>
        <w:t xml:space="preserve">1) É vedado às instituições financeiras realizar descontos a título de tarifa de pacote de serviços bancários sem prévia e expressa autorização do consumidor, mediante contrato com cláusula específica e destacada, nos termos do art. 54, §4º, do CDC. </w:t>
      </w:r>
    </w:p>
    <w:p>
      <w:pPr>
        <w:pStyle w:val="Normal"/>
        <w:spacing w:lineRule="auto" w:line="240"/>
        <w:ind w:start="2268" w:end="0"/>
        <w:jc w:val="both"/>
        <w:rPr>
          <w:rFonts w:cs="Calibri"/>
          <w:color w:val="000000"/>
          <w:sz w:val="20"/>
          <w:szCs w:val="20"/>
          <w:lang w:val="pt-BR" w:eastAsia="pt-BR"/>
        </w:rPr>
      </w:pPr>
      <w:r>
        <w:rPr>
          <w:rFonts w:cs="Calibri"/>
          <w:color w:val="000000"/>
          <w:sz w:val="20"/>
          <w:szCs w:val="20"/>
          <w:lang w:val="pt-BR" w:eastAsia="pt-BR"/>
        </w:rPr>
        <w:t>(...)</w:t>
      </w:r>
    </w:p>
    <w:p>
      <w:pPr>
        <w:pStyle w:val="Normal"/>
        <w:spacing w:lineRule="auto" w:line="240"/>
        <w:ind w:start="2268" w:end="0"/>
        <w:jc w:val="both"/>
        <w:rPr>
          <w:rFonts w:cs="Calibri"/>
          <w:color w:val="000000"/>
          <w:sz w:val="20"/>
          <w:szCs w:val="20"/>
          <w:lang w:val="pt-BR" w:eastAsia="pt-BR"/>
        </w:rPr>
      </w:pPr>
      <w:r>
        <w:rPr>
          <w:rFonts w:cs="Calibri"/>
          <w:color w:val="000000"/>
          <w:sz w:val="20"/>
          <w:szCs w:val="20"/>
          <w:lang w:val="pt-BR" w:eastAsia="pt-BR"/>
        </w:rPr>
        <w:t xml:space="preserve">3) A reiteração de descontos de valores a título de tarifa de pacote de serviços bancários não é engano justificável. Presentes tais requisitos (má-fé e inexistência de engano justificável) a indenização por danos materiais deve se dar na forma do art. 42, parágrafo único, do CDC. </w:t>
      </w:r>
    </w:p>
    <w:p>
      <w:pPr>
        <w:pStyle w:val="Normal"/>
        <w:spacing w:lineRule="auto" w:line="300"/>
        <w:ind w:firstLine="2835" w:end="0"/>
        <w:jc w:val="both"/>
        <w:rPr>
          <w:rFonts w:cs="Calibri"/>
          <w:color w:val="000000"/>
          <w:sz w:val="20"/>
          <w:szCs w:val="20"/>
          <w:lang w:val="pt-BR" w:eastAsia="pt-BR"/>
        </w:rPr>
      </w:pPr>
      <w:r>
        <w:rPr>
          <w:rFonts w:cs="Calibri"/>
          <w:color w:val="000000"/>
          <w:sz w:val="20"/>
          <w:szCs w:val="20"/>
          <w:lang w:val="pt-BR" w:eastAsia="pt-BR"/>
        </w:rPr>
      </w:r>
    </w:p>
    <w:p>
      <w:pPr>
        <w:pStyle w:val="Normal"/>
        <w:spacing w:lineRule="auto" w:line="300"/>
        <w:ind w:firstLine="1418" w:end="0"/>
        <w:jc w:val="both"/>
        <w:rPr/>
      </w:pPr>
      <w:r>
        <w:rPr>
          <w:rFonts w:cs="Calibri"/>
          <w:color w:val="000000"/>
          <w:lang w:val="pt-BR"/>
        </w:rPr>
        <w:t xml:space="preserve">Note, Excelência, a entendimento já consolidado pelo Incidente de Uniformização que as instituições financeiras somente podem realizar cobrança de pacote de serviços bancários se houver expressa autorização do consumidor, mediante contrato com cláusula específica e destacada, sob pena de devolução em dobro dos valores descontados, uma vez que não se trata de engano justificável, pois respectiva cobrança caracteriza má-fé. Além do mais, cumpre ressaltar que o banco requerido possui acesso ao contrato de abertura da conta da parte requerente, tendo, portanto, ciência que a parte requerente não autorizou a cobrança de nenhum pacote de serviço </w:t>
      </w:r>
      <w:r>
        <w:rPr>
          <w:rFonts w:cs="Calibri"/>
          <w:bCs/>
          <w:color w:val="000000"/>
          <w:lang w:val="pt-BR"/>
        </w:rPr>
        <w:t>pago</w:t>
      </w:r>
      <w:r>
        <w:rPr>
          <w:rFonts w:cs="Calibri"/>
          <w:color w:val="000000"/>
          <w:lang w:val="pt-BR"/>
        </w:rPr>
        <w:t xml:space="preserve"> debitado em sua conta bancária, o que vem sendo praticado mensalmente. </w:t>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Dito isso, tem-se que o caso em tela se enquadra perfeitamente no que dispõe as Súmulas n° 1 e 3 do citado Incidente de Uniformização, haja vista jamais ter contratado e/ou autorizado os débitos em sua conta bancária. </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Assim, é perfeitamente cabível a restituição em dobro de todos os valores debitados da conta corrente da parte autora no período de </w:t>
      </w:r>
      <w:r>
        <w:rPr>
          <w:rFonts w:cs="Calibri"/>
          <w:b/>
          <w:bCs/>
          <w:color w:val="000000"/>
          <w:lang w:val="pt-BR"/>
        </w:rPr>
        <w:t>15/03/2021 a 04/03/2026</w:t>
      </w:r>
      <w:r>
        <w:rPr>
          <w:rFonts w:cs="Calibri"/>
          <w:color w:val="000000"/>
          <w:lang w:val="pt-BR"/>
        </w:rPr>
        <w:t>, bem como, os descontos que porventura ocorrerem durante o tramite da presente demanda, na forma do parágrafo único do artigo 42 do CDC. Confira-se:</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 42. (...)</w:t>
      </w:r>
    </w:p>
    <w:p>
      <w:pPr>
        <w:pStyle w:val="Normal"/>
        <w:spacing w:lineRule="auto" w:line="240"/>
        <w:ind w:start="2268" w:end="0"/>
        <w:jc w:val="both"/>
        <w:rPr/>
      </w:pPr>
      <w:r>
        <w:rPr>
          <w:rFonts w:cs="Calibri"/>
          <w:color w:val="000000"/>
          <w:sz w:val="20"/>
          <w:szCs w:val="20"/>
          <w:lang w:val="pt-BR"/>
        </w:rPr>
        <w:t xml:space="preserve">Parágrafo único. </w:t>
      </w:r>
      <w:r>
        <w:rPr>
          <w:rFonts w:cs="Calibri"/>
          <w:b/>
          <w:bCs/>
          <w:color w:val="000000"/>
          <w:sz w:val="20"/>
          <w:szCs w:val="20"/>
          <w:lang w:val="pt-BR"/>
        </w:rPr>
        <w:t>O consumidor cobrado em quantia indevida tem direito à repetição do indébito, por valor igual ao dobro do que pagou em excesso, acrescido de correção monetária e juros legais</w:t>
      </w:r>
      <w:r>
        <w:rPr>
          <w:rFonts w:cs="Calibri"/>
          <w:color w:val="000000"/>
          <w:sz w:val="20"/>
          <w:szCs w:val="20"/>
          <w:lang w:val="pt-BR"/>
        </w:rPr>
        <w:t>, salvo hipótese de engano justificável. (grifo nosso)</w:t>
      </w:r>
    </w:p>
    <w:p>
      <w:pPr>
        <w:pStyle w:val="Normal"/>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A jurisprudência já se manifestou em casos como este, ou seja, casos com comprovação de má-fé, acolhendo a tese do pagamento em dobro do indébito, conforme é demonstrado a seguir: </w:t>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b/>
          <w:color w:val="000000"/>
          <w:sz w:val="20"/>
          <w:szCs w:val="20"/>
          <w:lang w:val="pt-BR"/>
        </w:rPr>
        <w:t>“O entendimento dominante neste STJ é no sentido de admitir a repetição do indébito na forma simples, e não em dobro, salvo prova da má-fé”</w:t>
      </w:r>
      <w:r>
        <w:rPr>
          <w:rFonts w:cs="Calibri"/>
          <w:color w:val="000000"/>
          <w:sz w:val="20"/>
          <w:szCs w:val="20"/>
          <w:lang w:val="pt-BR"/>
        </w:rPr>
        <w:t xml:space="preserve"> (STJ. AgRg no Ag570214/MG, Relª. Minª. Nancy Andriaghi, DJ 28/06/2004).</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Assim, a parte requerente pugna que Vossa Excelência se digne a condenar o banco requerido a devolução do valor de </w:t>
      </w:r>
      <w:r>
        <w:rPr>
          <w:rFonts w:cs="Calibri"/>
          <w:b/>
          <w:bCs/>
          <w:color w:val="000000"/>
          <w:lang w:val="pt-BR"/>
        </w:rPr>
        <w:t>R$ 4.416,29 (quatro mil, quatrocentos e dezesseis reais e vinte e nove centavos)</w:t>
      </w:r>
      <w:r>
        <w:rPr>
          <w:rFonts w:cs="Calibri"/>
          <w:b/>
          <w:color w:val="000000"/>
          <w:lang w:val="pt-BR"/>
        </w:rPr>
        <w:t xml:space="preserve">, </w:t>
      </w:r>
      <w:r>
        <w:rPr>
          <w:rFonts w:cs="Calibri"/>
          <w:color w:val="000000"/>
          <w:lang w:val="pt-BR"/>
        </w:rPr>
        <w:t xml:space="preserve">em dobro, referente aos descontos havidos em sua conta corrente no período imprescrito de </w:t>
      </w:r>
      <w:r>
        <w:rPr>
          <w:rFonts w:cs="Calibri"/>
          <w:b/>
          <w:bCs/>
          <w:color w:val="000000"/>
          <w:lang w:val="pt-BR"/>
        </w:rPr>
        <w:t xml:space="preserve">15/03/2021 a 04/03/2026, </w:t>
      </w:r>
      <w:r>
        <w:rPr>
          <w:rFonts w:cs="Calibri"/>
          <w:color w:val="000000"/>
          <w:lang w:val="pt-BR"/>
        </w:rPr>
        <w:t xml:space="preserve">denominados de </w:t>
      </w:r>
      <w:r>
        <w:rPr>
          <w:rFonts w:cs="Calibri"/>
          <w:b/>
          <w:bCs/>
          <w:color w:val="000000"/>
          <w:lang w:val="pt-BR"/>
        </w:rPr>
        <w:t>“Cesta Exclusive”</w:t>
      </w:r>
      <w:r>
        <w:rPr>
          <w:rFonts w:cs="Calibri"/>
          <w:color w:val="000000"/>
          <w:lang w:val="pt-BR"/>
        </w:rPr>
        <w:t xml:space="preserve">, na forma do art. 42, parágrafo único do CDC, que em dobro perfaz o montante de </w:t>
      </w:r>
      <w:r>
        <w:rPr>
          <w:rFonts w:cs="Calibri"/>
          <w:b/>
          <w:color w:val="000000"/>
          <w:lang w:val="pt-BR"/>
        </w:rPr>
        <w:t>R$ 4.416,29 x 2 = R$ 8.832,58 (oito mil, oitocentos e trinta e dois reais e vinte e nove centavos)</w:t>
      </w:r>
      <w:r>
        <w:rPr>
          <w:rFonts w:cs="Calibri"/>
          <w:color w:val="000000"/>
          <w:lang w:val="pt-BR"/>
        </w:rPr>
        <w:t>, bem como os valores que porventura venham a ser descontados durante o trâmite da demanda.</w:t>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Em sendo julgado procedente os valores, requer a aplicação de</w:t>
      </w:r>
      <w:r>
        <w:rPr>
          <w:rFonts w:cs="Calibri"/>
          <w:bCs/>
          <w:color w:val="000000"/>
          <w:lang w:val="pt-BR"/>
        </w:rPr>
        <w:t xml:space="preserve"> correção monetária a partir da data do efetivo prejuízo – Súmula 43 do C. STJ e juros de 1% ao mês na forma que</w:t>
      </w:r>
      <w:r>
        <w:rPr>
          <w:rFonts w:cs="Calibri"/>
          <w:color w:val="000000"/>
          <w:lang w:val="pt-BR"/>
        </w:rPr>
        <w:t xml:space="preserve"> preconiza a Súmula 54 do C. STJ, como forma da mais lídima Justiça.</w:t>
      </w:r>
    </w:p>
    <w:p>
      <w:pPr>
        <w:pStyle w:val="Normal"/>
        <w:spacing w:lineRule="auto" w:line="300"/>
        <w:ind w:firstLine="1701" w:end="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color w:val="000000"/>
          <w:lang w:val="pt-BR"/>
        </w:rPr>
        <w:t xml:space="preserve">4.8 – DO DANO MORAL “IN RE IPSA” – PRÁTICA ABUSIVA REITERADA DO REQUERIDO </w:t>
      </w:r>
    </w:p>
    <w:p>
      <w:pPr>
        <w:pStyle w:val="Normal"/>
        <w:spacing w:lineRule="auto" w:line="300"/>
        <w:jc w:val="both"/>
        <w:rPr>
          <w:rFonts w:cs="Calibri"/>
          <w:color w:val="000000"/>
          <w:lang w:val="pt-BR"/>
        </w:rPr>
      </w:pPr>
      <w:r>
        <w:rPr>
          <w:rFonts w:cs="Calibri"/>
          <w:color w:val="000000"/>
          <w:lang w:val="pt-BR"/>
        </w:rPr>
        <w:tab/>
      </w:r>
    </w:p>
    <w:p>
      <w:pPr>
        <w:pStyle w:val="Normal"/>
        <w:tabs>
          <w:tab w:val="clear" w:pos="720"/>
          <w:tab w:val="left" w:pos="2694" w:leader="none"/>
        </w:tabs>
        <w:spacing w:lineRule="auto" w:line="300"/>
        <w:ind w:firstLine="1418" w:end="0"/>
        <w:jc w:val="both"/>
        <w:rPr/>
      </w:pPr>
      <w:r>
        <w:rPr>
          <w:rFonts w:cs="Calibri"/>
          <w:color w:val="000000"/>
          <w:lang w:val="pt-BR"/>
        </w:rPr>
        <w:t xml:space="preserve">Inicialmente, cumpre destacar que a parte requerente, na qualidade de </w:t>
      </w:r>
      <w:r>
        <w:rPr>
          <w:rFonts w:cs="Calibri"/>
          <w:b/>
          <w:bCs/>
          <w:color w:val="000000"/>
          <w:lang w:val="pt-BR"/>
        </w:rPr>
        <w:t>consumidor vulnerável e hipossuficiente</w:t>
      </w:r>
      <w:r>
        <w:rPr>
          <w:rFonts w:cs="Calibri"/>
          <w:color w:val="000000"/>
          <w:lang w:val="pt-BR"/>
        </w:rPr>
        <w:t xml:space="preserve">, possui, nos termos do artigo 6º do Código de Defesa do Consumidor (CDC), direitos básicos à proteção contra práticas ilícitas e abusivas. No caso em análise, verifica-se a </w:t>
      </w:r>
      <w:r>
        <w:rPr>
          <w:rFonts w:cs="Calibri"/>
          <w:b/>
          <w:bCs/>
          <w:color w:val="000000"/>
          <w:lang w:val="pt-BR"/>
        </w:rPr>
        <w:t>realização reiterada de descontos indevidos</w:t>
      </w:r>
      <w:r>
        <w:rPr>
          <w:rFonts w:cs="Calibri"/>
          <w:color w:val="000000"/>
          <w:lang w:val="pt-BR"/>
        </w:rPr>
        <w:t xml:space="preserve">, muitas vezes mais de uma vez ao mês, em sua conta corrente (nº 59905-0, agência 3739), referentes ao pacote de serviços bancários denominado </w:t>
      </w:r>
      <w:r>
        <w:rPr>
          <w:rFonts w:cs="Calibri"/>
          <w:b/>
          <w:bCs/>
          <w:color w:val="000000"/>
          <w:lang w:val="pt-BR"/>
        </w:rPr>
        <w:t>“Cesta Exclusive”</w:t>
      </w:r>
      <w:r>
        <w:rPr>
          <w:rFonts w:cs="Calibri"/>
          <w:color w:val="000000"/>
          <w:lang w:val="pt-BR"/>
        </w:rPr>
        <w:t xml:space="preserve">, conforme comprovam os extratos bancários anexos à exordial. </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2694" w:leader="none"/>
        </w:tabs>
        <w:spacing w:lineRule="auto" w:line="300"/>
        <w:ind w:firstLine="1418" w:end="0"/>
        <w:jc w:val="both"/>
        <w:rPr/>
      </w:pPr>
      <w:r>
        <w:rPr>
          <w:rFonts w:cs="Calibri"/>
          <w:color w:val="000000"/>
          <w:lang w:val="pt-BR"/>
        </w:rPr>
        <w:t xml:space="preserve">Os descontos realizados pelo requerido foram efetuados sobre o salário da parte autora - </w:t>
      </w:r>
      <w:r>
        <w:rPr>
          <w:rFonts w:cs="Calibri"/>
          <w:b/>
          <w:bCs/>
          <w:color w:val="000000"/>
          <w:lang w:val="pt-BR"/>
        </w:rPr>
        <w:t>verba alimentícia</w:t>
      </w:r>
      <w:r>
        <w:rPr>
          <w:rFonts w:cs="Calibri"/>
          <w:color w:val="000000"/>
          <w:lang w:val="pt-BR"/>
        </w:rPr>
        <w:t xml:space="preserve">, sua única fonte de renda da requerente, causando </w:t>
      </w:r>
      <w:r>
        <w:rPr>
          <w:rFonts w:cs="Calibri"/>
          <w:b/>
          <w:bCs/>
          <w:color w:val="000000"/>
          <w:lang w:val="pt-BR"/>
        </w:rPr>
        <w:t>transtornos, aborrecimentos e prejuízos financeiros significativos</w:t>
      </w:r>
      <w:r>
        <w:rPr>
          <w:rFonts w:cs="Calibri"/>
          <w:color w:val="000000"/>
          <w:lang w:val="pt-BR"/>
        </w:rPr>
        <w:t xml:space="preserve">, uma vez que tais descontos são realizados </w:t>
      </w:r>
      <w:r>
        <w:rPr>
          <w:rFonts w:cs="Calibri"/>
          <w:b/>
          <w:bCs/>
          <w:color w:val="000000"/>
          <w:lang w:val="pt-BR"/>
        </w:rPr>
        <w:t>sem qualquer autorização ou contratação prévia</w:t>
      </w:r>
      <w:r>
        <w:rPr>
          <w:rFonts w:cs="Calibri"/>
          <w:color w:val="000000"/>
          <w:lang w:val="pt-BR"/>
        </w:rPr>
        <w:t xml:space="preserve">. Tal conduta evidencia a </w:t>
      </w:r>
      <w:r>
        <w:rPr>
          <w:rFonts w:cs="Calibri"/>
          <w:b/>
          <w:bCs/>
          <w:color w:val="000000"/>
          <w:lang w:val="pt-BR"/>
        </w:rPr>
        <w:t>má-fé e a prática ilícita do banco</w:t>
      </w:r>
      <w:r>
        <w:rPr>
          <w:rFonts w:cs="Calibri"/>
          <w:color w:val="000000"/>
          <w:lang w:val="pt-BR"/>
        </w:rPr>
        <w:t>, violando frontalmente os direitos do consumidor.</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2694" w:leader="none"/>
        </w:tabs>
        <w:spacing w:lineRule="auto" w:line="300"/>
        <w:ind w:firstLine="1418" w:end="0"/>
        <w:jc w:val="both"/>
        <w:rPr/>
      </w:pPr>
      <w:r>
        <w:rPr>
          <w:rFonts w:cs="Calibri"/>
          <w:color w:val="000000"/>
          <w:lang w:val="pt-BR"/>
        </w:rPr>
        <w:t>É de suma importância destacar no julgamento do I</w:t>
      </w:r>
      <w:r>
        <w:rPr>
          <w:rFonts w:cs="Calibri"/>
          <w:b/>
          <w:bCs/>
          <w:color w:val="000000"/>
          <w:lang w:val="pt-BR"/>
        </w:rPr>
        <w:t>RDR 0005053-71.2023.8.04.0000 – (TEMA 8)</w:t>
      </w:r>
      <w:r>
        <w:rPr>
          <w:rFonts w:cs="Calibri"/>
          <w:color w:val="000000"/>
          <w:lang w:val="pt-BR"/>
        </w:rPr>
        <w:t xml:space="preserve">, que tramitou no Tribunal Pleno, sob a relatoria do Exmo. Desembargador João de Jesus Abdala Simões, houve em reconhecer por unanimidade, a incidência de dano moral </w:t>
      </w:r>
      <w:r>
        <w:rPr>
          <w:rFonts w:cs="Calibri"/>
          <w:i/>
          <w:iCs/>
          <w:color w:val="000000"/>
          <w:lang w:val="pt-BR"/>
        </w:rPr>
        <w:t>in re ipsa</w:t>
      </w:r>
      <w:r>
        <w:rPr>
          <w:rFonts w:cs="Calibri"/>
          <w:color w:val="000000"/>
          <w:lang w:val="pt-BR"/>
        </w:rPr>
        <w:t xml:space="preserve">, quando realizados descontos na conta bancária do consumidor sem a sua prévia anuência. </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2694" w:leader="none"/>
        </w:tabs>
        <w:spacing w:lineRule="auto" w:line="300"/>
        <w:ind w:firstLine="1418" w:end="0"/>
        <w:jc w:val="both"/>
        <w:rPr/>
      </w:pPr>
      <w:r>
        <w:rPr>
          <w:rFonts w:cs="Calibri"/>
          <w:color w:val="000000"/>
          <w:lang w:val="pt-BR"/>
        </w:rPr>
        <w:t xml:space="preserve">A jurisprudência é pacífica ao reconhecer que a subtração não autorizada de valores em conta bancária configura </w:t>
      </w:r>
      <w:r>
        <w:rPr>
          <w:rFonts w:cs="Calibri"/>
          <w:b/>
          <w:bCs/>
          <w:color w:val="000000"/>
          <w:lang w:val="pt-BR"/>
        </w:rPr>
        <w:t>dano moral indenizável</w:t>
      </w:r>
      <w:r>
        <w:rPr>
          <w:rFonts w:cs="Calibri"/>
          <w:color w:val="000000"/>
          <w:lang w:val="pt-BR"/>
        </w:rPr>
        <w:t>, por afetar a confiança do cliente na instituição financeira e a sua segurança patrimonial.</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t xml:space="preserve">  </w:t>
      </w:r>
    </w:p>
    <w:p>
      <w:pPr>
        <w:pStyle w:val="Normal"/>
        <w:spacing w:lineRule="auto" w:line="300"/>
        <w:ind w:firstLine="1418" w:end="0"/>
        <w:jc w:val="both"/>
        <w:rPr/>
      </w:pPr>
      <w:r>
        <w:rPr>
          <w:rFonts w:cs="Calibri"/>
          <w:color w:val="000000"/>
          <w:lang w:val="pt-BR"/>
        </w:rPr>
        <w:t xml:space="preserve">Nesse sentido, destacamos V. Acórdão, datado de </w:t>
      </w:r>
      <w:r>
        <w:rPr>
          <w:rFonts w:cs="Calibri"/>
          <w:b/>
          <w:bCs/>
          <w:color w:val="000000"/>
          <w:lang w:val="pt-BR"/>
        </w:rPr>
        <w:t>04/11/2020</w:t>
      </w:r>
      <w:r>
        <w:rPr>
          <w:rFonts w:cs="Calibri"/>
          <w:color w:val="000000"/>
          <w:lang w:val="pt-BR"/>
        </w:rPr>
        <w:t xml:space="preserve">, proferida pela </w:t>
      </w:r>
      <w:r>
        <w:rPr>
          <w:rFonts w:cs="Calibri"/>
          <w:b/>
          <w:bCs/>
          <w:color w:val="000000"/>
          <w:lang w:val="pt-BR"/>
        </w:rPr>
        <w:t>03ª Câmara Cível do E. TJ/AM</w:t>
      </w:r>
      <w:r>
        <w:rPr>
          <w:rFonts w:cs="Calibri"/>
          <w:color w:val="000000"/>
          <w:lang w:val="pt-BR"/>
        </w:rPr>
        <w:t xml:space="preserve">, por meio do brilhante voto do </w:t>
      </w:r>
      <w:r>
        <w:rPr>
          <w:rFonts w:cs="Calibri"/>
          <w:b/>
          <w:bCs/>
          <w:color w:val="000000"/>
          <w:lang w:val="pt-BR"/>
        </w:rPr>
        <w:t>Exmo. Desembargador Dr. JOÃO DE JESUS ABDALA SIMÕES</w:t>
      </w:r>
      <w:r>
        <w:rPr>
          <w:rFonts w:cs="Calibri"/>
          <w:color w:val="000000"/>
          <w:lang w:val="pt-BR"/>
        </w:rPr>
        <w:t xml:space="preserve">, nos autos do processo </w:t>
      </w:r>
      <w:r>
        <w:rPr>
          <w:rFonts w:cs="Calibri"/>
          <w:b/>
          <w:bCs/>
          <w:color w:val="000000"/>
          <w:lang w:val="pt-BR"/>
        </w:rPr>
        <w:t>0633797-63.2019.8.04.0001</w:t>
      </w:r>
      <w:r>
        <w:rPr>
          <w:rFonts w:cs="Calibri"/>
          <w:color w:val="000000"/>
          <w:lang w:val="pt-BR"/>
        </w:rPr>
        <w:t xml:space="preserve">, em que figuram como partes </w:t>
      </w:r>
      <w:r>
        <w:rPr>
          <w:rFonts w:cs="Calibri"/>
          <w:b/>
          <w:bCs/>
          <w:color w:val="000000"/>
          <w:lang w:val="pt-BR"/>
        </w:rPr>
        <w:t>José Pires de Souza x Banco Bradesco S/A</w:t>
      </w:r>
      <w:r>
        <w:rPr>
          <w:rFonts w:cs="Calibri"/>
          <w:color w:val="000000"/>
          <w:lang w:val="pt-BR"/>
        </w:rPr>
        <w:t>, confira-se:</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w:t>
      </w:r>
    </w:p>
    <w:p>
      <w:pPr>
        <w:pStyle w:val="Normal"/>
        <w:spacing w:lineRule="auto" w:line="240"/>
        <w:ind w:start="2268" w:end="0"/>
        <w:jc w:val="both"/>
        <w:rPr/>
      </w:pPr>
      <w:r>
        <w:rPr>
          <w:rFonts w:cs="Calibri"/>
          <w:color w:val="000000"/>
          <w:sz w:val="20"/>
          <w:szCs w:val="20"/>
          <w:lang w:val="pt-BR" w:eastAsia="ja-JP"/>
        </w:rPr>
        <w:t>Conforme relatado, o debate trazido na Apelação circunscreve-se na caracterização (ou não) do dano moral, na hipótese de desconto não autorizado em conta bancária.</w:t>
      </w:r>
    </w:p>
    <w:p>
      <w:pPr>
        <w:pStyle w:val="Normal"/>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pPr>
      <w:r>
        <w:rPr>
          <w:rFonts w:cs="Calibri"/>
          <w:b/>
          <w:bCs/>
          <w:color w:val="000000"/>
          <w:sz w:val="20"/>
          <w:szCs w:val="20"/>
          <w:lang w:val="pt-BR" w:eastAsia="ja-JP"/>
        </w:rPr>
        <w:t>Sobre o assunto, necessário asseverar que esta Corte de Justiça tem entendido que a circunstância anteriormente delineada configura sim dano moral. Isso porque, a conduta da instituição financeira priva o seu cliente (</w:t>
      </w:r>
      <w:r>
        <w:rPr>
          <w:rFonts w:cs="Calibri"/>
          <w:b/>
          <w:bCs/>
          <w:i/>
          <w:iCs/>
          <w:color w:val="000000"/>
          <w:sz w:val="20"/>
          <w:szCs w:val="20"/>
          <w:lang w:val="pt-BR" w:eastAsia="ja-JP"/>
        </w:rPr>
        <w:t xml:space="preserve">in casu, </w:t>
      </w:r>
      <w:r>
        <w:rPr>
          <w:rFonts w:cs="Calibri"/>
          <w:b/>
          <w:bCs/>
          <w:color w:val="000000"/>
          <w:sz w:val="20"/>
          <w:szCs w:val="20"/>
          <w:lang w:val="pt-BR" w:eastAsia="ja-JP"/>
        </w:rPr>
        <w:t>o apelante) de recurso financeiro próprio e que deveria ter disponibilidade a qualquer tempo.</w:t>
      </w:r>
    </w:p>
    <w:p>
      <w:pPr>
        <w:pStyle w:val="Normal"/>
        <w:spacing w:lineRule="auto" w:line="240"/>
        <w:ind w:start="2268" w:end="0"/>
        <w:jc w:val="both"/>
        <w:rPr>
          <w:rFonts w:cs="Calibri"/>
          <w:b/>
          <w:bCs/>
          <w:color w:val="000000"/>
          <w:sz w:val="20"/>
          <w:szCs w:val="20"/>
          <w:lang w:val="pt-BR" w:eastAsia="ja-JP"/>
        </w:rPr>
      </w:pPr>
      <w:r>
        <w:rPr>
          <w:rFonts w:cs="Calibri"/>
          <w:b/>
          <w:bCs/>
          <w:color w:val="000000"/>
          <w:sz w:val="20"/>
          <w:szCs w:val="20"/>
          <w:lang w:val="pt-BR" w:eastAsia="ja-JP"/>
        </w:rPr>
      </w:r>
    </w:p>
    <w:p>
      <w:pPr>
        <w:pStyle w:val="Normal"/>
        <w:spacing w:lineRule="auto" w:line="240"/>
        <w:ind w:start="2268" w:end="0"/>
        <w:jc w:val="both"/>
        <w:rPr/>
      </w:pPr>
      <w:r>
        <w:rPr>
          <w:rFonts w:cs="Calibri"/>
          <w:color w:val="000000"/>
          <w:sz w:val="20"/>
          <w:szCs w:val="20"/>
          <w:lang w:val="pt-BR" w:eastAsia="ja-JP"/>
        </w:rPr>
        <w:t xml:space="preserve">Essa situação, na visão da jurisprudência deste Tribunal, </w:t>
      </w:r>
      <w:r>
        <w:rPr>
          <w:rFonts w:cs="Calibri"/>
          <w:b/>
          <w:bCs/>
          <w:color w:val="000000"/>
          <w:sz w:val="20"/>
          <w:szCs w:val="20"/>
          <w:lang w:val="pt-BR" w:eastAsia="ja-JP"/>
        </w:rPr>
        <w:t>culmina, não só na redução da capacidade econômica do apelante, mas, de igual forma, viola a relação de confiança estabelecida entre o apelante e a instituição financeira, onde seus principais recursos estão depositados.</w:t>
      </w:r>
    </w:p>
    <w:p>
      <w:pPr>
        <w:pStyle w:val="Normal"/>
        <w:spacing w:lineRule="auto" w:line="240"/>
        <w:ind w:start="2268" w:end="0"/>
        <w:jc w:val="both"/>
        <w:rPr>
          <w:rFonts w:cs="Calibri"/>
          <w:b/>
          <w:bCs/>
          <w:color w:val="000000"/>
          <w:sz w:val="20"/>
          <w:szCs w:val="20"/>
          <w:lang w:val="pt-BR" w:eastAsia="ja-JP"/>
        </w:rPr>
      </w:pPr>
      <w:r>
        <w:rPr>
          <w:rFonts w:cs="Calibri"/>
          <w:b/>
          <w:bCs/>
          <w:color w:val="000000"/>
          <w:sz w:val="20"/>
          <w:szCs w:val="20"/>
          <w:lang w:val="pt-BR" w:eastAsia="ja-JP"/>
        </w:rPr>
      </w:r>
    </w:p>
    <w:p>
      <w:pPr>
        <w:pStyle w:val="Normal"/>
        <w:spacing w:lineRule="auto" w:line="240"/>
        <w:ind w:start="2268" w:end="0"/>
        <w:jc w:val="both"/>
        <w:rPr>
          <w:rFonts w:cs="Calibri"/>
          <w:color w:val="000000"/>
          <w:sz w:val="20"/>
          <w:szCs w:val="20"/>
          <w:lang w:val="pt-BR"/>
        </w:rPr>
      </w:pPr>
      <w:r>
        <w:rPr>
          <w:rFonts w:cs="Calibri"/>
          <w:b/>
          <w:bCs/>
          <w:color w:val="000000"/>
          <w:sz w:val="20"/>
          <w:szCs w:val="20"/>
          <w:lang w:val="pt-BR" w:eastAsia="ja-JP"/>
        </w:rPr>
        <w:t>Referida circunstância, portanto, não pode ser enquadrada como mero aborrecimento ou dissabor. Trata-se, em verdade, de dano à personalidade que deve ser indenizado</w:t>
      </w:r>
      <w:r>
        <w:rPr>
          <w:rFonts w:cs="Calibri"/>
          <w:color w:val="000000"/>
          <w:sz w:val="20"/>
          <w:szCs w:val="20"/>
          <w:lang w:val="pt-BR" w:eastAsia="ja-JP"/>
        </w:rPr>
        <w:t>. (...)” (grifo nosso)</w:t>
      </w:r>
    </w:p>
    <w:p>
      <w:pPr>
        <w:pStyle w:val="Normal"/>
        <w:tabs>
          <w:tab w:val="clear" w:pos="720"/>
          <w:tab w:val="left" w:pos="2694" w:leader="none"/>
        </w:tabs>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 xml:space="preserve">No mesmo sentido destacamos </w:t>
      </w:r>
      <w:r>
        <w:rPr>
          <w:rFonts w:cs="Calibri"/>
          <w:b/>
          <w:bCs/>
          <w:color w:val="000000"/>
          <w:lang w:val="pt-BR"/>
        </w:rPr>
        <w:t>V. Acórdão datado de 15/03/2021</w:t>
      </w:r>
      <w:r>
        <w:rPr>
          <w:rFonts w:cs="Calibri"/>
          <w:color w:val="000000"/>
          <w:lang w:val="pt-BR"/>
        </w:rPr>
        <w:t xml:space="preserve">, proferido nos autos do processo </w:t>
      </w:r>
      <w:r>
        <w:rPr>
          <w:rFonts w:cs="Calibri"/>
          <w:b/>
          <w:bCs/>
          <w:color w:val="000000"/>
          <w:lang w:val="pt-BR"/>
        </w:rPr>
        <w:t>0651065-96.2020.8.04.0001</w:t>
      </w:r>
      <w:r>
        <w:rPr>
          <w:rFonts w:cs="Calibri"/>
          <w:color w:val="000000"/>
          <w:lang w:val="pt-BR"/>
        </w:rPr>
        <w:t xml:space="preserve">, pela </w:t>
      </w:r>
      <w:r>
        <w:rPr>
          <w:rFonts w:cs="Calibri"/>
          <w:b/>
          <w:bCs/>
          <w:color w:val="000000"/>
          <w:lang w:val="pt-BR"/>
        </w:rPr>
        <w:t>03ª Câmara Cível do E. Tribunal de Justiça do Amazonas</w:t>
      </w:r>
      <w:r>
        <w:rPr>
          <w:rFonts w:cs="Calibri"/>
          <w:color w:val="000000"/>
          <w:lang w:val="pt-BR"/>
        </w:rPr>
        <w:t xml:space="preserve">, por meio do brilhante voto do </w:t>
      </w:r>
      <w:r>
        <w:rPr>
          <w:rFonts w:cs="Calibri"/>
          <w:b/>
          <w:bCs/>
          <w:color w:val="000000"/>
          <w:lang w:val="pt-BR"/>
        </w:rPr>
        <w:t>Exmo. Desembargador Relator Dr. Lafayette Carneiro Vieira Junior</w:t>
      </w:r>
      <w:r>
        <w:rPr>
          <w:rFonts w:cs="Calibri"/>
          <w:color w:val="000000"/>
          <w:lang w:val="pt-BR"/>
        </w:rPr>
        <w:t>, confira-se:</w:t>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w:t>
      </w:r>
    </w:p>
    <w:p>
      <w:pPr>
        <w:pStyle w:val="Normal"/>
        <w:spacing w:lineRule="auto" w:line="240"/>
        <w:ind w:start="2268" w:end="0"/>
        <w:jc w:val="both"/>
        <w:rPr/>
      </w:pPr>
      <w:r>
        <w:rPr>
          <w:rFonts w:cs="Calibri"/>
          <w:b/>
          <w:bCs/>
          <w:color w:val="000000"/>
          <w:sz w:val="20"/>
          <w:szCs w:val="20"/>
          <w:lang w:val="pt-BR"/>
        </w:rPr>
        <w:t>Por fim, em relação a pretensão recursal da parte autora quanto ao direito a indenização por danos morais, observo que lhe assiste razão. A subtração arbitrária de valores na conta do cliente, a fim de pagar serviços não contratados, é conduta abusiva capaz de gerar abalos emocionais que ultrapassam o mero dissabor, caracterizando dano moral indenizável, em consonância com o reiteradamente decidido por este Egrégio Tribunal de Justiça.</w:t>
      </w:r>
      <w:r>
        <w:rPr>
          <w:rFonts w:cs="Calibri"/>
          <w:color w:val="000000"/>
          <w:sz w:val="20"/>
          <w:szCs w:val="20"/>
          <w:lang w:val="pt-BR"/>
        </w:rPr>
        <w:t xml:space="preserve"> (...)” (grifo nosso)</w:t>
      </w:r>
    </w:p>
    <w:p>
      <w:pPr>
        <w:pStyle w:val="Normal"/>
        <w:spacing w:lineRule="auto" w:line="300"/>
        <w:ind w:start="2835"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2694" w:leader="none"/>
        </w:tabs>
        <w:spacing w:lineRule="auto" w:line="300"/>
        <w:ind w:firstLine="1418" w:end="0"/>
        <w:jc w:val="both"/>
        <w:rPr/>
      </w:pPr>
      <w:r>
        <w:rPr>
          <w:rFonts w:cs="Calibri"/>
          <w:color w:val="000000"/>
          <w:lang w:val="pt-BR"/>
        </w:rPr>
        <w:t>Em outro V. Acórdão proferido pela</w:t>
      </w:r>
      <w:r>
        <w:rPr>
          <w:rFonts w:cs="Calibri"/>
          <w:b/>
          <w:bCs/>
          <w:color w:val="000000"/>
          <w:lang w:val="pt-BR"/>
        </w:rPr>
        <w:t xml:space="preserve"> 02ª Câmara Cível do E. Tribunal de Justiça do Amazonas</w:t>
      </w:r>
      <w:r>
        <w:rPr>
          <w:rFonts w:cs="Calibri"/>
          <w:color w:val="000000"/>
          <w:lang w:val="pt-BR"/>
        </w:rPr>
        <w:t xml:space="preserve">, nos autos do processo </w:t>
      </w:r>
      <w:r>
        <w:rPr>
          <w:rFonts w:cs="Calibri"/>
          <w:b/>
          <w:bCs/>
          <w:color w:val="000000"/>
          <w:lang w:val="pt-BR"/>
        </w:rPr>
        <w:t>0647188-22.2018.8.04.0001</w:t>
      </w:r>
      <w:r>
        <w:rPr>
          <w:rFonts w:cs="Calibri"/>
          <w:color w:val="000000"/>
          <w:lang w:val="pt-BR"/>
        </w:rPr>
        <w:t xml:space="preserve">, por meio do voto do </w:t>
      </w:r>
      <w:r>
        <w:rPr>
          <w:rFonts w:cs="Calibri"/>
          <w:b/>
          <w:bCs/>
          <w:color w:val="000000"/>
          <w:lang w:val="pt-BR"/>
        </w:rPr>
        <w:t>Exmo. Desembargador Relator Dr. Délcio Luís Santos</w:t>
      </w:r>
      <w:r>
        <w:rPr>
          <w:rFonts w:cs="Calibri"/>
          <w:color w:val="000000"/>
          <w:lang w:val="pt-BR"/>
        </w:rPr>
        <w:t xml:space="preserve">, em caso semelhante, houve por reconhecer a incidência de dano moral, uma vez que restou patente a afronta aos direitos de personalidade, pela quebra de confiança do autor-cliente na instituição financeira, devido os descontos realizados em sua conta, sem a sua anuência. Confira-se: </w:t>
      </w:r>
    </w:p>
    <w:p>
      <w:pPr>
        <w:pStyle w:val="Normal"/>
        <w:tabs>
          <w:tab w:val="clear" w:pos="720"/>
          <w:tab w:val="left" w:pos="2694" w:leader="none"/>
        </w:tabs>
        <w:spacing w:lineRule="auto" w:line="300"/>
        <w:ind w:firstLine="2835" w:end="0"/>
        <w:jc w:val="both"/>
        <w:rPr>
          <w:rFonts w:cs="Calibri"/>
          <w:color w:val="000000"/>
          <w:lang w:val="pt-BR"/>
        </w:rPr>
      </w:pPr>
      <w:r>
        <w:rPr>
          <w:rFonts w:cs="Calibri"/>
          <w:color w:val="000000"/>
          <w:lang w:val="pt-BR"/>
        </w:rPr>
      </w:r>
    </w:p>
    <w:p>
      <w:pPr>
        <w:pStyle w:val="Normal"/>
        <w:tabs>
          <w:tab w:val="clear" w:pos="720"/>
          <w:tab w:val="left" w:pos="2268" w:leader="none"/>
        </w:tabs>
        <w:spacing w:lineRule="auto" w:line="240"/>
        <w:ind w:start="2268" w:end="0"/>
        <w:jc w:val="both"/>
        <w:rPr>
          <w:rFonts w:cs="Calibri"/>
          <w:color w:val="000000"/>
          <w:sz w:val="20"/>
          <w:szCs w:val="20"/>
          <w:lang w:val="pt-BR"/>
        </w:rPr>
      </w:pPr>
      <w:r>
        <w:rPr>
          <w:rFonts w:cs="Calibri"/>
          <w:color w:val="000000"/>
          <w:sz w:val="20"/>
          <w:szCs w:val="20"/>
          <w:lang w:val="pt-BR"/>
        </w:rPr>
        <w:t>“(...)</w:t>
      </w:r>
    </w:p>
    <w:p>
      <w:pPr>
        <w:pStyle w:val="Normal"/>
        <w:tabs>
          <w:tab w:val="clear" w:pos="720"/>
          <w:tab w:val="left" w:pos="2268" w:leader="none"/>
        </w:tabs>
        <w:spacing w:lineRule="auto" w:line="240"/>
        <w:ind w:start="2268" w:end="0"/>
        <w:jc w:val="both"/>
        <w:rPr>
          <w:rFonts w:cs="Calibri"/>
          <w:b/>
          <w:bCs/>
          <w:color w:val="000000"/>
          <w:sz w:val="20"/>
          <w:szCs w:val="20"/>
          <w:lang w:val="pt-BR"/>
        </w:rPr>
      </w:pPr>
      <w:r>
        <w:rPr>
          <w:rFonts w:cs="Calibri"/>
          <w:b/>
          <w:bCs/>
          <w:color w:val="000000"/>
          <w:sz w:val="20"/>
          <w:szCs w:val="20"/>
          <w:lang w:val="pt-BR"/>
        </w:rPr>
        <w:t xml:space="preserve">Ademais, não se pode olvidar que essa conduta – retirar quantia indevida da conta corrente do consumidor por longo período – afrontou direitos de personalidade, uma vez que violou a confiança do autor-cliente em sua instituição financeira, bem como excluiu da disposição do apelado valores que lhe pertenciam. </w:t>
      </w:r>
    </w:p>
    <w:p>
      <w:pPr>
        <w:pStyle w:val="Normal"/>
        <w:tabs>
          <w:tab w:val="clear" w:pos="720"/>
          <w:tab w:val="left" w:pos="2268" w:leader="none"/>
        </w:tabs>
        <w:spacing w:lineRule="auto" w:line="240"/>
        <w:ind w:start="2268" w:end="0"/>
        <w:jc w:val="both"/>
        <w:rPr>
          <w:rFonts w:cs="Calibri"/>
          <w:color w:val="000000"/>
          <w:sz w:val="20"/>
          <w:szCs w:val="20"/>
          <w:lang w:val="pt-BR"/>
        </w:rPr>
      </w:pPr>
      <w:r>
        <w:rPr>
          <w:rFonts w:cs="Calibri"/>
          <w:color w:val="000000"/>
          <w:sz w:val="20"/>
          <w:szCs w:val="20"/>
          <w:lang w:val="pt-BR"/>
        </w:rPr>
        <w:t>(...)</w:t>
      </w:r>
    </w:p>
    <w:p>
      <w:pPr>
        <w:pStyle w:val="Normal"/>
        <w:tabs>
          <w:tab w:val="clear" w:pos="720"/>
          <w:tab w:val="left" w:pos="2268" w:leader="none"/>
        </w:tabs>
        <w:spacing w:lineRule="auto" w:line="240"/>
        <w:ind w:start="2268" w:end="0"/>
        <w:jc w:val="both"/>
        <w:rPr/>
      </w:pPr>
      <w:r>
        <w:rPr>
          <w:rFonts w:cs="Calibri"/>
          <w:b/>
          <w:bCs/>
          <w:color w:val="000000"/>
          <w:sz w:val="20"/>
          <w:szCs w:val="20"/>
          <w:lang w:val="pt-BR"/>
        </w:rPr>
        <w:t>Então, presentes os pressupostos da responsabilidade civil, forçosa é a condenação do apelante no pagamento de indenização pelos danos morais experimentados pelo autor.</w:t>
      </w:r>
      <w:r>
        <w:rPr>
          <w:rFonts w:cs="Calibri"/>
          <w:color w:val="000000"/>
          <w:sz w:val="20"/>
          <w:szCs w:val="20"/>
          <w:lang w:val="pt-BR"/>
        </w:rPr>
        <w:t xml:space="preserve"> (...)” (grifo nosso)</w:t>
      </w:r>
    </w:p>
    <w:p>
      <w:pPr>
        <w:pStyle w:val="Normal"/>
        <w:tabs>
          <w:tab w:val="clear" w:pos="720"/>
          <w:tab w:val="left" w:pos="2694" w:leader="none"/>
        </w:tabs>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2694" w:leader="none"/>
        </w:tabs>
        <w:spacing w:lineRule="auto" w:line="300"/>
        <w:ind w:firstLine="1418" w:end="0"/>
        <w:jc w:val="both"/>
        <w:rPr/>
      </w:pPr>
      <w:r>
        <w:rPr>
          <w:rFonts w:cs="Calibri"/>
          <w:color w:val="000000"/>
          <w:lang w:val="pt-BR"/>
        </w:rPr>
        <w:t>Assim, mediante todos os fatos relatados e pelas robustas provas que instruem esta exordial, bem como também restará provado no curso do processo, está patente o nexo de causalidade entre o ato ilícito e o dano causado a parte requerente, em decorrência da conduta ilícita, abusiva e leviana do requerido, o que dá amplo respaldo ao pedido de indenização por danos morais formulado, conforme preconiza os artigos 5°, V e X da CF/88, Artigo 6°, VI do CDC e artigos 186 e 927, parágrafo único, ambos do Código Civil Brasileiro.</w:t>
      </w:r>
    </w:p>
    <w:p>
      <w:pPr>
        <w:pStyle w:val="Normal"/>
        <w:tabs>
          <w:tab w:val="clear" w:pos="720"/>
          <w:tab w:val="left" w:pos="2694" w:leader="none"/>
        </w:tabs>
        <w:spacing w:lineRule="auto" w:line="300"/>
        <w:ind w:firstLine="2835" w:end="0"/>
        <w:jc w:val="both"/>
        <w:rPr>
          <w:rFonts w:cs="Calibri"/>
          <w:color w:val="000000"/>
          <w:lang w:val="pt-BR"/>
        </w:rPr>
      </w:pPr>
      <w:r>
        <w:rPr>
          <w:rFonts w:cs="Calibri"/>
          <w:color w:val="000000"/>
          <w:lang w:val="pt-BR"/>
        </w:rPr>
      </w:r>
    </w:p>
    <w:p>
      <w:pPr>
        <w:pStyle w:val="Normal"/>
        <w:spacing w:lineRule="auto" w:line="240"/>
        <w:ind w:start="2268" w:end="0"/>
        <w:jc w:val="both"/>
        <w:rPr>
          <w:rFonts w:cs="Calibri"/>
          <w:bCs/>
          <w:iCs/>
          <w:color w:val="000000"/>
          <w:sz w:val="20"/>
          <w:szCs w:val="20"/>
          <w:lang w:val="pt-BR" w:eastAsia="pt-BR"/>
        </w:rPr>
      </w:pPr>
      <w:r>
        <w:rPr>
          <w:rFonts w:cs="Calibri"/>
          <w:bCs/>
          <w:iCs/>
          <w:color w:val="000000"/>
          <w:sz w:val="20"/>
          <w:szCs w:val="20"/>
          <w:lang w:val="pt-BR" w:eastAsia="pt-BR"/>
        </w:rPr>
        <w:t>Artigo 5º - (...)</w:t>
      </w:r>
    </w:p>
    <w:p>
      <w:pPr>
        <w:pStyle w:val="Normal"/>
        <w:spacing w:lineRule="auto" w:line="240"/>
        <w:ind w:start="2268" w:end="0"/>
        <w:jc w:val="both"/>
        <w:rPr>
          <w:rFonts w:cs="Calibri"/>
          <w:bCs/>
          <w:iCs/>
          <w:color w:val="000000"/>
          <w:sz w:val="20"/>
          <w:szCs w:val="20"/>
          <w:lang w:val="pt-BR" w:eastAsia="pt-BR"/>
        </w:rPr>
      </w:pPr>
      <w:r>
        <w:rPr>
          <w:rFonts w:cs="Calibri"/>
          <w:bCs/>
          <w:iCs/>
          <w:color w:val="000000"/>
          <w:sz w:val="20"/>
          <w:szCs w:val="20"/>
          <w:lang w:val="pt-BR" w:eastAsia="pt-BR"/>
        </w:rPr>
        <w:t>V – É assegurado o direito de resposta, proporcional ao agravo, além da indenização por dano material, moral ou à imagem;</w:t>
      </w:r>
    </w:p>
    <w:p>
      <w:pPr>
        <w:pStyle w:val="Normal"/>
        <w:spacing w:lineRule="auto" w:line="240"/>
        <w:ind w:start="2268" w:end="0"/>
        <w:jc w:val="both"/>
        <w:rPr>
          <w:rFonts w:cs="Calibri"/>
          <w:bCs/>
          <w:iCs/>
          <w:color w:val="000000"/>
          <w:sz w:val="20"/>
          <w:szCs w:val="20"/>
          <w:lang w:val="pt-BR" w:eastAsia="pt-BR"/>
        </w:rPr>
      </w:pPr>
      <w:r>
        <w:rPr>
          <w:rFonts w:cs="Calibri"/>
          <w:bCs/>
          <w:iCs/>
          <w:color w:val="000000"/>
          <w:sz w:val="20"/>
          <w:szCs w:val="20"/>
          <w:lang w:val="pt-BR" w:eastAsia="pt-BR"/>
        </w:rPr>
        <w:t>(...)</w:t>
      </w:r>
    </w:p>
    <w:p>
      <w:pPr>
        <w:pStyle w:val="Normal"/>
        <w:spacing w:lineRule="auto" w:line="240"/>
        <w:ind w:start="2268" w:end="0"/>
        <w:jc w:val="both"/>
        <w:rPr>
          <w:rFonts w:cs="Calibri"/>
          <w:color w:val="000000"/>
          <w:sz w:val="20"/>
          <w:szCs w:val="20"/>
          <w:lang w:val="pt-BR"/>
        </w:rPr>
      </w:pPr>
      <w:r>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 xml:space="preserve"> </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Artigo 6° - (...)</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VI – a efetiva prevenção e reparação de danos patrimoniais e morais, individuais, coletivos e difusos;</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 xml:space="preserve"> </w:t>
      </w:r>
    </w:p>
    <w:p>
      <w:pPr>
        <w:pStyle w:val="Normal"/>
        <w:spacing w:lineRule="auto" w:line="240"/>
        <w:ind w:start="2268" w:end="0"/>
        <w:jc w:val="both"/>
        <w:rPr/>
      </w:pPr>
      <w:r>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pPr>
        <w:pStyle w:val="Normal"/>
        <w:spacing w:lineRule="auto" w:line="240"/>
        <w:ind w:start="2268" w:end="0"/>
        <w:jc w:val="both"/>
        <w:rPr>
          <w:rFonts w:cs="Calibri"/>
          <w:color w:val="000000"/>
          <w:sz w:val="20"/>
          <w:szCs w:val="20"/>
          <w:lang w:val="pt-BR" w:eastAsia="pt-BR"/>
        </w:rPr>
      </w:pPr>
      <w:r>
        <w:rPr>
          <w:rFonts w:cs="Calibri"/>
          <w:color w:val="000000"/>
          <w:sz w:val="20"/>
          <w:szCs w:val="20"/>
          <w:lang w:val="pt-BR" w:eastAsia="pt-BR"/>
        </w:rPr>
      </w:r>
    </w:p>
    <w:p>
      <w:pPr>
        <w:pStyle w:val="Normal"/>
        <w:spacing w:lineRule="auto" w:line="240"/>
        <w:ind w:start="2268" w:end="0"/>
        <w:jc w:val="both"/>
        <w:rPr>
          <w:rFonts w:cs="Calibri"/>
          <w:color w:val="000000"/>
          <w:sz w:val="20"/>
          <w:szCs w:val="20"/>
          <w:lang w:val="pt-BR" w:eastAsia="pt-BR"/>
        </w:rPr>
      </w:pPr>
      <w:r>
        <w:rPr>
          <w:rFonts w:cs="Calibri"/>
          <w:color w:val="000000"/>
          <w:sz w:val="20"/>
          <w:szCs w:val="20"/>
          <w:lang w:val="pt-BR" w:eastAsia="pt-BR"/>
        </w:rPr>
        <w:t>Artigo 927 – Aquele que, por ato ilícito (arts. 186 e 187), causar dano a outrem, fica obrigado a repará-lo.</w:t>
      </w:r>
    </w:p>
    <w:p>
      <w:pPr>
        <w:pStyle w:val="Normal"/>
        <w:spacing w:lineRule="auto" w:line="240"/>
        <w:ind w:start="2268" w:end="0"/>
        <w:jc w:val="both"/>
        <w:rPr>
          <w:rFonts w:cs="Calibri"/>
          <w:color w:val="000000"/>
          <w:sz w:val="20"/>
          <w:szCs w:val="20"/>
          <w:lang w:val="pt-BR" w:eastAsia="pt-BR"/>
        </w:rPr>
      </w:pPr>
      <w:r>
        <w:rPr>
          <w:rFonts w:cs="Calibri"/>
          <w:color w:val="000000"/>
          <w:sz w:val="20"/>
          <w:szCs w:val="20"/>
          <w:lang w:val="pt-BR" w:eastAsia="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pPr>
        <w:pStyle w:val="Normal"/>
        <w:tabs>
          <w:tab w:val="clear" w:pos="720"/>
          <w:tab w:val="left" w:pos="2694" w:leader="none"/>
        </w:tabs>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tabs>
          <w:tab w:val="clear" w:pos="720"/>
          <w:tab w:val="left" w:pos="2694" w:leader="none"/>
        </w:tabs>
        <w:spacing w:lineRule="auto" w:line="300"/>
        <w:ind w:firstLine="1418" w:end="0"/>
        <w:jc w:val="both"/>
        <w:rPr/>
      </w:pPr>
      <w:r>
        <w:rPr>
          <w:rFonts w:cs="Calibri"/>
          <w:color w:val="000000"/>
          <w:lang w:val="pt-BR"/>
        </w:rPr>
        <w:t>Ao considerar todos os fatos relatados e robustamente provados, não há como eliminar os danos causados à parte requerente, por culpa exclusiva do requerido, sendo que uma vez praticado é impossível a sua reversão, prima-se, ao menos, por uma compensação à vítima pelos transtornos injustamente imputados, tentando, assim, minimizar o seu sofrimento e os efeitos da lesão.</w:t>
      </w:r>
    </w:p>
    <w:p>
      <w:pPr>
        <w:pStyle w:val="Normal"/>
        <w:tabs>
          <w:tab w:val="clear" w:pos="720"/>
          <w:tab w:val="left" w:pos="2694" w:leader="none"/>
        </w:tabs>
        <w:spacing w:lineRule="auto" w:line="300"/>
        <w:ind w:firstLine="2835"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Provada, portanto, a culpa da requerida no cometimento do ato ilícito que, por ação negligente, violou direito e causou danos a parte requerente, deve ser judicialmente compelida a remediar referida lesão, através do pagamento de certa quantia em dinheiro, a qual não reparará o prejuízo incontestável ocasionado a parte requerente, mas trará algum alento a sua resignação.</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Vale destacar a lição de WASHINGTON DE BARROS MONTEIRO, que adiante segue:</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rPr>
        <w:t>“</w:t>
      </w:r>
      <w:r>
        <w:rPr>
          <w:rFonts w:cs="Calibri"/>
          <w:b/>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Pr>
          <w:rFonts w:cs="Calibri"/>
          <w:color w:val="000000"/>
          <w:sz w:val="20"/>
          <w:szCs w:val="20"/>
          <w:lang w:val="pt-BR"/>
        </w:rPr>
        <w:t>”. (Direito Civil, II. São Paulo: Saraiva, p. 431.);</w:t>
      </w:r>
    </w:p>
    <w:p>
      <w:pPr>
        <w:pStyle w:val="Normal"/>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O dano moral, como prática atentatória aos direitos da personalidade, traduz-se num sentimento de pesar íntimo da pessoa ofendida, capaz de lhe gerar alterações psíquicas ou, prejuízos à parte social ou afetiva de seu patrimônio moral. Uma vez que a prova do dano é difícil, até mesmo, impossível, deve ser dispensada a sua demonstração em juízo.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Nesse sentido é o entendimento de Sérgio Cavalieri Filho, CAVALIERE FILHO, Sérgio. Programa de Responsabilidade Civil. 4ª ed., p. 525. São Paulo, Malheiros, 2003, </w:t>
      </w:r>
      <w:r>
        <w:rPr>
          <w:rFonts w:cs="Calibri"/>
          <w:i/>
          <w:color w:val="000000"/>
          <w:lang w:val="pt-BR"/>
        </w:rPr>
        <w:t>in verbis</w:t>
      </w:r>
      <w:r>
        <w:rPr>
          <w:rFonts w:cs="Calibri"/>
          <w:color w:val="000000"/>
          <w:lang w:val="pt-BR"/>
        </w:rPr>
        <w:t>:</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pPr>
      <w:r>
        <w:rPr>
          <w:rFonts w:cs="Calibri"/>
          <w:color w:val="000000"/>
          <w:sz w:val="20"/>
          <w:szCs w:val="20"/>
          <w:lang w:val="pt-BR"/>
        </w:rPr>
        <w:t>“(...) por se tratar de algo imaterial ou ideal a prova do dano moral não pode ser feita através dos mesmos meios utilizados para a comprovação do dano material. Seria uma demasia, alto até impossível, exigir que a vítima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w:t>
      </w:r>
    </w:p>
    <w:p>
      <w:pPr>
        <w:pStyle w:val="Normal"/>
        <w:spacing w:lineRule="auto" w:line="300"/>
        <w:ind w:firstLine="1701"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rFonts w:cs="Calibri"/>
          <w:color w:val="000000"/>
          <w:lang w:val="pt-BR"/>
        </w:rPr>
      </w:pPr>
      <w:r>
        <w:rPr>
          <w:rFonts w:cs="Calibri"/>
          <w:color w:val="000000"/>
          <w:lang w:val="pt-BR"/>
        </w:rPr>
        <w:t>É claro, que o valor do dano moral será fixado a par do prudente arbítrio do magistrado, mas a fixação de tal quantum indenizatório deve resultar da intensidade e da gravidade da ofensa, consoante situação econômica e irresponsabilidade do ofensor.</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Vejamos a lição de Caio Mário da Silva Pereira, PEREIRA, Caio Mário da Silva. Responsabilidade Civil, nº 49. 4ª ed., Rio de Janeiro: Forense, 1993, p. 60:</w:t>
      </w:r>
    </w:p>
    <w:p>
      <w:pPr>
        <w:pStyle w:val="Normal"/>
        <w:spacing w:lineRule="auto" w:line="300"/>
        <w:ind w:firstLine="1701" w:start="-567" w:end="0"/>
        <w:jc w:val="both"/>
        <w:rPr>
          <w:rFonts w:cs="Calibri"/>
          <w:color w:val="000000"/>
          <w:lang w:val="pt-BR"/>
        </w:rPr>
      </w:pPr>
      <w:r>
        <w:rPr>
          <w:rFonts w:cs="Calibri"/>
          <w:color w:val="000000"/>
          <w:lang w:val="pt-BR"/>
        </w:rPr>
        <w:t xml:space="preserve">  </w:t>
      </w:r>
    </w:p>
    <w:p>
      <w:pPr>
        <w:pStyle w:val="Normal"/>
        <w:spacing w:lineRule="auto" w:line="240"/>
        <w:ind w:start="2268" w:end="0"/>
        <w:jc w:val="both"/>
        <w:rPr/>
      </w:pPr>
      <w:r>
        <w:rPr>
          <w:rFonts w:cs="Calibri"/>
          <w:color w:val="000000"/>
          <w:sz w:val="20"/>
          <w:szCs w:val="20"/>
          <w:lang w:val="pt-BR"/>
        </w:rPr>
        <w:t>“A vítima de uma lesão a algum daqueles direitos sem cunho patrimonial efetivo, mas ofendida em um bem jurídico que em certos casos pode ser mesmo mais valioso do que os integrantes de seu patrimônio, deve receber uma soma que lhe compense a dor ou o sofrimento, a ser arbitrada pelo juiz, atendendo às circunstâncias de cada caso, e tendo em vista as posses do ofensor e a situação pessoal do ofendido. Nem tão grande que se converta em fonte de enriquecimento, nem tão pequena que se torne inexpressiva. (Responsabilidade Civil, nº 49, pág. 60, 4ª edição, 1993).”</w:t>
      </w:r>
    </w:p>
    <w:p>
      <w:pPr>
        <w:pStyle w:val="Normal"/>
        <w:spacing w:lineRule="auto" w:line="300"/>
        <w:ind w:firstLine="2835" w:end="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pPr>
      <w:r>
        <w:rPr>
          <w:rFonts w:cs="Calibri"/>
          <w:color w:val="000000"/>
          <w:lang w:val="pt-BR"/>
        </w:rPr>
        <w:t>Flagrante é a negligência da Requerida. E na aferição do quantum indenizatório, CLAYTON REIS (Avaliação do Dano Moral, 1998, Forense), em suas conclusões, assevera que deve ser levado em conta o grau de compreensão das pessoas sobre os seus direitos e obrigações, pois “</w:t>
      </w:r>
      <w:r>
        <w:rPr>
          <w:rFonts w:cs="Calibri"/>
          <w:i/>
          <w:color w:val="000000"/>
          <w:lang w:val="pt-BR"/>
        </w:rPr>
        <w:t>quanto maior, maior será a sua responsabilidade no cometimento de atos ilícitos e, por dedução lógica, maior será o grau de apenamento quando ele romper com o equilíbrio necessário na condução de sua vida social</w:t>
      </w:r>
      <w:r>
        <w:rPr>
          <w:rFonts w:cs="Calibri"/>
          <w:color w:val="000000"/>
          <w:lang w:val="pt-BR"/>
        </w:rPr>
        <w:t>”.</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Continua dizendo que “</w:t>
      </w:r>
      <w:r>
        <w:rPr>
          <w:rFonts w:cs="Calibri"/>
          <w:i/>
          <w:color w:val="000000"/>
          <w:lang w:val="pt-BR"/>
        </w:rPr>
        <w:t>dentro do preceito do “Indubio pro creditori” consubstanciada na norma do art. 948 do Código Civil Brasileiro, o importante é que o lesado, a principal parte do processo indenizatório, seja integralmente satisfeito, de forma que a compensação corresponda ao seu direito maculado pela ação lesiva</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shd w:fill="FFFFFF" w:val="clear"/>
          <w:lang w:val="pt-BR"/>
        </w:rPr>
        <w:t xml:space="preserve">Na verdade, deve-se ter em mente que o objetivo de tal indenização é duplo: </w:t>
      </w:r>
      <w:r>
        <w:rPr>
          <w:rFonts w:cs="Calibri"/>
          <w:b/>
          <w:color w:val="000000"/>
          <w:shd w:fill="FFFFFF" w:val="clear"/>
          <w:lang w:val="pt-BR"/>
        </w:rPr>
        <w:t>satisfativo-punitivo</w:t>
      </w:r>
      <w:r>
        <w:rPr>
          <w:rFonts w:cs="Calibri"/>
          <w:color w:val="000000"/>
          <w:shd w:fill="FFFFFF" w:val="clear"/>
          <w:lang w:val="pt-BR"/>
        </w:rPr>
        <w:t>. Por um lado, a paga em pecúnia deverá proporcionar ao ofendido uma satisfação, uma sensação de compensação capaz de amenizar a dor sentida. Em contrapartida, deverá também a indenização servir como punição ao ofensor, causador do dano, incutindo-lhe um impacto tal, suficiente para dissuadi-lo de um novo atentado.</w:t>
      </w:r>
    </w:p>
    <w:p>
      <w:pPr>
        <w:pStyle w:val="Normal"/>
        <w:spacing w:lineRule="auto" w:line="300"/>
        <w:ind w:firstLine="1418" w:end="0"/>
        <w:jc w:val="both"/>
        <w:rPr>
          <w:rFonts w:cs="Calibri"/>
          <w:color w:val="000000"/>
          <w:shd w:fill="FFFFFF" w:val="clear"/>
          <w:lang w:val="pt-BR"/>
        </w:rPr>
      </w:pPr>
      <w:r>
        <w:rPr>
          <w:rFonts w:cs="Calibri"/>
          <w:color w:val="000000"/>
          <w:shd w:fill="FFFFFF" w:val="clear"/>
          <w:lang w:val="pt-BR"/>
        </w:rPr>
      </w:r>
    </w:p>
    <w:p>
      <w:pPr>
        <w:pStyle w:val="Normal"/>
        <w:spacing w:lineRule="auto" w:line="300"/>
        <w:ind w:firstLine="1418" w:end="0"/>
        <w:jc w:val="both"/>
        <w:rPr/>
      </w:pPr>
      <w:r>
        <w:rPr>
          <w:rFonts w:cs="Calibri"/>
          <w:color w:val="000000"/>
          <w:lang w:val="pt-BR"/>
        </w:rPr>
        <w:t xml:space="preserve">De relevo gizar que, diante da disparidade do poder econômico existente entre a empresa requerida e a parte requerente, e tendo em vista o gravame produzido a está, mister se faz que o </w:t>
      </w:r>
      <w:r>
        <w:rPr>
          <w:rFonts w:cs="Calibri"/>
          <w:i/>
          <w:color w:val="000000"/>
          <w:lang w:val="pt-BR"/>
        </w:rPr>
        <w:t>quantum</w:t>
      </w:r>
      <w:r>
        <w:rPr>
          <w:rFonts w:cs="Calibri"/>
          <w:color w:val="000000"/>
          <w:lang w:val="pt-BR"/>
        </w:rPr>
        <w:t xml:space="preserve"> indenizatório corresponda a uma cifra cujo montante seja capaz de trazer o devido apenamento a requerida, e de persuadi-la a não mais deixar que ocorra tamanho prejuízo contra seus consumidores por sua negligência.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 Assim, o quantum indenizatório, além de servir como lenitivo para a parte requerente, como compensação pelo sofrimento que lhe foi injustamente causado, também deve ter o condão de inibir a continuidade da prática lesiva aos consumidores, por parte da requerida.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 xml:space="preserve">E, ressalve-se, a importância da indenização vai além do caso concreto, posto que a sentença tem alcance muito elevado, na medida em que traz consequências ao direito e a toda a sociedade. </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Nesse diapasão, </w:t>
      </w:r>
      <w:r>
        <w:rPr>
          <w:rFonts w:cs="Calibri"/>
          <w:b/>
          <w:color w:val="000000"/>
          <w:lang w:val="pt-BR"/>
        </w:rPr>
        <w:t xml:space="preserve">Maria Helena Diniz </w:t>
      </w:r>
      <w:r>
        <w:rPr>
          <w:rFonts w:eastAsia="Verdana" w:cs="Calibri"/>
          <w:color w:val="000000"/>
          <w:shd w:fill="FFFFFF" w:val="clear"/>
          <w:lang w:val="pt-BR"/>
        </w:rPr>
        <w:t>traça as seguintes explanações sobre o assunto:</w:t>
      </w:r>
      <w:r>
        <w:rPr>
          <w:rFonts w:cs="Calibri"/>
          <w:color w:val="000000"/>
          <w:lang w:val="pt-BR"/>
        </w:rPr>
        <w:t xml:space="preserve"> ‘’Ao tratar do dano moral, ressalva que a reparação tem sua dupla função, a penal “</w:t>
      </w:r>
      <w:r>
        <w:rPr>
          <w:rFonts w:cs="Calibri"/>
          <w:b/>
          <w:color w:val="000000"/>
          <w:lang w:val="pt-BR"/>
        </w:rPr>
        <w:t>constituindo uma sanção imposta ao ofensor, visando a diminuição de seu patrimônio, pela indenização paga ao ofendido, visto que o bem jurídico da pessoa (integridade física, moral e intelectual) não poderá ser violado impunemente”, e a função satisfatória ou compensatória, pois “o dano moral constitui um menoscabo a interesses jurídicos extrapatrimoniais, provocando sentimentos que não têm satisfação que atenue a ofensa causada</w:t>
      </w:r>
      <w:r>
        <w:rPr>
          <w:rFonts w:cs="Calibri"/>
          <w:color w:val="000000"/>
          <w:u w:val="single"/>
          <w:lang w:val="pt-BR"/>
        </w:rPr>
        <w:t>.</w:t>
      </w:r>
      <w:r>
        <w:rPr>
          <w:rFonts w:cs="Calibri"/>
          <w:color w:val="000000"/>
          <w:lang w:val="pt-BR"/>
        </w:rPr>
        <w:t>” Daí, a necessidade de observar-se às condições de ambas as partes.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Diante do exposto, incontroverso é o direito da parte requerente ao recebimento de indenização referente aos danos morais sofridos, </w:t>
      </w:r>
      <w:r>
        <w:rPr>
          <w:rFonts w:cs="Calibri"/>
          <w:color w:val="000000"/>
          <w:lang w:val="pt-BR" w:eastAsia="pt-BR"/>
        </w:rPr>
        <w:t xml:space="preserve">diante das regras do artigo 5°, inciso V e X, da CF e genericamente arts. 186 e 927 do Código Civil e </w:t>
      </w:r>
      <w:r>
        <w:rPr>
          <w:rFonts w:cs="Calibri"/>
          <w:color w:val="000000"/>
          <w:lang w:val="pt-BR"/>
        </w:rPr>
        <w:t>6°, inciso VI, da Lei 8.078/90</w:t>
      </w:r>
      <w:r>
        <w:rPr>
          <w:rFonts w:cs="Calibri"/>
          <w:color w:val="000000"/>
          <w:lang w:val="pt-BR" w:eastAsia="pt-BR"/>
        </w:rPr>
        <w:t xml:space="preserve">, que a requerida está obrigada à reparação do que injustamente lesou, motivo pelo qual a parte requerente pugna que Vossa Excelência se digne a condenar a requerida ao pagamento do valor de </w:t>
      </w:r>
      <w:r>
        <w:rPr>
          <w:rFonts w:cs="Calibri"/>
          <w:b/>
          <w:color w:val="000000"/>
          <w:lang w:val="pt-BR" w:eastAsia="pt-BR"/>
        </w:rPr>
        <w:t>R$ 10.000,00 (dez mil reais</w:t>
      </w:r>
      <w:r>
        <w:rPr>
          <w:rFonts w:cs="Calibri"/>
          <w:b/>
          <w:color w:val="000000"/>
          <w:lang w:val="pt-BR"/>
        </w:rPr>
        <w:t xml:space="preserve">) </w:t>
      </w:r>
      <w:r>
        <w:rPr>
          <w:rFonts w:cs="Calibri"/>
          <w:b/>
          <w:bCs/>
          <w:color w:val="000000"/>
          <w:lang w:val="pt-BR"/>
        </w:rPr>
        <w:t>a título de indenização por danos morais</w:t>
      </w:r>
      <w:r>
        <w:rPr>
          <w:rFonts w:cs="Calibri"/>
          <w:color w:val="000000"/>
          <w:lang w:val="pt-BR"/>
        </w:rPr>
        <w:t>, devendo incidir correção monetária na forma da Súmula 362 do C. STJ e juros de 1% ao mês na forma da Súmula 54 do C. STJ.</w:t>
      </w:r>
    </w:p>
    <w:p>
      <w:pPr>
        <w:pStyle w:val="Normal"/>
        <w:spacing w:lineRule="auto" w:line="300"/>
        <w:ind w:firstLine="1701" w:end="0"/>
        <w:jc w:val="both"/>
        <w:rPr>
          <w:rFonts w:cs="Calibri"/>
          <w:color w:val="000000"/>
          <w:lang w:val="pt-BR"/>
        </w:rPr>
      </w:pPr>
      <w:r>
        <w:rPr>
          <w:rFonts w:cs="Calibri"/>
          <w:color w:val="000000"/>
          <w:lang w:val="pt-BR"/>
        </w:rPr>
      </w:r>
    </w:p>
    <w:p>
      <w:pPr>
        <w:pStyle w:val="Normal"/>
        <w:pBdr>
          <w:top w:val="single" w:sz="12" w:space="0"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lang w:val="pt-BR"/>
        </w:rPr>
      </w:pPr>
      <w:r>
        <w:rPr>
          <w:rFonts w:cs="Calibri"/>
          <w:b/>
          <w:lang w:val="pt-BR"/>
        </w:rPr>
        <w:t>4 - DO PEDIDO DE TUTELA ANTECIPADA</w:t>
      </w:r>
    </w:p>
    <w:p>
      <w:pPr>
        <w:pStyle w:val="Normal"/>
        <w:spacing w:lineRule="auto" w:line="300"/>
        <w:ind w:firstLine="1701" w:end="0"/>
        <w:jc w:val="both"/>
        <w:rPr>
          <w:rFonts w:cs="Calibri"/>
          <w:b/>
          <w:u w:val="single"/>
          <w:lang w:val="pt-BR"/>
        </w:rPr>
      </w:pPr>
      <w:r>
        <w:rPr>
          <w:rFonts w:cs="Calibri"/>
          <w:b/>
          <w:u w:val="single"/>
          <w:lang w:val="pt-BR"/>
        </w:rPr>
      </w:r>
    </w:p>
    <w:p>
      <w:pPr>
        <w:pStyle w:val="Padro"/>
        <w:tabs>
          <w:tab w:val="left" w:pos="0" w:leader="none"/>
          <w:tab w:val="left" w:pos="708" w:leader="none"/>
        </w:tabs>
        <w:spacing w:lineRule="auto" w:line="300" w:before="0" w:after="0"/>
        <w:ind w:firstLine="1418" w:end="0"/>
        <w:jc w:val="both"/>
        <w:rPr>
          <w:rFonts w:ascii="Calibri" w:hAnsi="Calibri" w:eastAsia="Arial" w:cs="Calibri"/>
          <w:bCs/>
          <w:sz w:val="22"/>
          <w:szCs w:val="22"/>
        </w:rPr>
      </w:pPr>
      <w:r>
        <w:rPr>
          <w:rFonts w:eastAsia="Arial" w:cs="Calibri" w:ascii="Calibri" w:hAnsi="Calibri"/>
          <w:bCs/>
          <w:sz w:val="22"/>
          <w:szCs w:val="22"/>
        </w:rPr>
        <w:t xml:space="preserve">Senhor Julgador, é evidentemente que não se assegura um resultado útil à lide quando pela demora do processo na solução do litígio, perpetua-se uma situação danosa que tende a agredir a necessária igualdade entre as partes litigantes. </w:t>
      </w:r>
    </w:p>
    <w:p>
      <w:pPr>
        <w:pStyle w:val="Padro"/>
        <w:tabs>
          <w:tab w:val="left" w:pos="0" w:leader="none"/>
          <w:tab w:val="left" w:pos="708" w:leader="none"/>
        </w:tabs>
        <w:spacing w:lineRule="auto" w:line="300" w:before="0" w:after="0"/>
        <w:ind w:firstLine="1418" w:end="0"/>
        <w:jc w:val="both"/>
        <w:rPr>
          <w:rFonts w:ascii="Calibri" w:hAnsi="Calibri" w:eastAsia="Arial" w:cs="Calibri"/>
          <w:bCs/>
          <w:sz w:val="22"/>
          <w:szCs w:val="22"/>
        </w:rPr>
      </w:pPr>
      <w:r>
        <w:rPr>
          <w:rFonts w:eastAsia="Arial" w:cs="Calibri" w:ascii="Calibri" w:hAnsi="Calibri"/>
          <w:bCs/>
          <w:sz w:val="22"/>
          <w:szCs w:val="22"/>
        </w:rPr>
      </w:r>
    </w:p>
    <w:p>
      <w:pPr>
        <w:pStyle w:val="Padro"/>
        <w:tabs>
          <w:tab w:val="left" w:pos="0" w:leader="none"/>
          <w:tab w:val="left" w:pos="708" w:leader="none"/>
        </w:tabs>
        <w:spacing w:lineRule="auto" w:line="300" w:before="0" w:after="0"/>
        <w:ind w:firstLine="1418" w:end="0"/>
        <w:jc w:val="both"/>
        <w:rPr/>
      </w:pPr>
      <w:r>
        <w:rPr>
          <w:rFonts w:eastAsia="Arial" w:cs="Calibri" w:ascii="Calibri" w:hAnsi="Calibri"/>
          <w:bCs/>
          <w:sz w:val="22"/>
          <w:szCs w:val="22"/>
        </w:rPr>
        <w:t>Importante ainda destacar que o preceito disposto nos arts. 294 e 300, ambos do NCPC/2015, o legislador visa proteger direito que esteja prestes a ser molestado e a verossimilhança da existência de possibilidade de danos ou o risco ao resultado útil do processo.</w:t>
      </w:r>
    </w:p>
    <w:p>
      <w:pPr>
        <w:pStyle w:val="Normal"/>
        <w:tabs>
          <w:tab w:val="clear" w:pos="720"/>
          <w:tab w:val="left" w:pos="1440" w:leader="none"/>
        </w:tabs>
        <w:spacing w:lineRule="auto" w:line="300"/>
        <w:ind w:firstLine="1418" w:end="0"/>
        <w:jc w:val="both"/>
        <w:rPr>
          <w:rFonts w:ascii="Calibri" w:hAnsi="Calibri" w:eastAsia="Verdana" w:cs="Calibri"/>
          <w:bCs/>
          <w:color w:val="000000"/>
          <w:sz w:val="22"/>
          <w:szCs w:val="22"/>
          <w:shd w:fill="FFFFFF" w:val="clear"/>
          <w:lang w:val="pt-BR"/>
        </w:rPr>
      </w:pPr>
      <w:r>
        <w:rPr>
          <w:rFonts w:eastAsia="Verdana" w:cs="Calibri"/>
          <w:bCs/>
          <w:color w:val="000000"/>
          <w:sz w:val="22"/>
          <w:szCs w:val="22"/>
          <w:shd w:fill="FFFFFF" w:val="clear"/>
          <w:lang w:val="pt-BR"/>
        </w:rPr>
      </w:r>
    </w:p>
    <w:p>
      <w:pPr>
        <w:pStyle w:val="Padro"/>
        <w:tabs>
          <w:tab w:val="left" w:pos="0" w:leader="none"/>
          <w:tab w:val="left" w:pos="708" w:leader="none"/>
        </w:tabs>
        <w:spacing w:lineRule="auto" w:line="300" w:before="0" w:after="0"/>
        <w:ind w:firstLine="1418" w:end="0"/>
        <w:jc w:val="both"/>
        <w:rPr/>
      </w:pPr>
      <w:r>
        <w:rPr>
          <w:rFonts w:eastAsia="Arial" w:cs="Calibri" w:ascii="Calibri" w:hAnsi="Calibri"/>
          <w:bCs/>
          <w:sz w:val="22"/>
          <w:szCs w:val="22"/>
        </w:rPr>
        <w:t xml:space="preserve">Desta forma passamos a destacar o contido nos arts. 294 e 300 ambos do NCPC/2015, </w:t>
      </w:r>
      <w:r>
        <w:rPr>
          <w:rFonts w:eastAsia="Arial" w:cs="Calibri" w:ascii="Calibri" w:hAnsi="Calibri"/>
          <w:bCs/>
          <w:i/>
          <w:sz w:val="22"/>
          <w:szCs w:val="22"/>
        </w:rPr>
        <w:t>in verbis</w:t>
      </w:r>
      <w:r>
        <w:rPr>
          <w:rFonts w:eastAsia="Arial" w:cs="Calibri" w:ascii="Calibri" w:hAnsi="Calibri"/>
          <w:bCs/>
          <w:sz w:val="22"/>
          <w:szCs w:val="22"/>
        </w:rPr>
        <w:t>:</w:t>
      </w:r>
    </w:p>
    <w:p>
      <w:pPr>
        <w:pStyle w:val="Padro"/>
        <w:tabs>
          <w:tab w:val="left" w:pos="0" w:leader="none"/>
          <w:tab w:val="left" w:pos="708" w:leader="none"/>
        </w:tabs>
        <w:spacing w:lineRule="auto" w:line="300" w:before="0" w:after="0"/>
        <w:ind w:firstLine="1701" w:end="0"/>
        <w:jc w:val="both"/>
        <w:rPr>
          <w:rFonts w:ascii="Calibri" w:hAnsi="Calibri" w:eastAsia="Arial" w:cs="Calibri"/>
          <w:bCs/>
          <w:sz w:val="22"/>
          <w:szCs w:val="22"/>
        </w:rPr>
      </w:pPr>
      <w:r>
        <w:rPr>
          <w:rFonts w:eastAsia="Arial" w:cs="Calibri" w:ascii="Calibri" w:hAnsi="Calibri"/>
          <w:bCs/>
          <w:sz w:val="22"/>
          <w:szCs w:val="22"/>
        </w:rPr>
      </w:r>
    </w:p>
    <w:p>
      <w:pPr>
        <w:pStyle w:val="Normal"/>
        <w:spacing w:lineRule="auto" w:line="240"/>
        <w:ind w:start="2268" w:end="0"/>
        <w:jc w:val="both"/>
        <w:rPr>
          <w:rFonts w:cs="Calibri"/>
          <w:sz w:val="20"/>
          <w:szCs w:val="20"/>
          <w:lang w:val="pt-BR"/>
        </w:rPr>
      </w:pPr>
      <w:r>
        <w:rPr>
          <w:rFonts w:cs="Calibri"/>
          <w:sz w:val="20"/>
          <w:szCs w:val="20"/>
          <w:lang w:val="pt-BR"/>
        </w:rPr>
        <w:t>Art. 294. A tutela provisória pode fundamentar-se em urgência ou evidência.</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Parágrafo único. A tutela provisória de urgência, cautelar ou antecipada, poder ser concedida em caráter antecedente ou incidental.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300. </w:t>
      </w:r>
      <w:r>
        <w:rPr>
          <w:rFonts w:cs="Calibri"/>
          <w:b/>
          <w:sz w:val="20"/>
          <w:szCs w:val="20"/>
          <w:lang w:val="pt-BR"/>
        </w:rPr>
        <w:t>A tutela de urgência será concedida quando houver elementos que evidenciem a probabilidade do direito e o perigo de dano ou o risco ao resultado útil do processo.</w:t>
      </w:r>
    </w:p>
    <w:p>
      <w:pPr>
        <w:pStyle w:val="Normal"/>
        <w:tabs>
          <w:tab w:val="clear" w:pos="720"/>
          <w:tab w:val="left" w:pos="1440" w:leader="none"/>
        </w:tabs>
        <w:spacing w:lineRule="auto" w:line="300"/>
        <w:ind w:firstLine="2835" w:end="0"/>
        <w:jc w:val="both"/>
        <w:rPr>
          <w:rFonts w:eastAsia="Verdana" w:cs="Calibri"/>
          <w:color w:val="000000"/>
          <w:sz w:val="20"/>
          <w:szCs w:val="20"/>
          <w:shd w:fill="FFFFFF" w:val="clear"/>
          <w:lang w:val="pt-BR"/>
        </w:rPr>
      </w:pPr>
      <w:r>
        <w:rPr>
          <w:rFonts w:eastAsia="Verdana" w:cs="Calibri"/>
          <w:color w:val="000000"/>
          <w:sz w:val="20"/>
          <w:szCs w:val="20"/>
          <w:shd w:fill="FFFFFF" w:val="clear"/>
          <w:lang w:val="pt-BR"/>
        </w:rPr>
      </w:r>
    </w:p>
    <w:p>
      <w:pPr>
        <w:pStyle w:val="Normal"/>
        <w:tabs>
          <w:tab w:val="clear" w:pos="720"/>
          <w:tab w:val="left" w:pos="1440" w:leader="none"/>
        </w:tabs>
        <w:spacing w:lineRule="auto" w:line="300"/>
        <w:ind w:firstLine="1429" w:start="-11" w:end="0"/>
        <w:jc w:val="both"/>
        <w:rPr/>
      </w:pPr>
      <w:r>
        <w:rPr>
          <w:rFonts w:eastAsia="Verdana" w:cs="Calibri"/>
          <w:lang w:val="pt-BR"/>
        </w:rPr>
        <w:t>Assim, tem-se que a antecipação de tutela é totalmente possível, bastando para tal a comprovação dos requisitos necessários, como por exemplo, a probabilidade do direito e o perigo de dano, uma vez que, conforme se extrai dos documentos acostados a parte requerente está sendo vítima de débitos indevidos em sua conta corrente, conforme atestam e comprovam os extratos que seguem anexo a esta exordial.</w:t>
      </w:r>
      <w:r>
        <w:rPr>
          <w:rFonts w:eastAsia="Arial" w:cs="Calibri"/>
          <w:b/>
          <w:bCs/>
          <w:lang w:val="pt-BR"/>
        </w:rPr>
        <w:t xml:space="preserve"> </w:t>
      </w:r>
    </w:p>
    <w:p>
      <w:pPr>
        <w:pStyle w:val="Padro"/>
        <w:tabs>
          <w:tab w:val="left" w:pos="0" w:leader="none"/>
          <w:tab w:val="left" w:pos="708" w:leader="none"/>
        </w:tabs>
        <w:spacing w:lineRule="auto" w:line="300" w:before="0" w:after="0"/>
        <w:ind w:firstLine="1429" w:end="0"/>
        <w:jc w:val="both"/>
        <w:rPr>
          <w:rFonts w:ascii="Calibri" w:hAnsi="Calibri" w:eastAsia="Arial" w:cs="Calibri"/>
          <w:b/>
          <w:bCs/>
          <w:sz w:val="22"/>
          <w:szCs w:val="22"/>
          <w:lang w:val="pt-BR"/>
        </w:rPr>
      </w:pPr>
      <w:r>
        <w:rPr>
          <w:rFonts w:eastAsia="Arial" w:cs="Calibri" w:ascii="Calibri" w:hAnsi="Calibri"/>
          <w:b/>
          <w:bCs/>
          <w:sz w:val="22"/>
          <w:szCs w:val="22"/>
          <w:lang w:val="pt-BR"/>
        </w:rPr>
      </w:r>
    </w:p>
    <w:p>
      <w:pPr>
        <w:pStyle w:val="PargrafodaLista"/>
        <w:spacing w:lineRule="auto" w:line="300" w:before="0" w:after="0"/>
        <w:ind w:firstLine="1429" w:start="0" w:end="0"/>
        <w:contextualSpacing/>
        <w:jc w:val="both"/>
        <w:rPr/>
      </w:pPr>
      <w:r>
        <w:rPr>
          <w:rFonts w:cs="Calibri"/>
        </w:rPr>
        <w:t>Ademais, conforme demonstrado na narração dos fatos urge, no presente caso, a concessão da tutela antecipada, com a finalidade de que seja cessado os lançamentos de débitos indevido na conta corrente da autora, objeto da lide, até o julgamento final desta ação.</w:t>
      </w:r>
    </w:p>
    <w:p>
      <w:pPr>
        <w:pStyle w:val="Padro"/>
        <w:tabs>
          <w:tab w:val="left" w:pos="0" w:leader="none"/>
          <w:tab w:val="left" w:pos="708" w:leader="none"/>
        </w:tabs>
        <w:spacing w:lineRule="auto" w:line="300" w:before="0" w:after="0"/>
        <w:ind w:firstLine="1429" w:end="0"/>
        <w:jc w:val="both"/>
        <w:rPr>
          <w:rFonts w:ascii="Calibri" w:hAnsi="Calibri" w:eastAsia="Arial" w:cs="Calibri"/>
          <w:bCs/>
          <w:sz w:val="22"/>
          <w:szCs w:val="22"/>
        </w:rPr>
      </w:pPr>
      <w:r>
        <w:rPr>
          <w:rFonts w:eastAsia="Arial" w:cs="Calibri" w:ascii="Calibri" w:hAnsi="Calibri"/>
          <w:bCs/>
          <w:sz w:val="22"/>
          <w:szCs w:val="22"/>
        </w:rPr>
      </w:r>
    </w:p>
    <w:p>
      <w:pPr>
        <w:pStyle w:val="Padro"/>
        <w:tabs>
          <w:tab w:val="left" w:pos="0" w:leader="none"/>
          <w:tab w:val="left" w:pos="708" w:leader="none"/>
        </w:tabs>
        <w:spacing w:lineRule="auto" w:line="300" w:before="0" w:after="0"/>
        <w:ind w:firstLine="1429" w:end="0"/>
        <w:jc w:val="both"/>
        <w:rPr>
          <w:rFonts w:ascii="Calibri" w:hAnsi="Calibri" w:cs="Calibri"/>
          <w:sz w:val="22"/>
          <w:szCs w:val="22"/>
        </w:rPr>
      </w:pPr>
      <w:r>
        <w:rPr>
          <w:rFonts w:eastAsia="Arial" w:cs="Calibri" w:ascii="Calibri" w:hAnsi="Calibri"/>
          <w:bCs/>
          <w:sz w:val="22"/>
          <w:szCs w:val="22"/>
        </w:rPr>
        <w:t>O CDC em seu art. 84, §§ 3° e 4°, dispõe que é perfeitamente possível a antecipação de tutela, bastando que os fatos apresentados sejam relevantes e ainda, ficará ao arbítrio de Vossa Excelência, a estipulação de multa diária nos moldes do parágrafo 4°.</w:t>
      </w:r>
    </w:p>
    <w:p>
      <w:pPr>
        <w:pStyle w:val="Padro"/>
        <w:spacing w:lineRule="auto" w:line="300" w:before="0" w:after="0"/>
        <w:ind w:firstLine="1712" w:start="4111" w:end="0"/>
        <w:jc w:val="both"/>
        <w:rPr>
          <w:rFonts w:ascii="Calibri" w:hAnsi="Calibri" w:eastAsia="Arial" w:cs="Calibri"/>
          <w:b/>
          <w:bCs/>
          <w:sz w:val="22"/>
          <w:szCs w:val="22"/>
        </w:rPr>
      </w:pPr>
      <w:r>
        <w:rPr>
          <w:rFonts w:eastAsia="Arial" w:cs="Calibri" w:ascii="Calibri" w:hAnsi="Calibri"/>
          <w:b/>
          <w:bCs/>
          <w:sz w:val="22"/>
          <w:szCs w:val="22"/>
        </w:rPr>
      </w:r>
    </w:p>
    <w:p>
      <w:pPr>
        <w:pStyle w:val="Normal"/>
        <w:spacing w:lineRule="auto" w:line="240"/>
        <w:ind w:start="2268" w:end="0"/>
        <w:jc w:val="both"/>
        <w:rPr/>
      </w:pPr>
      <w:r>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pPr>
        <w:pStyle w:val="Normal"/>
        <w:spacing w:lineRule="auto" w:line="240"/>
        <w:ind w:start="2268" w:end="0"/>
        <w:jc w:val="both"/>
        <w:rPr>
          <w:rFonts w:cs="Calibri"/>
          <w:sz w:val="20"/>
          <w:szCs w:val="20"/>
          <w:lang w:val="pt-BR"/>
        </w:rPr>
      </w:pPr>
      <w:r>
        <w:rPr>
          <w:rFonts w:cs="Calibri"/>
          <w:sz w:val="20"/>
          <w:szCs w:val="20"/>
          <w:lang w:val="pt-BR"/>
        </w:rPr>
        <w:t>§1° (...)</w:t>
      </w:r>
    </w:p>
    <w:p>
      <w:pPr>
        <w:pStyle w:val="Normal"/>
        <w:spacing w:lineRule="auto" w:line="240"/>
        <w:ind w:start="2268" w:end="0"/>
        <w:jc w:val="both"/>
        <w:rPr>
          <w:rFonts w:cs="Calibri"/>
          <w:sz w:val="20"/>
          <w:szCs w:val="20"/>
          <w:lang w:val="pt-BR"/>
        </w:rPr>
      </w:pPr>
      <w:r>
        <w:rPr>
          <w:rFonts w:cs="Calibri"/>
          <w:sz w:val="20"/>
          <w:szCs w:val="20"/>
          <w:lang w:val="pt-BR"/>
        </w:rPr>
        <w:t>§2° (...)</w:t>
      </w:r>
    </w:p>
    <w:p>
      <w:pPr>
        <w:pStyle w:val="Normal"/>
        <w:spacing w:lineRule="auto" w:line="240"/>
        <w:ind w:start="2268" w:end="0"/>
        <w:jc w:val="both"/>
        <w:rPr>
          <w:rFonts w:cs="Calibri"/>
          <w:sz w:val="20"/>
          <w:szCs w:val="20"/>
          <w:lang w:val="pt-BR"/>
        </w:rPr>
      </w:pPr>
      <w:r>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pPr>
        <w:pStyle w:val="Normal"/>
        <w:spacing w:lineRule="auto" w:line="240"/>
        <w:ind w:start="2268" w:end="0"/>
        <w:jc w:val="both"/>
        <w:rPr/>
      </w:pPr>
      <w:r>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pPr>
        <w:pStyle w:val="Normal"/>
        <w:spacing w:lineRule="auto" w:line="240"/>
        <w:ind w:start="2268" w:end="0"/>
        <w:jc w:val="both"/>
        <w:rPr>
          <w:rFonts w:cs="Calibri"/>
          <w:sz w:val="20"/>
          <w:szCs w:val="20"/>
          <w:lang w:val="pt-BR"/>
        </w:rPr>
      </w:pPr>
      <w:r>
        <w:rPr>
          <w:rFonts w:cs="Calibri"/>
          <w:sz w:val="20"/>
          <w:szCs w:val="20"/>
          <w:lang w:val="pt-BR"/>
        </w:rPr>
        <w:t>§5° (...)</w:t>
      </w:r>
    </w:p>
    <w:p>
      <w:pPr>
        <w:pStyle w:val="Padro"/>
        <w:spacing w:lineRule="auto" w:line="300" w:before="0" w:after="0"/>
        <w:ind w:start="4111" w:end="0"/>
        <w:jc w:val="both"/>
        <w:rPr>
          <w:rFonts w:ascii="Calibri" w:hAnsi="Calibri" w:eastAsia="Arial" w:cs="Calibri"/>
          <w:b/>
          <w:bCs/>
          <w:sz w:val="22"/>
          <w:szCs w:val="22"/>
          <w:lang w:val="pt-BR"/>
        </w:rPr>
      </w:pPr>
      <w:r>
        <w:rPr>
          <w:rFonts w:eastAsia="Arial" w:cs="Calibri" w:ascii="Calibri" w:hAnsi="Calibri"/>
          <w:b/>
          <w:bCs/>
          <w:sz w:val="22"/>
          <w:szCs w:val="22"/>
          <w:lang w:val="pt-BR"/>
        </w:rPr>
      </w:r>
    </w:p>
    <w:p>
      <w:pPr>
        <w:pStyle w:val="PargrafodaLista"/>
        <w:spacing w:lineRule="auto" w:line="300" w:before="0" w:after="0"/>
        <w:ind w:firstLine="1418" w:start="0" w:end="0"/>
        <w:contextualSpacing/>
        <w:jc w:val="both"/>
        <w:rPr/>
      </w:pPr>
      <w:r>
        <w:rPr>
          <w:rFonts w:cs="Calibri"/>
        </w:rPr>
        <w:t xml:space="preserve">No caso, está presente o </w:t>
      </w:r>
      <w:r>
        <w:rPr>
          <w:rFonts w:cs="Calibri"/>
          <w:i/>
        </w:rPr>
        <w:t xml:space="preserve">periculum in mora, </w:t>
      </w:r>
      <w:r>
        <w:rPr>
          <w:rFonts w:cs="Calibri"/>
        </w:rPr>
        <w:t>visto que há restrição irreparável de direitos intrínsecos à pessoa da parte requerente. Outrossim, no caso em tela, há mais do que a probabilidade do direito, há sim, a certeza da sua procedência e a eficiência do provimento final quanto ao constrangimento a que a parte requerente vem passando.</w:t>
      </w:r>
    </w:p>
    <w:p>
      <w:pPr>
        <w:pStyle w:val="PargrafodaLista"/>
        <w:spacing w:lineRule="auto" w:line="300" w:before="0" w:after="0"/>
        <w:ind w:firstLine="1418" w:start="0" w:end="0"/>
        <w:contextualSpacing/>
        <w:jc w:val="both"/>
        <w:rPr>
          <w:rFonts w:cs="Calibri"/>
        </w:rPr>
      </w:pPr>
      <w:r>
        <w:rPr>
          <w:rFonts w:cs="Calibri"/>
        </w:rPr>
      </w:r>
    </w:p>
    <w:p>
      <w:pPr>
        <w:pStyle w:val="Normal"/>
        <w:spacing w:lineRule="auto" w:line="300"/>
        <w:ind w:firstLine="1418" w:end="0"/>
        <w:jc w:val="both"/>
        <w:rPr/>
      </w:pPr>
      <w:r>
        <w:rPr>
          <w:rFonts w:cs="Calibri"/>
          <w:lang w:val="pt-BR"/>
        </w:rPr>
        <w:t xml:space="preserve">Portanto, resta evidente a probabilidade do direito e o </w:t>
      </w:r>
      <w:r>
        <w:rPr>
          <w:rFonts w:cs="Calibri"/>
          <w:i/>
          <w:lang w:val="pt-BR"/>
        </w:rPr>
        <w:t>periculum in mora</w:t>
      </w:r>
      <w:r>
        <w:rPr>
          <w:rFonts w:cs="Calibri"/>
          <w:lang w:val="pt-BR"/>
        </w:rPr>
        <w:t xml:space="preserve">, que justifica a concessão da </w:t>
      </w:r>
      <w:r>
        <w:rPr>
          <w:rFonts w:cs="Calibri"/>
          <w:b/>
          <w:lang w:val="pt-BR"/>
        </w:rPr>
        <w:t xml:space="preserve">TUTELA ANTECIPADA </w:t>
      </w:r>
      <w:r>
        <w:rPr>
          <w:rFonts w:cs="Calibri"/>
          <w:lang w:val="pt-BR"/>
        </w:rPr>
        <w:t xml:space="preserve">com fundamento nos arts. 294 c/c 300, ambos do NCPC/2015, para que o requerido </w:t>
      </w:r>
      <w:r>
        <w:rPr>
          <w:rFonts w:cs="Calibri"/>
          <w:b/>
          <w:lang w:val="pt-BR"/>
        </w:rPr>
        <w:t xml:space="preserve">SUSPENDA os descontos denominados de </w:t>
      </w:r>
      <w:r>
        <w:rPr>
          <w:rFonts w:cs="Calibri"/>
          <w:b/>
          <w:bCs/>
          <w:color w:val="000000"/>
          <w:lang w:val="pt-BR"/>
        </w:rPr>
        <w:t>“Cesta Exclusive”</w:t>
      </w:r>
      <w:r>
        <w:rPr>
          <w:rFonts w:cs="Calibri"/>
          <w:b/>
          <w:color w:val="000000"/>
          <w:lang w:val="pt-BR"/>
        </w:rPr>
        <w:t xml:space="preserve">, </w:t>
      </w:r>
      <w:r>
        <w:rPr>
          <w:rFonts w:cs="Calibri"/>
          <w:b/>
          <w:lang w:val="pt-BR"/>
        </w:rPr>
        <w:t xml:space="preserve">realizados na </w:t>
      </w:r>
      <w:r>
        <w:rPr>
          <w:rFonts w:cs="Calibri"/>
          <w:b/>
          <w:color w:val="000000"/>
          <w:lang w:val="pt-BR"/>
        </w:rPr>
        <w:t>conta corrente 59905-0, agência 3739</w:t>
      </w:r>
      <w:r>
        <w:rPr>
          <w:rFonts w:cs="Calibri"/>
          <w:b/>
          <w:lang w:val="pt-BR"/>
        </w:rPr>
        <w:t xml:space="preserve">, de titularidade da parte requerente, sob pena de multa a ser fixada no valor de R$ 500,00 (quinhentos reais), a título sugestivo, </w:t>
      </w:r>
      <w:r>
        <w:rPr>
          <w:rFonts w:cs="Calibri"/>
          <w:b/>
          <w:u w:val="single"/>
          <w:lang w:val="pt-BR"/>
        </w:rPr>
        <w:t>por cada desconto realizado</w:t>
      </w:r>
      <w:r>
        <w:rPr>
          <w:rFonts w:cs="Calibri"/>
          <w:b/>
          <w:lang w:val="pt-BR"/>
        </w:rPr>
        <w:t>, conforme preceitua o art. 537 do CPC/2015.</w:t>
      </w:r>
    </w:p>
    <w:p>
      <w:pPr>
        <w:pStyle w:val="Normal"/>
        <w:spacing w:lineRule="auto" w:line="300"/>
        <w:ind w:firstLine="2835" w:end="0"/>
        <w:jc w:val="both"/>
        <w:rPr>
          <w:rFonts w:cs="Calibri"/>
          <w:b/>
          <w:color w:val="000000"/>
          <w:lang w:val="pt-BR"/>
        </w:rPr>
      </w:pPr>
      <w:r>
        <w:rPr>
          <w:rFonts w:cs="Calibri"/>
          <w:b/>
          <w:color w:val="000000"/>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pPr>
      <w:r>
        <w:rPr>
          <w:rFonts w:cs="Calibri"/>
          <w:b/>
          <w:color w:val="000000"/>
        </w:rPr>
        <w:t>5 - DA INVERSÃO DO ÔNUS DA PROVA</w:t>
      </w:r>
    </w:p>
    <w:p>
      <w:pPr>
        <w:pStyle w:val="Normal"/>
        <w:spacing w:lineRule="auto" w:line="300"/>
        <w:ind w:firstLine="1416" w:end="0"/>
        <w:jc w:val="both"/>
        <w:textAlignment w:val="top"/>
        <w:rPr>
          <w:rFonts w:cs="Calibri"/>
          <w:b/>
          <w:color w:val="000000"/>
          <w:lang w:val="pt-BR"/>
        </w:rPr>
      </w:pPr>
      <w:r>
        <w:rPr>
          <w:rFonts w:cs="Calibri"/>
          <w:b/>
          <w:color w:val="000000"/>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 xml:space="preserve">A questão do ônus da prova é de relevante importância, visto que a sua inobservância pode vir a acarretar prejuízos aos que a ela se sujeitam, mormente à aplicação do Código de Defesa do Consumidor. </w:t>
      </w:r>
    </w:p>
    <w:p>
      <w:pPr>
        <w:pStyle w:val="Normal"/>
        <w:spacing w:lineRule="auto" w:line="300"/>
        <w:ind w:firstLine="1418" w:start="-567"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Em regra, o ônus da prova incumbe a quem alega o fato gerador do direito mencionado ou a quem o nega fazendo nascer um fato modificativo, conforme disciplina o art. 373, incisos I e II do Novel Código de Processo Civil.</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 xml:space="preserve">Havendo uma relação em que está caracterizada a vulnerabilidade entre as partes, como há de fato, este deve ser agraciado com as normas atinentes na Lei n° 8.078/90, principalmente no que tange aos direitos básicos do consumidor, e a letra da Lei é clara.  </w:t>
      </w:r>
    </w:p>
    <w:p>
      <w:pPr>
        <w:pStyle w:val="Normal"/>
        <w:spacing w:lineRule="auto" w:line="300"/>
        <w:ind w:firstLine="1418" w:end="0"/>
        <w:jc w:val="both"/>
        <w:textAlignment w:val="top"/>
        <w:rPr>
          <w:rFonts w:cs="Calibri"/>
          <w:color w:val="000000"/>
          <w:vertAlign w:val="subscript"/>
          <w:lang w:val="pt-BR"/>
        </w:rPr>
      </w:pPr>
      <w:r>
        <w:rPr>
          <w:rFonts w:cs="Calibri"/>
          <w:color w:val="000000"/>
          <w:lang w:val="pt-BR"/>
        </w:rPr>
        <w:t xml:space="preserve"> </w:t>
      </w:r>
    </w:p>
    <w:p>
      <w:pPr>
        <w:pStyle w:val="Normal"/>
        <w:spacing w:lineRule="auto" w:line="300"/>
        <w:ind w:firstLine="1418" w:end="0"/>
        <w:jc w:val="both"/>
        <w:textAlignment w:val="top"/>
        <w:rPr>
          <w:rFonts w:cs="Calibri"/>
          <w:color w:val="000000"/>
          <w:vertAlign w:val="subscript"/>
          <w:lang w:val="pt-BR"/>
        </w:rPr>
      </w:pPr>
      <w:r>
        <w:rPr>
          <w:rFonts w:cs="Calibri"/>
          <w:color w:val="000000"/>
          <w:lang w:val="pt-BR"/>
        </w:rPr>
        <w:t>Tecidas tais considerações reportemo-nos ao Código de Defesa do Consumidor, que traz uma inovação inserida no inciso VIII, artigo 6º do CDC, onde visa facilitar a defesa do consumidor lesado, com a inversão do ônus da prova, a favor do mesmo, no processo civil só ocorre a inversão, quando, a critério do juiz, for verossímil a alegação, ou quando for ele hipossuficiente, constatando-se a inversão do “</w:t>
      </w:r>
      <w:r>
        <w:rPr>
          <w:rFonts w:cs="Calibri"/>
          <w:i/>
          <w:color w:val="000000"/>
          <w:lang w:val="pt-BR"/>
        </w:rPr>
        <w:t>onus probandi</w:t>
      </w:r>
      <w:r>
        <w:rPr>
          <w:rFonts w:cs="Calibri"/>
          <w:color w:val="000000"/>
          <w:lang w:val="pt-BR"/>
        </w:rPr>
        <w:t xml:space="preserve">”. </w:t>
      </w:r>
    </w:p>
    <w:p>
      <w:pPr>
        <w:pStyle w:val="Normal"/>
        <w:spacing w:lineRule="auto" w:line="300"/>
        <w:ind w:firstLine="1418" w:end="0"/>
        <w:jc w:val="both"/>
        <w:textAlignment w:val="top"/>
        <w:rPr>
          <w:rFonts w:cs="Calibri"/>
          <w:color w:val="000000"/>
          <w:vertAlign w:val="subscript"/>
          <w:lang w:val="pt-BR"/>
        </w:rPr>
      </w:pPr>
      <w:r>
        <w:rPr>
          <w:rFonts w:cs="Calibri"/>
          <w:color w:val="000000"/>
          <w:vertAlign w:val="subscript"/>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 xml:space="preserve">Da exegese do artigo vislumbra-se que para a inversão do ônus da prova se faz necessária à verossimilhança da alegação, conforme o entendimento do Juiz, ou a hipossuficiência da parte requerente. Portanto, são 02 (duas) as situações, presentes no artigo em tela, para a concessão da inversão do ônus da prova, quais sejam: a verossimilhança e/ou a hipossuficiência. </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 xml:space="preserve">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este faz jus, nos termos do art. 6º, VIII da Lei 8.078/90, a INVERSÃO DO ÔNUS DA PROVA, o que requer desde logo. </w:t>
      </w:r>
    </w:p>
    <w:p>
      <w:pPr>
        <w:pStyle w:val="Normal"/>
        <w:spacing w:lineRule="auto" w:line="300"/>
        <w:ind w:firstLine="1701" w:end="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pPr>
      <w:r>
        <w:rPr>
          <w:rFonts w:cs="Calibri"/>
          <w:b/>
          <w:color w:val="000000"/>
          <w:lang w:val="pt-BR"/>
        </w:rPr>
        <w:t>6 - DOS PEDIDOS</w:t>
      </w:r>
    </w:p>
    <w:p>
      <w:pPr>
        <w:pStyle w:val="Normal"/>
        <w:spacing w:lineRule="auto" w:line="300"/>
        <w:ind w:firstLine="1985" w:end="0"/>
        <w:jc w:val="both"/>
        <w:rPr>
          <w:rFonts w:cs="Calibri"/>
          <w:b/>
          <w:color w:val="000000"/>
          <w:lang w:val="pt-BR"/>
        </w:rPr>
      </w:pPr>
      <w:r>
        <w:rPr>
          <w:rFonts w:cs="Calibri"/>
          <w:b/>
          <w:color w:val="000000"/>
          <w:lang w:val="pt-BR"/>
        </w:rPr>
      </w:r>
    </w:p>
    <w:p>
      <w:pPr>
        <w:pStyle w:val="Normal"/>
        <w:spacing w:lineRule="auto" w:line="300"/>
        <w:ind w:firstLine="1418" w:end="0"/>
        <w:jc w:val="both"/>
        <w:rPr>
          <w:rFonts w:cs="Calibri"/>
          <w:color w:val="000000"/>
          <w:lang w:val="pt-BR"/>
        </w:rPr>
      </w:pPr>
      <w:r>
        <w:rPr>
          <w:rFonts w:cs="Calibri"/>
          <w:color w:val="000000"/>
          <w:lang w:val="pt-BR"/>
        </w:rPr>
        <w:t>Diante do exposto, a parte autora requer que Vossa Excelência se digne à:</w:t>
      </w:r>
    </w:p>
    <w:p>
      <w:pPr>
        <w:pStyle w:val="Normal"/>
        <w:spacing w:lineRule="auto" w:line="300"/>
        <w:ind w:firstLine="1418" w:end="0"/>
        <w:jc w:val="both"/>
        <w:rPr>
          <w:rFonts w:cs="Calibri"/>
          <w:color w:val="000000"/>
          <w:lang w:val="pt-BR"/>
        </w:rPr>
      </w:pPr>
      <w:r>
        <w:rPr>
          <w:rFonts w:cs="Calibri"/>
          <w:color w:val="000000"/>
          <w:lang w:val="pt-BR"/>
        </w:rPr>
      </w:r>
    </w:p>
    <w:p>
      <w:pPr>
        <w:pStyle w:val="PargrafodaLista"/>
        <w:numPr>
          <w:ilvl w:val="0"/>
          <w:numId w:val="4"/>
        </w:numPr>
        <w:spacing w:lineRule="auto" w:line="300" w:before="0" w:after="0"/>
        <w:ind w:firstLine="1418" w:start="0" w:end="0"/>
        <w:contextualSpacing/>
        <w:jc w:val="both"/>
        <w:rPr>
          <w:rFonts w:cs="Calibri"/>
          <w:color w:val="000000"/>
        </w:rPr>
      </w:pPr>
      <w:r>
        <w:rPr>
          <w:rFonts w:cs="Calibri"/>
          <w:color w:val="000000"/>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pPr>
        <w:pStyle w:val="PargrafodaLista"/>
        <w:spacing w:lineRule="auto" w:line="300" w:before="0" w:after="0"/>
        <w:ind w:firstLine="1418" w:start="1701" w:end="0"/>
        <w:contextualSpacing/>
        <w:jc w:val="both"/>
        <w:rPr>
          <w:rFonts w:cs="Calibri"/>
          <w:color w:val="000000"/>
        </w:rPr>
      </w:pPr>
      <w:r>
        <w:rPr>
          <w:rFonts w:cs="Calibri"/>
          <w:color w:val="000000"/>
        </w:rPr>
      </w:r>
    </w:p>
    <w:p>
      <w:pPr>
        <w:pStyle w:val="PargrafodaLista"/>
        <w:numPr>
          <w:ilvl w:val="0"/>
          <w:numId w:val="4"/>
        </w:numPr>
        <w:spacing w:lineRule="auto" w:line="300" w:before="0" w:after="0"/>
        <w:ind w:firstLine="1418" w:start="0" w:end="0"/>
        <w:contextualSpacing/>
        <w:jc w:val="both"/>
        <w:rPr>
          <w:rFonts w:cs="Calibri"/>
          <w:color w:val="000000"/>
        </w:rPr>
      </w:pPr>
      <w:bookmarkStart w:id="0" w:name="_Hlk51333795"/>
      <w:r>
        <w:rPr>
          <w:rFonts w:cs="Calibri"/>
          <w:bCs/>
        </w:rPr>
        <w:t>Conceder a</w:t>
      </w:r>
      <w:r>
        <w:rPr>
          <w:rFonts w:cs="Calibri"/>
          <w:b/>
        </w:rPr>
        <w:t xml:space="preserve"> TUTELA ANTECIPADA </w:t>
      </w:r>
      <w:r>
        <w:rPr>
          <w:rFonts w:cs="Calibri"/>
        </w:rPr>
        <w:t xml:space="preserve">com fundamento nos arts. 294 c/c 300, ambos do NCPC/2015, para que o requerido </w:t>
      </w:r>
      <w:r>
        <w:rPr>
          <w:rFonts w:cs="Calibri"/>
          <w:b/>
        </w:rPr>
        <w:t xml:space="preserve">SUSPENDA os descontos denominados de </w:t>
      </w:r>
      <w:r>
        <w:rPr>
          <w:rFonts w:cs="Calibri"/>
          <w:b/>
          <w:bCs/>
          <w:color w:val="000000"/>
        </w:rPr>
        <w:t>“Cesta Exclusive”</w:t>
      </w:r>
      <w:r>
        <w:rPr>
          <w:rFonts w:cs="Calibri"/>
          <w:b/>
          <w:color w:val="000000"/>
        </w:rPr>
        <w:t xml:space="preserve">, </w:t>
      </w:r>
      <w:r>
        <w:rPr>
          <w:rFonts w:cs="Calibri"/>
          <w:b/>
        </w:rPr>
        <w:t xml:space="preserve">realizados na </w:t>
      </w:r>
      <w:r>
        <w:rPr>
          <w:rFonts w:cs="Calibri"/>
          <w:b/>
          <w:color w:val="000000"/>
        </w:rPr>
        <w:t>conta corrente 59905-0, agência 3739,</w:t>
      </w:r>
      <w:r>
        <w:rPr>
          <w:rFonts w:cs="Calibri"/>
          <w:b/>
        </w:rPr>
        <w:t xml:space="preserve"> de titularidade da parte requerente, sob pena de multa a ser fixada no valor de R$ 500,00 (quinhentos reais), a título sugestivo, por cada desconto realizado, conforme preceitua o art. 537 do CPC/2015.</w:t>
      </w:r>
    </w:p>
    <w:p>
      <w:pPr>
        <w:pStyle w:val="PargrafodaLista"/>
        <w:spacing w:before="0" w:after="0"/>
        <w:ind w:firstLine="1418" w:end="0"/>
        <w:contextualSpacing/>
        <w:rPr>
          <w:rFonts w:cs="Calibri"/>
          <w:color w:val="000000"/>
        </w:rPr>
      </w:pPr>
      <w:r>
        <w:rPr>
          <w:rFonts w:cs="Calibri"/>
          <w:color w:val="000000"/>
        </w:rPr>
      </w:r>
    </w:p>
    <w:p>
      <w:pPr>
        <w:pStyle w:val="PargrafodaLista"/>
        <w:numPr>
          <w:ilvl w:val="0"/>
          <w:numId w:val="4"/>
        </w:numPr>
        <w:spacing w:lineRule="auto" w:line="300" w:before="0" w:after="0"/>
        <w:ind w:firstLine="1418" w:start="0" w:end="0"/>
        <w:contextualSpacing/>
        <w:jc w:val="both"/>
        <w:rPr>
          <w:rFonts w:cs="Calibri"/>
          <w:color w:val="000000"/>
        </w:rPr>
      </w:pPr>
      <w:bookmarkStart w:id="1" w:name="_Hlk51333795"/>
      <w:r>
        <w:rPr>
          <w:rFonts w:cs="Calibri"/>
          <w:color w:val="000000"/>
        </w:rPr>
        <w:t>Determinar a aplicação das Súmulas do</w:t>
      </w:r>
      <w:bookmarkEnd w:id="1"/>
      <w:r>
        <w:rPr>
          <w:rFonts w:cs="Calibri"/>
          <w:color w:val="000000"/>
        </w:rPr>
        <w:t xml:space="preserve"> </w:t>
      </w:r>
      <w:r>
        <w:rPr>
          <w:rFonts w:cs="Calibri"/>
          <w:b/>
          <w:bCs/>
          <w:color w:val="000000"/>
        </w:rPr>
        <w:t>Incidente de Uniformização – IRDR</w:t>
      </w:r>
      <w:r>
        <w:rPr>
          <w:rFonts w:cs="Calibri"/>
          <w:color w:val="000000"/>
        </w:rPr>
        <w:t xml:space="preserve"> </w:t>
      </w:r>
      <w:r>
        <w:rPr>
          <w:rFonts w:cs="Calibri"/>
          <w:b/>
          <w:bCs/>
          <w:color w:val="000000"/>
        </w:rPr>
        <w:t>0000511-49.2018.8.04.9000;</w:t>
      </w:r>
    </w:p>
    <w:p>
      <w:pPr>
        <w:pStyle w:val="PargrafodaLista"/>
        <w:spacing w:before="0" w:after="0"/>
        <w:ind w:firstLine="1418" w:end="0"/>
        <w:contextualSpacing/>
        <w:rPr>
          <w:rFonts w:cs="Calibri"/>
          <w:color w:val="000000"/>
        </w:rPr>
      </w:pPr>
      <w:r>
        <w:rPr>
          <w:rFonts w:cs="Calibri"/>
          <w:color w:val="000000"/>
        </w:rPr>
      </w:r>
    </w:p>
    <w:p>
      <w:pPr>
        <w:pStyle w:val="PargrafodaLista"/>
        <w:numPr>
          <w:ilvl w:val="0"/>
          <w:numId w:val="4"/>
        </w:numPr>
        <w:spacing w:lineRule="auto" w:line="300" w:before="0" w:after="0"/>
        <w:ind w:firstLine="1418" w:start="0" w:end="0"/>
        <w:contextualSpacing/>
        <w:jc w:val="both"/>
        <w:rPr>
          <w:rFonts w:cs="Calibri"/>
          <w:color w:val="000000"/>
        </w:rPr>
      </w:pPr>
      <w:r>
        <w:rPr>
          <w:rFonts w:cs="Calibri"/>
          <w:color w:val="000000"/>
        </w:rPr>
        <w:t>Reconhecer da aplicabilidade do Código de Defesa do Consumidor ao presente caso, declarando como objetiva a responsabilidade do banco requerido;</w:t>
      </w:r>
    </w:p>
    <w:p>
      <w:pPr>
        <w:pStyle w:val="PargrafodaLista"/>
        <w:spacing w:before="0" w:after="0"/>
        <w:ind w:firstLine="1418" w:end="0"/>
        <w:contextualSpacing/>
        <w:rPr>
          <w:rFonts w:cs="Calibri"/>
          <w:color w:val="000000"/>
        </w:rPr>
      </w:pPr>
      <w:r>
        <w:rPr>
          <w:rFonts w:cs="Calibri"/>
          <w:color w:val="000000"/>
        </w:rPr>
      </w:r>
    </w:p>
    <w:p>
      <w:pPr>
        <w:pStyle w:val="PargrafodaLista"/>
        <w:numPr>
          <w:ilvl w:val="0"/>
          <w:numId w:val="4"/>
        </w:numPr>
        <w:spacing w:lineRule="auto" w:line="300" w:before="0" w:after="0"/>
        <w:ind w:firstLine="1418" w:start="0" w:end="0"/>
        <w:contextualSpacing/>
        <w:jc w:val="both"/>
        <w:rPr>
          <w:rFonts w:cs="Calibri"/>
          <w:color w:val="000000"/>
        </w:rPr>
      </w:pPr>
      <w:r>
        <w:rPr>
          <w:rFonts w:cs="Calibri"/>
          <w:color w:val="000000"/>
        </w:rPr>
        <w:t>Determinar a inversão do ônus da prova face a hipossuficiência da parte requerente, nos moldes do art. 6°, VIII do CDC;</w:t>
      </w:r>
      <w:bookmarkStart w:id="2" w:name="_Hlk46234814"/>
    </w:p>
    <w:p>
      <w:pPr>
        <w:pStyle w:val="PargrafodaLista"/>
        <w:spacing w:before="0" w:after="0"/>
        <w:ind w:firstLine="1418" w:end="0"/>
        <w:contextualSpacing/>
        <w:rPr>
          <w:rFonts w:cs="Calibri"/>
          <w:b/>
          <w:bCs/>
          <w:color w:val="000000"/>
        </w:rPr>
      </w:pPr>
      <w:r>
        <w:rPr>
          <w:rFonts w:cs="Calibri"/>
          <w:b/>
          <w:bCs/>
          <w:color w:val="000000"/>
        </w:rPr>
      </w:r>
    </w:p>
    <w:p>
      <w:pPr>
        <w:pStyle w:val="PargrafodaLista"/>
        <w:numPr>
          <w:ilvl w:val="0"/>
          <w:numId w:val="4"/>
        </w:numPr>
        <w:spacing w:lineRule="auto" w:line="300" w:before="0" w:after="0"/>
        <w:ind w:firstLine="1418" w:start="0" w:end="0"/>
        <w:contextualSpacing/>
        <w:jc w:val="both"/>
        <w:rPr>
          <w:rFonts w:cs="Calibri"/>
          <w:color w:val="000000"/>
        </w:rPr>
      </w:pPr>
      <w:r>
        <w:rPr>
          <w:rFonts w:cs="Calibri"/>
          <w:b/>
          <w:bCs/>
          <w:color w:val="000000"/>
        </w:rPr>
        <w:t>Conceder o benefício da Justiça Gratuita</w:t>
      </w:r>
      <w:r>
        <w:rPr>
          <w:rFonts w:cs="Calibri"/>
          <w:color w:val="000000"/>
        </w:rPr>
        <w:t>, com fulcro no art. 9°, I da Constituição do Estado do Amazonas e art. 98 do CPC;</w:t>
      </w:r>
      <w:bookmarkEnd w:id="2"/>
    </w:p>
    <w:p>
      <w:pPr>
        <w:pStyle w:val="PargrafodaLista"/>
        <w:spacing w:before="0" w:after="0"/>
        <w:ind w:firstLine="1418" w:end="0"/>
        <w:contextualSpacing/>
        <w:rPr>
          <w:rFonts w:cs="Calibri"/>
          <w:color w:val="000000"/>
        </w:rPr>
      </w:pPr>
      <w:r>
        <w:rPr>
          <w:rFonts w:cs="Calibri"/>
          <w:color w:val="000000"/>
        </w:rPr>
      </w:r>
    </w:p>
    <w:p>
      <w:pPr>
        <w:pStyle w:val="PargrafodaLista"/>
        <w:numPr>
          <w:ilvl w:val="0"/>
          <w:numId w:val="4"/>
        </w:numPr>
        <w:spacing w:lineRule="auto" w:line="300" w:before="0" w:after="0"/>
        <w:ind w:firstLine="1418" w:start="0" w:end="0"/>
        <w:contextualSpacing/>
        <w:jc w:val="both"/>
        <w:rPr>
          <w:rFonts w:cs="Calibri"/>
          <w:color w:val="000000"/>
        </w:rPr>
      </w:pPr>
      <w:r>
        <w:rPr>
          <w:rFonts w:cs="Calibri"/>
          <w:color w:val="000000"/>
        </w:rPr>
        <w:t xml:space="preserve">Julgar </w:t>
      </w:r>
      <w:r>
        <w:rPr>
          <w:rFonts w:cs="Calibri"/>
          <w:b/>
          <w:color w:val="000000"/>
        </w:rPr>
        <w:t>TOTALMENTE PROCEDENTE</w:t>
      </w:r>
      <w:r>
        <w:rPr>
          <w:rFonts w:cs="Calibri"/>
          <w:color w:val="000000"/>
        </w:rPr>
        <w:t xml:space="preserve"> o pedido para que:</w:t>
      </w:r>
    </w:p>
    <w:p>
      <w:pPr>
        <w:pStyle w:val="PargrafodaLista"/>
        <w:spacing w:lineRule="auto" w:line="300" w:before="0" w:after="0"/>
        <w:ind w:firstLine="1418" w:start="0" w:end="0"/>
        <w:contextualSpacing/>
        <w:rPr>
          <w:rFonts w:cs="Calibri"/>
          <w:color w:val="000000"/>
        </w:rPr>
      </w:pPr>
      <w:r>
        <w:rPr>
          <w:rFonts w:cs="Calibri"/>
          <w:color w:val="000000"/>
        </w:rPr>
      </w:r>
    </w:p>
    <w:p>
      <w:pPr>
        <w:pStyle w:val="Normal"/>
        <w:spacing w:lineRule="auto" w:line="300"/>
        <w:ind w:firstLine="1418" w:end="0"/>
        <w:jc w:val="both"/>
        <w:rPr>
          <w:rFonts w:cs="Calibri"/>
          <w:color w:val="000000"/>
          <w:lang w:val="pt-BR"/>
        </w:rPr>
      </w:pPr>
      <w:r>
        <w:rPr>
          <w:rFonts w:cs="Calibri"/>
          <w:color w:val="000000"/>
          <w:lang w:val="pt-BR"/>
        </w:rPr>
        <w:t>g.1) Em sendo deferida a liminar postulada, seja tornado os efeitos em definitivos;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g.2) Seja determinado que o banco requerido apresente em juízo a solicitação do pacote de serviço </w:t>
      </w:r>
      <w:r>
        <w:rPr>
          <w:rFonts w:cs="Calibri"/>
          <w:bCs/>
          <w:color w:val="000000"/>
          <w:lang w:val="pt-BR"/>
        </w:rPr>
        <w:t>pago</w:t>
      </w:r>
      <w:r>
        <w:rPr>
          <w:rFonts w:cs="Calibri"/>
          <w:color w:val="000000"/>
          <w:lang w:val="pt-BR"/>
        </w:rPr>
        <w:t xml:space="preserve"> referente à tarifa denominada de </w:t>
      </w:r>
      <w:r>
        <w:rPr>
          <w:rFonts w:cs="Calibri"/>
          <w:b/>
          <w:bCs/>
          <w:color w:val="000000"/>
          <w:lang w:val="pt-BR"/>
        </w:rPr>
        <w:t>“Cesta Exclusive”</w:t>
      </w:r>
      <w:r>
        <w:rPr>
          <w:rFonts w:cs="Calibri"/>
          <w:b/>
          <w:color w:val="000000"/>
          <w:lang w:val="pt-BR"/>
        </w:rPr>
        <w:t>,</w:t>
      </w:r>
      <w:r>
        <w:rPr>
          <w:rFonts w:cs="Calibri"/>
          <w:color w:val="000000"/>
          <w:lang w:val="pt-BR"/>
        </w:rPr>
        <w:t xml:space="preserve"> bem como, seja apresentado contrato devidamente assinado pela parte requerente, conforme preceitua a Resolução n° 3.919/2010 em seu art. 8º do Banco Central do Brasil;</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g.3) Seja o banco requerido condenado a restituir o valor de</w:t>
      </w:r>
      <w:r>
        <w:rPr>
          <w:rFonts w:cs="Calibri"/>
          <w:b/>
          <w:color w:val="000000"/>
          <w:lang w:val="pt-BR"/>
        </w:rPr>
        <w:t xml:space="preserve"> R$ 4.416,29 (quatro mil, quatrocentos e dezesseis reais e vinte e nove centavos), </w:t>
      </w:r>
      <w:r>
        <w:rPr>
          <w:rFonts w:cs="Calibri"/>
          <w:color w:val="000000"/>
          <w:lang w:val="pt-BR"/>
        </w:rPr>
        <w:t xml:space="preserve">em dobro, referente aos descontos havidos em sua conta corrente no período de </w:t>
      </w:r>
      <w:r>
        <w:rPr>
          <w:rFonts w:cs="Calibri"/>
          <w:b/>
          <w:bCs/>
          <w:color w:val="000000"/>
          <w:lang w:val="pt-BR"/>
        </w:rPr>
        <w:t xml:space="preserve">15/03/2021 a 04/03/2026, </w:t>
      </w:r>
      <w:r>
        <w:rPr>
          <w:rFonts w:cs="Calibri"/>
          <w:color w:val="000000"/>
          <w:lang w:val="pt-BR"/>
        </w:rPr>
        <w:t xml:space="preserve">denominados de </w:t>
      </w:r>
      <w:r>
        <w:rPr>
          <w:rFonts w:cs="Calibri"/>
          <w:b/>
          <w:bCs/>
          <w:color w:val="000000"/>
          <w:lang w:val="pt-BR"/>
        </w:rPr>
        <w:t>“Cesta Exclusive”</w:t>
      </w:r>
      <w:r>
        <w:rPr>
          <w:rFonts w:cs="Calibri"/>
          <w:color w:val="000000"/>
          <w:lang w:val="pt-BR"/>
        </w:rPr>
        <w:t xml:space="preserve">, na forma do art. 42, parágrafo único do CDC, que em dobro perfaz o montante de </w:t>
      </w:r>
      <w:r>
        <w:rPr>
          <w:rFonts w:cs="Calibri"/>
          <w:b/>
          <w:color w:val="000000"/>
          <w:lang w:val="pt-BR"/>
        </w:rPr>
        <w:t>R$ 4.416,29 x 2 = R$ 8.832,58 (oito mil, oitocentos e trinta e dois reais e cinquenta e oito centavos)</w:t>
      </w:r>
      <w:r>
        <w:rPr>
          <w:rFonts w:cs="Calibri"/>
          <w:color w:val="000000"/>
          <w:lang w:val="pt-BR"/>
        </w:rPr>
        <w:t>, bem como os valores que porventura venham a ser descontados durante o trâmite da demanda.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bCs/>
          <w:color w:val="000000"/>
          <w:lang w:val="pt-BR"/>
        </w:rPr>
        <w:t>g.3.1) Em sendo julgado procedente o pedido de indenização a título de dano material, requer a aplicação de correção monetária a partir da data do efetivo prejuízo – Súmula 43 do C. STJ e juros de 1% ao mês na forma que</w:t>
      </w:r>
      <w:r>
        <w:rPr>
          <w:rFonts w:cs="Calibri"/>
          <w:color w:val="000000"/>
          <w:lang w:val="pt-BR"/>
        </w:rPr>
        <w:t xml:space="preserve"> preconiza a Súmula 54 do C. STJ, como forma da mais lídima Justiça;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g.4) Seja o banco requerido, nos termos do artigo 5°, inciso V da CF/88 c/c art. 186 e art. 927 do Código Civil e art. 6°, inciso VI, da Lei Consumerista, a pagar a autora o valor de </w:t>
      </w:r>
      <w:r>
        <w:rPr>
          <w:rFonts w:cs="Calibri"/>
          <w:b/>
          <w:color w:val="000000"/>
          <w:lang w:val="pt-BR"/>
        </w:rPr>
        <w:t>R$ 10.000,00 (dez mil reais) a título de indenização por danos morais</w:t>
      </w:r>
      <w:r>
        <w:rPr>
          <w:rFonts w:cs="Calibri"/>
          <w:color w:val="000000"/>
          <w:lang w:val="pt-BR"/>
        </w:rPr>
        <w:t>, ou outro valor que Vossa Excelência julgar por certo, devendo incidir correção monetária na forma da Súmula 362 do C. STJ e juros de 1% ao mês na forma da Súmula 54 do C. STJ;</w:t>
      </w:r>
    </w:p>
    <w:p>
      <w:pPr>
        <w:pStyle w:val="PargrafodaLista"/>
        <w:spacing w:lineRule="auto" w:line="300" w:before="0" w:after="0"/>
        <w:ind w:firstLine="1418" w:end="0"/>
        <w:contextualSpacing/>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g.5) Seja determinado o cancelamento dos descontos efetuados na conta corrente da parte requerente sob a rubrica de </w:t>
      </w:r>
      <w:r>
        <w:rPr>
          <w:rFonts w:cs="Calibri"/>
          <w:b/>
          <w:bCs/>
          <w:color w:val="000000"/>
          <w:lang w:val="pt-BR"/>
        </w:rPr>
        <w:t>“Cesta Exclusive”</w:t>
      </w:r>
      <w:r>
        <w:rPr>
          <w:rFonts w:cs="Calibri"/>
          <w:b/>
          <w:color w:val="000000"/>
          <w:lang w:val="pt-BR"/>
        </w:rPr>
        <w:t>;</w:t>
      </w:r>
    </w:p>
    <w:p>
      <w:pPr>
        <w:pStyle w:val="Normal"/>
        <w:spacing w:lineRule="auto" w:line="300"/>
        <w:ind w:firstLine="1418" w:end="0"/>
        <w:jc w:val="both"/>
        <w:rPr>
          <w:rFonts w:cs="Calibri"/>
          <w:b/>
          <w:color w:val="000000"/>
          <w:lang w:val="pt-BR"/>
        </w:rPr>
      </w:pPr>
      <w:r>
        <w:rPr>
          <w:rFonts w:cs="Calibri"/>
          <w:b/>
          <w:color w:val="000000"/>
          <w:lang w:val="pt-BR"/>
        </w:rPr>
      </w:r>
    </w:p>
    <w:p>
      <w:pPr>
        <w:pStyle w:val="PargrafodaLista"/>
        <w:numPr>
          <w:ilvl w:val="0"/>
          <w:numId w:val="4"/>
        </w:numPr>
        <w:spacing w:lineRule="auto" w:line="300" w:before="0" w:after="0"/>
        <w:ind w:firstLine="1418" w:start="0" w:end="0"/>
        <w:contextualSpacing/>
        <w:jc w:val="both"/>
        <w:rPr>
          <w:rFonts w:cs="Calibri"/>
          <w:b/>
          <w:color w:val="000000"/>
        </w:rPr>
      </w:pPr>
      <w:r>
        <w:rPr>
          <w:rFonts w:cs="Calibri"/>
          <w:color w:val="000000"/>
        </w:rPr>
        <w:t>Seja o requerido condenado ao pagamento das custas processuais e de honorários advocatícios de 20% (vinte por cento) sobre o valor apurado, além dos juros e correção monetária, em havendo recurso;</w:t>
      </w:r>
    </w:p>
    <w:p>
      <w:pPr>
        <w:pStyle w:val="PargrafodaLista"/>
        <w:spacing w:lineRule="auto" w:line="300" w:before="0" w:after="0"/>
        <w:ind w:start="1418" w:end="0"/>
        <w:contextualSpacing/>
        <w:jc w:val="both"/>
        <w:rPr>
          <w:rFonts w:cs="Calibri"/>
          <w:b/>
          <w:color w:val="000000"/>
        </w:rPr>
      </w:pPr>
      <w:r>
        <w:rPr>
          <w:rFonts w:cs="Calibri"/>
          <w:b/>
          <w:color w:val="000000"/>
        </w:rPr>
      </w:r>
    </w:p>
    <w:p>
      <w:pPr>
        <w:pStyle w:val="PargrafodaLista"/>
        <w:numPr>
          <w:ilvl w:val="0"/>
          <w:numId w:val="4"/>
        </w:numPr>
        <w:spacing w:lineRule="auto" w:line="300" w:before="0" w:after="0"/>
        <w:ind w:firstLine="1418" w:start="0" w:end="0"/>
        <w:contextualSpacing/>
        <w:jc w:val="both"/>
        <w:rPr>
          <w:rFonts w:cs="Calibri"/>
          <w:b/>
          <w:color w:val="000000"/>
        </w:rPr>
      </w:pPr>
      <w:r>
        <w:rPr>
          <w:rFonts w:cs="Calibri"/>
          <w:color w:val="000000"/>
        </w:rPr>
        <w:t>Determinar que todas as publicações, intimações e notificações pertinentes ao presente feito sejam realizadas em nome do seu patrono</w:t>
      </w:r>
      <w:r>
        <w:rPr>
          <w:rFonts w:cs="Calibri"/>
          <w:b/>
          <w:color w:val="000000"/>
        </w:rPr>
        <w:t xml:space="preserve"> ANDREY AUGUSTO BENTES RAMOS – OAB/AM 7.526</w:t>
      </w:r>
      <w:r>
        <w:rPr>
          <w:rFonts w:cs="Calibri"/>
          <w:color w:val="000000"/>
        </w:rPr>
        <w:t>,</w:t>
      </w:r>
      <w:r>
        <w:rPr>
          <w:rFonts w:cs="Calibri"/>
          <w:b/>
          <w:color w:val="000000"/>
        </w:rPr>
        <w:t xml:space="preserve"> sob pena de nulidade, conforme §5˚, do art. 272 do CPC</w:t>
      </w:r>
      <w:r>
        <w:rPr>
          <w:rFonts w:cs="Calibri"/>
          <w:color w:val="000000"/>
        </w:rPr>
        <w:t>;</w:t>
      </w:r>
    </w:p>
    <w:p>
      <w:pPr>
        <w:pStyle w:val="Normal"/>
        <w:spacing w:lineRule="auto" w:line="300"/>
        <w:ind w:firstLine="1418" w:end="0"/>
        <w:jc w:val="both"/>
        <w:rPr>
          <w:rFonts w:cs="Calibri"/>
          <w:b/>
          <w:color w:val="000000"/>
          <w:lang w:val="pt-BR"/>
        </w:rPr>
      </w:pPr>
      <w:r>
        <w:rPr>
          <w:rFonts w:cs="Calibri"/>
          <w:b/>
          <w:color w:val="000000"/>
          <w:lang w:val="pt-BR"/>
        </w:rPr>
      </w:r>
    </w:p>
    <w:p>
      <w:pPr>
        <w:pStyle w:val="PargrafodaLista"/>
        <w:spacing w:lineRule="auto" w:line="300" w:before="0" w:after="0"/>
        <w:ind w:firstLine="1418" w:start="0" w:end="0"/>
        <w:contextualSpacing/>
        <w:jc w:val="both"/>
        <w:rPr/>
      </w:pPr>
      <w:r>
        <w:rPr>
          <w:rFonts w:cs="Calibri"/>
          <w:color w:val="000000"/>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Dá-se à causa o valor de </w:t>
      </w:r>
      <w:r>
        <w:rPr>
          <w:rFonts w:cs="Calibri"/>
          <w:b/>
          <w:color w:val="000000"/>
          <w:lang w:val="pt-BR"/>
        </w:rPr>
        <w:t>R$ 18.832,58 (dezoito mil, oitocentos e trinta e dois reais e cinquenta e oito centavos)</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Nestes termos,</w:t>
      </w:r>
    </w:p>
    <w:p>
      <w:pPr>
        <w:pStyle w:val="Normal"/>
        <w:spacing w:lineRule="auto" w:line="300"/>
        <w:ind w:firstLine="1418" w:end="0"/>
        <w:jc w:val="both"/>
        <w:rPr>
          <w:rFonts w:cs="Calibri"/>
          <w:color w:val="000000"/>
          <w:lang w:val="pt-BR"/>
        </w:rPr>
      </w:pPr>
      <w:r>
        <w:rPr>
          <w:rFonts w:cs="Calibri"/>
          <w:color w:val="000000"/>
          <w:lang w:val="pt-BR"/>
        </w:rPr>
        <w:t>pede e espera deferimento.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Manaus/AM, 11 de março de 2026.</w:t>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300"/>
        <w:ind w:firstLine="2835" w:end="0"/>
        <w:jc w:val="both"/>
        <w:rPr>
          <w:rFonts w:cs="Calibri"/>
          <w:color w:val="000000"/>
          <w:lang w:val="pt-BR"/>
        </w:rPr>
      </w:pPr>
      <w:r>
        <w:rPr>
          <w:rFonts w:cs="Calibri"/>
          <w:color w:val="000000"/>
          <w:lang w:val="pt-BR"/>
        </w:rPr>
      </w:r>
    </w:p>
    <w:p>
      <w:pPr>
        <w:pStyle w:val="Normal"/>
        <w:spacing w:lineRule="auto" w:line="300"/>
        <w:jc w:val="center"/>
        <w:rPr>
          <w:rFonts w:cs="Calibri"/>
          <w:b/>
          <w:color w:val="000000"/>
          <w:lang w:val="pt-BR"/>
        </w:rPr>
      </w:pPr>
      <w:r>
        <w:rPr>
          <w:rFonts w:cs="Calibri"/>
          <w:b/>
          <w:color w:val="000000"/>
          <w:lang w:val="pt-BR"/>
        </w:rPr>
        <w:t>-ASSINADO ELETRONICAMENTE-</w:t>
      </w:r>
    </w:p>
    <w:p>
      <w:pPr>
        <w:pStyle w:val="Normal"/>
        <w:spacing w:lineRule="auto" w:line="300"/>
        <w:jc w:val="center"/>
        <w:rPr>
          <w:rFonts w:cs="Calibri"/>
          <w:b/>
          <w:color w:val="000000"/>
          <w:lang w:val="pt-BR"/>
        </w:rPr>
      </w:pPr>
      <w:r>
        <w:rPr>
          <w:rFonts w:cs="Calibri"/>
          <w:b/>
          <w:color w:val="000000"/>
          <w:lang w:val="pt-BR"/>
        </w:rPr>
        <w:t>ANDREY AUGUSTO BENTES RAMOS</w:t>
      </w:r>
    </w:p>
    <w:p>
      <w:pPr>
        <w:pStyle w:val="Normal"/>
        <w:spacing w:lineRule="auto" w:line="300"/>
        <w:jc w:val="center"/>
        <w:rPr>
          <w:rFonts w:cs="Calibri"/>
          <w:b/>
          <w:color w:val="000000"/>
          <w:lang w:val="pt-BR"/>
        </w:rPr>
      </w:pPr>
      <w:r>
        <w:rPr>
          <w:rFonts w:cs="Calibri"/>
          <w:b/>
          <w:color w:val="000000"/>
          <w:lang w:val="pt-BR"/>
        </w:rPr>
        <w:t>OAB/AM 7.526</w:t>
      </w:r>
    </w:p>
    <w:p>
      <w:pPr>
        <w:pStyle w:val="Normal"/>
        <w:spacing w:lineRule="auto" w:line="300"/>
        <w:rPr>
          <w:rFonts w:cs="Calibri"/>
          <w:b/>
          <w:color w:val="000000"/>
          <w:lang w:val="pt-BR"/>
        </w:rPr>
      </w:pPr>
      <w:r>
        <w:rPr>
          <w:rFonts w:cs="Calibri"/>
          <w:b/>
          <w:color w:val="000000"/>
          <w:lang w:val="pt-BR"/>
        </w:rPr>
      </w:r>
    </w:p>
    <w:p>
      <w:pPr>
        <w:pStyle w:val="Normal"/>
        <w:spacing w:lineRule="auto" w:line="300"/>
        <w:rPr>
          <w:rFonts w:cs="Calibri"/>
          <w:b/>
          <w:color w:val="000000"/>
          <w:lang w:val="pt-BR"/>
        </w:rPr>
      </w:pPr>
      <w:r>
        <w:rPr>
          <w:rFonts w:cs="Calibri"/>
          <w:b/>
          <w:color w:val="000000"/>
          <w:lang w:val="pt-BR"/>
        </w:rPr>
      </w:r>
    </w:p>
    <w:p>
      <w:pPr>
        <w:pStyle w:val="Normal"/>
        <w:spacing w:lineRule="auto" w:line="300"/>
        <w:jc w:val="both"/>
        <w:rPr>
          <w:rFonts w:cs="Calibri"/>
          <w:bCs/>
          <w:color w:val="000000"/>
          <w:lang w:val="pt-BR"/>
        </w:rPr>
      </w:pPr>
      <w:r>
        <w:rPr>
          <w:rFonts w:cs="Calibri"/>
          <w:bCs/>
          <w:color w:val="000000"/>
          <w:lang w:val="pt-BR"/>
        </w:rPr>
        <w:t xml:space="preserve">Documentos anexos: </w:t>
      </w:r>
    </w:p>
    <w:p>
      <w:pPr>
        <w:pStyle w:val="Normal"/>
        <w:spacing w:lineRule="auto" w:line="300"/>
        <w:jc w:val="both"/>
        <w:rPr>
          <w:rFonts w:cs="Calibri"/>
          <w:bCs/>
          <w:color w:val="000000"/>
          <w:lang w:val="pt-BR"/>
        </w:rPr>
      </w:pPr>
      <w:r>
        <w:rPr>
          <w:rFonts w:cs="Calibri"/>
          <w:bCs/>
          <w:color w:val="000000"/>
          <w:lang w:val="pt-BR"/>
        </w:rPr>
      </w:r>
    </w:p>
    <w:p>
      <w:pPr>
        <w:pStyle w:val="Normal"/>
        <w:numPr>
          <w:ilvl w:val="0"/>
          <w:numId w:val="3"/>
        </w:numPr>
        <w:spacing w:lineRule="auto" w:line="300"/>
        <w:jc w:val="both"/>
        <w:rPr>
          <w:rFonts w:cs="Calibri"/>
          <w:bCs/>
          <w:color w:val="000000"/>
          <w:lang w:val="pt-BR"/>
        </w:rPr>
      </w:pPr>
      <w:r>
        <w:rPr>
          <w:rFonts w:cs="Calibri"/>
          <w:bCs/>
          <w:color w:val="000000"/>
          <w:lang w:val="pt-BR"/>
        </w:rPr>
        <w:t xml:space="preserve">Documento pessoal da parte autora; </w:t>
      </w:r>
    </w:p>
    <w:p>
      <w:pPr>
        <w:pStyle w:val="Normal"/>
        <w:numPr>
          <w:ilvl w:val="0"/>
          <w:numId w:val="3"/>
        </w:numPr>
        <w:spacing w:lineRule="auto" w:line="300"/>
        <w:jc w:val="both"/>
        <w:rPr>
          <w:rFonts w:cs="Calibri"/>
          <w:bCs/>
          <w:color w:val="000000"/>
          <w:lang w:val="pt-BR"/>
        </w:rPr>
      </w:pPr>
      <w:r>
        <w:rPr>
          <w:rFonts w:cs="Calibri"/>
          <w:bCs/>
          <w:color w:val="000000"/>
          <w:lang w:val="pt-BR"/>
        </w:rPr>
        <w:t xml:space="preserve">Instrumento de procuração e declaração de hipossuficiência; </w:t>
      </w:r>
    </w:p>
    <w:p>
      <w:pPr>
        <w:pStyle w:val="Normal"/>
        <w:numPr>
          <w:ilvl w:val="0"/>
          <w:numId w:val="3"/>
        </w:numPr>
        <w:spacing w:lineRule="auto" w:line="300"/>
        <w:jc w:val="both"/>
        <w:rPr>
          <w:rFonts w:cs="Calibri"/>
          <w:bCs/>
          <w:color w:val="000000"/>
          <w:lang w:val="pt-BR"/>
        </w:rPr>
      </w:pPr>
      <w:r>
        <w:rPr>
          <w:rFonts w:cs="Calibri"/>
          <w:bCs/>
          <w:color w:val="000000"/>
          <w:lang w:val="pt-BR"/>
        </w:rPr>
        <w:t xml:space="preserve">Comprovante de residência; </w:t>
      </w:r>
    </w:p>
    <w:p>
      <w:pPr>
        <w:pStyle w:val="Normal"/>
        <w:numPr>
          <w:ilvl w:val="0"/>
          <w:numId w:val="3"/>
        </w:numPr>
        <w:spacing w:lineRule="auto" w:line="300"/>
        <w:jc w:val="both"/>
        <w:rPr>
          <w:rFonts w:cs="Calibri"/>
          <w:bCs/>
          <w:color w:val="000000"/>
          <w:lang w:val="pt-BR"/>
        </w:rPr>
      </w:pPr>
      <w:r>
        <w:rPr>
          <w:rFonts w:cs="Calibri"/>
          <w:bCs/>
          <w:color w:val="000000"/>
          <w:lang w:val="pt-BR"/>
        </w:rPr>
        <w:t>Extrato bancário de 2021 a 2026;</w:t>
      </w:r>
    </w:p>
    <w:p>
      <w:pPr>
        <w:pStyle w:val="Normal"/>
        <w:numPr>
          <w:ilvl w:val="0"/>
          <w:numId w:val="3"/>
        </w:numPr>
        <w:spacing w:lineRule="auto" w:line="300"/>
        <w:jc w:val="both"/>
        <w:rPr>
          <w:rFonts w:cs="Calibri"/>
          <w:bCs/>
          <w:color w:val="000000"/>
          <w:lang w:val="pt-BR"/>
        </w:rPr>
      </w:pPr>
      <w:r>
        <w:rPr>
          <w:rFonts w:cs="Calibri"/>
          <w:bCs/>
          <w:color w:val="000000"/>
          <w:lang w:val="pt-BR"/>
        </w:rPr>
        <w:t>Planilha de cálculo.</w:t>
      </w:r>
    </w:p>
    <w:p>
      <w:pPr>
        <w:pStyle w:val="Normal"/>
        <w:spacing w:lineRule="auto" w:line="300"/>
        <w:jc w:val="center"/>
        <w:rPr>
          <w:rFonts w:cs="Calibri"/>
          <w:b/>
          <w:bCs/>
          <w:color w:val="000000"/>
          <w:lang w:val="pt-BR"/>
        </w:rPr>
      </w:pPr>
      <w:r>
        <w:rPr>
          <w:rFonts w:cs="Calibri"/>
          <w:b/>
          <w:bCs/>
          <w:color w:val="000000"/>
          <w:lang w:val="pt-BR"/>
        </w:rPr>
      </w:r>
    </w:p>
    <w:p>
      <w:pPr>
        <w:pStyle w:val="Normal"/>
        <w:spacing w:lineRule="auto" w:line="300"/>
        <w:jc w:val="center"/>
        <w:rPr>
          <w:rFonts w:cs="Calibri"/>
          <w:b/>
          <w:color w:val="000000"/>
          <w:lang w:val="pt-BR"/>
        </w:rPr>
      </w:pPr>
      <w:r>
        <w:rPr>
          <w:rFonts w:cs="Calibri"/>
          <w:b/>
          <w:color w:val="000000"/>
          <w:lang w:val="pt-BR"/>
        </w:rPr>
      </w:r>
    </w:p>
    <w:sectPr>
      <w:headerReference w:type="default" r:id="rId3"/>
      <w:footerReference w:type="default" r:id="rId4"/>
      <w:type w:val="nextPage"/>
      <w:pgSz w:w="11906" w:h="16838"/>
      <w:pgMar w:left="1440" w:right="1275" w:gutter="0" w:header="284" w:top="1440" w:footer="29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Antique Olive">
    <w:charset w:val="00" w:characterSet="windows-1252"/>
    <w:family w:val="swiss"/>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Bookman Old Style">
    <w:charset w:val="00" w:characterSet="windows-1252"/>
    <w:family w:val="roman"/>
    <w:pitch w:val="variable"/>
  </w:font>
  <w:font w:name="Segoe UI Emoj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spacing w:lineRule="auto" w:line="240"/>
      <w:jc w:val="both"/>
      <w:rPr>
        <w:sz w:val="18"/>
        <w:szCs w:val="18"/>
        <w:lang w:val="pt-BR"/>
      </w:rPr>
    </w:pPr>
    <w:r>
      <w:rPr>
        <w:rFonts w:cs="Segoe UI Emoji" w:ascii="Segoe UI Emoji" w:hAnsi="Segoe UI Emoji"/>
        <w:sz w:val="16"/>
        <w:szCs w:val="16"/>
      </w:rPr>
      <w:t>🏛️</w:t>
    </w:r>
    <w:r>
      <w:rPr>
        <w:rFonts w:cs="Calibri"/>
        <w:sz w:val="16"/>
        <w:szCs w:val="16"/>
        <w:lang w:val="pt-BR"/>
      </w:rPr>
      <w:t xml:space="preserve"> </w:t>
    </w:r>
    <w:r>
      <w:rPr>
        <w:b/>
        <w:bCs/>
        <w:sz w:val="16"/>
        <w:szCs w:val="16"/>
        <w:lang w:val="pt-BR"/>
      </w:rPr>
      <w:t>BENTES RAMOS ADVOCACIA E CONSULTORIA JURÍDICA</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sz w:val="16"/>
        <w:szCs w:val="16"/>
        <w:lang w:val="pt-BR"/>
      </w:rPr>
      <w:t>Rua Salvador, 120, Sala 708 – Vieiralves Business Center – Adrianópolis, Manaus/AM – CEP 69057-040</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sz w:val="16"/>
        <w:szCs w:val="16"/>
        <w:lang w:val="pt-BR"/>
      </w:rPr>
      <w:t xml:space="preserve">(92) 3343-6173   |   </w:t>
    </w:r>
    <w:r>
      <w:rPr>
        <w:rFonts w:cs="Segoe UI Emoji" w:ascii="Segoe UI Emoji" w:hAnsi="Segoe UI Emoji"/>
        <w:sz w:val="16"/>
        <w:szCs w:val="16"/>
      </w:rPr>
      <w:t>📱</w:t>
    </w:r>
    <w:r>
      <w:rPr>
        <w:sz w:val="16"/>
        <w:szCs w:val="16"/>
        <w:lang w:val="pt-BR"/>
      </w:rPr>
      <w:t xml:space="preserve"> (92) 98223-7330 / (92) 99160-4348 / 98588-8190</w:t>
    </w:r>
  </w:p>
  <w:p>
    <w:pPr>
      <w:pStyle w:val="Footer"/>
      <w:jc w:val="both"/>
      <w:rPr/>
    </w:pPr>
    <w:r>
      <w:rPr>
        <w:rFonts w:cs="Segoe UI Emoji" w:ascii="Segoe UI Emoji" w:hAnsi="Segoe UI Emoji"/>
        <w:sz w:val="16"/>
        <w:szCs w:val="16"/>
        <w:lang w:val="pt-BR"/>
      </w:rPr>
      <w:t>✉</w:t>
    </w:r>
    <w:r>
      <w:rPr>
        <w:rFonts w:cs="Segoe UI Emoji" w:ascii="Segoe UI Emoji" w:hAnsi="Segoe UI Emoji"/>
        <w:sz w:val="16"/>
        <w:szCs w:val="16"/>
      </w:rPr>
      <w:t>️</w:t>
    </w:r>
    <w:r>
      <w:rPr>
        <w:rFonts w:cs="Calibri"/>
        <w:sz w:val="16"/>
        <w:szCs w:val="16"/>
        <w:lang w:val="pt-BR"/>
      </w:rPr>
      <w:t xml:space="preserve"> </w:t>
    </w:r>
    <w:r>
      <w:rPr>
        <w:sz w:val="16"/>
        <w:szCs w:val="16"/>
        <w:lang w:val="pt-BR"/>
      </w:rPr>
      <w:t xml:space="preserve">juridico@bentesramos.adv.br   |   </w:t>
    </w:r>
    <w:r>
      <w:rPr>
        <w:rFonts w:cs="Segoe UI Emoji" w:ascii="Segoe UI Emoji" w:hAnsi="Segoe UI Emoji"/>
        <w:sz w:val="16"/>
        <w:szCs w:val="16"/>
      </w:rPr>
      <w:t>🌐</w:t>
    </w:r>
    <w:r>
      <w:rPr>
        <w:sz w:val="16"/>
        <w:szCs w:val="16"/>
        <w:lang w:val="pt-BR"/>
      </w:rPr>
      <w:t xml:space="preserve"> www.bentesramos.com.br</w:t>
    </w:r>
    <w:r>
      <w:rPr>
        <w:sz w:val="14"/>
        <w:szCs w:val="14"/>
        <w:lang w:val="pt-B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lang w:val="pt-BR"/>
      </w:rPr>
      <w:drawing>
        <wp:inline distT="0" distB="0" distL="0" distR="0">
          <wp:extent cx="1892300" cy="10287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7" t="-13" r="-7" b="-13"/>
                  <a:stretch>
                    <a:fillRect/>
                  </a:stretch>
                </pic:blipFill>
                <pic:spPr bwMode="auto">
                  <a:xfrm>
                    <a:off x="0" y="0"/>
                    <a:ext cx="1892300" cy="102870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isLgl/>
      <w:numFmt w:val="decimal"/>
      <w:lvlText w:val="%1.%2"/>
      <w:lvlJc w:val="start"/>
      <w:pPr>
        <w:tabs>
          <w:tab w:val="num" w:pos="0"/>
        </w:tabs>
        <w:ind w:start="4613"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1800" w:hanging="1440"/>
      </w:pPr>
      <w:rPr/>
    </w:lvl>
  </w:abstractNum>
  <w:abstractNum w:abstractNumId="3">
    <w:lvl w:ilvl="0">
      <w:start w:val="1"/>
      <w:numFmt w:val="decimal"/>
      <w:lvlText w:val="%1."/>
      <w:lvlJc w:val="start"/>
      <w:pPr>
        <w:tabs>
          <w:tab w:val="num" w:pos="0"/>
        </w:tabs>
        <w:ind w:start="720" w:hanging="360"/>
      </w:pPr>
      <w:rPr/>
    </w:lvl>
  </w:abstractNum>
  <w:abstractNum w:abstractNumId="4">
    <w:lvl w:ilvl="0">
      <w:start w:val="1"/>
      <w:numFmt w:val="lowerLetter"/>
      <w:lvlText w:val="%1)"/>
      <w:lvlJc w:val="start"/>
      <w:pPr>
        <w:tabs>
          <w:tab w:val="num" w:pos="0"/>
        </w:tabs>
        <w:ind w:start="502" w:hanging="360"/>
      </w:pPr>
      <w:rPr>
        <w:b w:val="false"/>
        <w:bC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lineRule="auto" w:line="240" w:before="480" w:after="0"/>
      <w:outlineLvl w:val="0"/>
    </w:pPr>
    <w:rPr>
      <w:rFonts w:ascii="Calibri Light" w:hAnsi="Calibri Light" w:eastAsia="Times New Roman" w:cs="Calibri Light"/>
      <w:b/>
      <w:bCs/>
      <w:color w:val="2E74B5"/>
      <w:sz w:val="28"/>
      <w:szCs w:val="2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b w:val="false"/>
      <w:bCs/>
    </w:rPr>
  </w:style>
  <w:style w:type="character" w:styleId="WW8Num7z0">
    <w:name w:val="WW8Num7z0"/>
    <w:qFormat/>
    <w:rPr>
      <w:b/>
    </w:rPr>
  </w:style>
  <w:style w:type="character" w:styleId="WW8Num7z1">
    <w:name w:val="WW8Num7z1"/>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Fontepargpadro">
    <w:name w:val="Fonte parág. padrão"/>
    <w:qFormat/>
    <w:rPr/>
  </w:style>
  <w:style w:type="character" w:styleId="Ttulo1Char">
    <w:name w:val="Título 1 Char"/>
    <w:qFormat/>
    <w:rPr>
      <w:rFonts w:ascii="Calibri Light" w:hAnsi="Calibri Light" w:eastAsia="Times New Roman" w:cs="Calibri Light"/>
      <w:b/>
      <w:bCs/>
      <w:color w:val="2E74B5"/>
      <w:sz w:val="28"/>
      <w:szCs w:val="28"/>
    </w:rPr>
  </w:style>
  <w:style w:type="character" w:styleId="Ttulo2Char">
    <w:name w:val="Título 2 Char"/>
    <w:qFormat/>
    <w:rPr>
      <w:rFonts w:ascii="Times New Roman" w:hAnsi="Times New Roman" w:eastAsia="Times New Roman" w:cs="Times New Roman"/>
      <w:b/>
      <w:bCs/>
      <w:sz w:val="36"/>
      <w:szCs w:val="36"/>
    </w:rPr>
  </w:style>
  <w:style w:type="character" w:styleId="CabealhoChar">
    <w:name w:val="Cabeçalho Char"/>
    <w:basedOn w:val="Fontepargpadro"/>
    <w:qFormat/>
    <w:rPr/>
  </w:style>
  <w:style w:type="character" w:styleId="RodapChar">
    <w:name w:val="Rodapé Char"/>
    <w:basedOn w:val="Fontepargpadro"/>
    <w:qFormat/>
    <w:rPr/>
  </w:style>
  <w:style w:type="character" w:styleId="TextodebaloChar">
    <w:name w:val="Texto de balão Char"/>
    <w:qFormat/>
    <w:rPr>
      <w:rFonts w:ascii="Tahoma" w:hAnsi="Tahoma" w:cs="Tahoma"/>
      <w:sz w:val="16"/>
      <w:szCs w:val="16"/>
    </w:rPr>
  </w:style>
  <w:style w:type="character" w:styleId="Corpodetexto3Char">
    <w:name w:val="Corpo de texto 3 Char"/>
    <w:qFormat/>
    <w:rPr>
      <w:rFonts w:ascii="Antique Olive" w:hAnsi="Antique Olive" w:eastAsia="Times New Roman" w:cs="Antique Olive"/>
      <w:b/>
      <w:sz w:val="22"/>
    </w:rPr>
  </w:style>
  <w:style w:type="character" w:styleId="RecuodecorpodetextoChar">
    <w:name w:val="Recuo de corpo de texto Char"/>
    <w:qFormat/>
    <w:rPr>
      <w:sz w:val="22"/>
      <w:szCs w:val="22"/>
      <w:lang w:val="en-US"/>
    </w:rPr>
  </w:style>
  <w:style w:type="character" w:styleId="CorpodetextoChar">
    <w:name w:val="Corpo de texto Char"/>
    <w:qFormat/>
    <w:rPr>
      <w:sz w:val="22"/>
      <w:szCs w:val="22"/>
      <w:lang w:val="en-US"/>
    </w:rPr>
  </w:style>
  <w:style w:type="character" w:styleId="Recuodecorpodetexto2Char">
    <w:name w:val="Recuo de corpo de texto 2 Char"/>
    <w:qFormat/>
    <w:rPr>
      <w:rFonts w:ascii="Times New Roman" w:hAnsi="Times New Roman" w:eastAsia="Times New Roman" w:cs="Times New Roman"/>
    </w:rPr>
  </w:style>
  <w:style w:type="character" w:styleId="Recuodecorpodetexto3Char">
    <w:name w:val="Recuo de corpo de texto 3 Char"/>
    <w:qFormat/>
    <w:rPr>
      <w:rFonts w:ascii="Times New Roman" w:hAnsi="Times New Roman" w:eastAsia="Times New Roman" w:cs="Times New Roman"/>
      <w:sz w:val="16"/>
      <w:szCs w:val="16"/>
    </w:rPr>
  </w:style>
  <w:style w:type="character" w:styleId="Corpodetexto2Char">
    <w:name w:val="Corpo de texto 2 Char"/>
    <w:qFormat/>
    <w:rPr>
      <w:rFonts w:ascii="Times New Roman" w:hAnsi="Times New Roman" w:eastAsia="Times New Roman" w:cs="Times New Roman"/>
    </w:rPr>
  </w:style>
  <w:style w:type="character" w:styleId="TextodenotaderodapChar">
    <w:name w:val="Texto de nota de rodapé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grame">
    <w:name w:val="grame"/>
    <w:qFormat/>
    <w:rPr/>
  </w:style>
  <w:style w:type="character" w:styleId="Strong">
    <w:name w:val="Strong"/>
    <w:qFormat/>
    <w:rPr>
      <w:b/>
      <w:bCs/>
    </w:rPr>
  </w:style>
  <w:style w:type="character" w:styleId="Emphasis">
    <w:name w:val="Emphasis"/>
    <w:qFormat/>
    <w:rPr>
      <w:i/>
      <w:iCs/>
    </w:rPr>
  </w:style>
  <w:style w:type="character" w:styleId="apple-converted-space">
    <w:name w:val="apple-converted-space"/>
    <w:basedOn w:val="Fontepargpadro"/>
    <w:qFormat/>
    <w:rPr/>
  </w:style>
  <w:style w:type="character" w:styleId="adtext">
    <w:name w:val="adtext"/>
    <w:basedOn w:val="Fontepargpadro"/>
    <w:qFormat/>
    <w:rPr/>
  </w:style>
  <w:style w:type="character" w:styleId="titulopaginas">
    <w:name w:val="titulo_paginas"/>
    <w:basedOn w:val="Fontepargpadro"/>
    <w:qFormat/>
    <w:rPr/>
  </w:style>
  <w:style w:type="character" w:styleId="cite">
    <w:name w:val="cite"/>
    <w:basedOn w:val="Fontepargpadro"/>
    <w:qFormat/>
    <w:rPr/>
  </w:style>
  <w:style w:type="character" w:styleId="MenoPendente">
    <w:name w:val="Menção Pendente"/>
    <w:qFormat/>
    <w:rPr>
      <w:color w:val="605E5C"/>
      <w:shd w:fill="E1DFDD" w:val="clear"/>
    </w:rPr>
  </w:style>
  <w:style w:type="character" w:styleId="PargrafodaListaChar">
    <w:name w:val="Parágrafo da Lista Char"/>
    <w:qFormat/>
    <w:rPr>
      <w:sz w:val="22"/>
      <w:szCs w:val="22"/>
    </w:rPr>
  </w:style>
  <w:style w:type="character" w:styleId="Link">
    <w:name w:val="Link"/>
    <w:qFormat/>
    <w:rPr>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pPr>
    <w:rPr/>
  </w:style>
  <w:style w:type="paragraph" w:styleId="Footer">
    <w:name w:val="Footer"/>
    <w:basedOn w:val="Normal"/>
    <w:pPr>
      <w:spacing w:lineRule="auto" w:line="240"/>
    </w:pPr>
    <w:rPr/>
  </w:style>
  <w:style w:type="paragraph" w:styleId="Textodebalo">
    <w:name w:val="Texto de balão"/>
    <w:basedOn w:val="Normal"/>
    <w:qFormat/>
    <w:pPr>
      <w:spacing w:lineRule="auto" w:line="240"/>
    </w:pPr>
    <w:rPr>
      <w:rFonts w:ascii="Tahoma" w:hAnsi="Tahoma" w:cs="Tahoma"/>
      <w:sz w:val="16"/>
      <w:szCs w:val="16"/>
    </w:rPr>
  </w:style>
  <w:style w:type="paragraph" w:styleId="PARAGRAFO">
    <w:name w:val="PARAGRAFO"/>
    <w:qFormat/>
    <w:pPr>
      <w:widowControl w:val="false"/>
      <w:overflowPunct w:val="false"/>
      <w:autoSpaceDE w:val="false"/>
      <w:bidi w:val="0"/>
      <w:ind w:firstLine="3600" w:start="0" w:end="288"/>
      <w:jc w:val="both"/>
    </w:pPr>
    <w:rPr>
      <w:rFonts w:ascii="Arial" w:hAnsi="Arial" w:eastAsia="Times New Roman" w:cs="Arial"/>
      <w:color w:val="000000"/>
      <w:sz w:val="24"/>
      <w:szCs w:val="20"/>
      <w:lang w:val="pt-BR" w:bidi="ar-SA" w:eastAsia="zh-CN"/>
    </w:rPr>
  </w:style>
  <w:style w:type="paragraph" w:styleId="FREE">
    <w:name w:val="FREE"/>
    <w:qFormat/>
    <w:pPr>
      <w:widowControl w:val="false"/>
      <w:bidi w:val="0"/>
      <w:jc w:val="both"/>
    </w:pPr>
    <w:rPr>
      <w:rFonts w:ascii="Arial" w:hAnsi="Arial" w:eastAsia="Times New Roman" w:cs="Arial"/>
      <w:color w:val="000000"/>
      <w:sz w:val="24"/>
      <w:szCs w:val="20"/>
      <w:lang w:val="pt-BR" w:bidi="ar-SA" w:eastAsia="zh-CN"/>
    </w:rPr>
  </w:style>
  <w:style w:type="paragraph" w:styleId="Corpodetexto3">
    <w:name w:val="Corpo de texto 3"/>
    <w:basedOn w:val="Normal"/>
    <w:qFormat/>
    <w:pPr>
      <w:spacing w:lineRule="auto" w:line="360"/>
      <w:jc w:val="both"/>
    </w:pPr>
    <w:rPr>
      <w:rFonts w:ascii="Antique Olive" w:hAnsi="Antique Olive" w:eastAsia="Times New Roman" w:cs="Antique Olive"/>
      <w:b/>
      <w:szCs w:val="20"/>
    </w:rPr>
  </w:style>
  <w:style w:type="paragraph" w:styleId="BodyTextIndent">
    <w:name w:val="Body Text Indent"/>
    <w:basedOn w:val="Normal"/>
    <w:pPr>
      <w:spacing w:before="0" w:after="120"/>
      <w:ind w:hanging="0" w:start="283" w:end="0"/>
    </w:pPr>
    <w:rPr/>
  </w:style>
  <w:style w:type="paragraph" w:styleId="Corpodetexto21">
    <w:name w:val="Corpo de texto 21"/>
    <w:basedOn w:val="Normal"/>
    <w:qFormat/>
    <w:pPr>
      <w:suppressAutoHyphens w:val="true"/>
      <w:spacing w:lineRule="auto" w:line="240"/>
      <w:ind w:firstLine="1418" w:start="0" w:end="0"/>
      <w:jc w:val="both"/>
    </w:pPr>
    <w:rPr>
      <w:rFonts w:ascii="Times New Roman" w:hAnsi="Times New Roman" w:eastAsia="Times New Roman" w:cs="Times New Roman"/>
      <w:sz w:val="28"/>
      <w:szCs w:val="20"/>
      <w:lang w:val="pt-BR"/>
    </w:rPr>
  </w:style>
  <w:style w:type="paragraph" w:styleId="PADRAO">
    <w:name w:val="PADRAO"/>
    <w:qFormat/>
    <w:pPr>
      <w:widowControl w:val="false"/>
      <w:bidi w:val="0"/>
      <w:jc w:val="both"/>
    </w:pPr>
    <w:rPr>
      <w:rFonts w:ascii="Arial" w:hAnsi="Arial" w:eastAsia="Times New Roman" w:cs="Arial"/>
      <w:color w:val="000000"/>
      <w:sz w:val="24"/>
      <w:szCs w:val="20"/>
      <w:lang w:val="pt-BR" w:bidi="ar-SA" w:eastAsia="zh-CN"/>
    </w:rPr>
  </w:style>
  <w:style w:type="paragraph" w:styleId="Recuodecorpodetexto2">
    <w:name w:val="Recuo de corpo de texto 2"/>
    <w:basedOn w:val="Normal"/>
    <w:qFormat/>
    <w:pPr>
      <w:spacing w:lineRule="auto" w:line="480" w:before="0" w:after="120"/>
      <w:ind w:hanging="0" w:start="283" w:end="0"/>
    </w:pPr>
    <w:rPr>
      <w:rFonts w:ascii="Times New Roman" w:hAnsi="Times New Roman" w:eastAsia="Times New Roman" w:cs="Times New Roman"/>
      <w:sz w:val="20"/>
      <w:szCs w:val="20"/>
    </w:rPr>
  </w:style>
  <w:style w:type="paragraph" w:styleId="Recuodecorpodetexto3">
    <w:name w:val="Recuo de corpo de texto 3"/>
    <w:basedOn w:val="Normal"/>
    <w:qFormat/>
    <w:pPr>
      <w:spacing w:lineRule="auto" w:line="240" w:before="0" w:after="120"/>
      <w:ind w:hanging="0" w:start="283" w:end="0"/>
    </w:pPr>
    <w:rPr>
      <w:rFonts w:ascii="Times New Roman" w:hAnsi="Times New Roman" w:eastAsia="Times New Roman" w:cs="Times New Roman"/>
      <w:sz w:val="16"/>
      <w:szCs w:val="16"/>
    </w:rPr>
  </w:style>
  <w:style w:type="paragraph" w:styleId="Corpodetexto2">
    <w:name w:val="Corpo de texto 2"/>
    <w:basedOn w:val="Normal"/>
    <w:qFormat/>
    <w:pPr>
      <w:spacing w:lineRule="auto" w:line="480" w:before="0" w:after="120"/>
    </w:pPr>
    <w:rPr>
      <w:rFonts w:ascii="Times New Roman" w:hAnsi="Times New Roman" w:eastAsia="Times New Roman" w:cs="Times New Roman"/>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pt-BR"/>
    </w:rPr>
  </w:style>
  <w:style w:type="paragraph" w:styleId="FootnoteText">
    <w:name w:val="Footnote Text"/>
    <w:basedOn w:val="Normal"/>
    <w:pPr>
      <w:spacing w:lineRule="auto" w:line="240"/>
    </w:pPr>
    <w:rPr>
      <w:rFonts w:ascii="Times New Roman" w:hAnsi="Times New Roman" w:eastAsia="Times New Roman" w:cs="Times New Roman"/>
      <w:sz w:val="20"/>
      <w:szCs w:val="20"/>
    </w:rPr>
  </w:style>
  <w:style w:type="paragraph" w:styleId="Recuodecorpodetexto22">
    <w:name w:val="Recuo de corpo de texto 22"/>
    <w:basedOn w:val="Normal"/>
    <w:qFormat/>
    <w:pPr>
      <w:suppressAutoHyphens w:val="true"/>
      <w:spacing w:lineRule="auto" w:line="480" w:before="0" w:after="120"/>
      <w:ind w:hanging="0" w:start="283" w:end="0"/>
    </w:pPr>
    <w:rPr>
      <w:rFonts w:ascii="Times New Roman" w:hAnsi="Times New Roman" w:eastAsia="Times New Roman" w:cs="Times New Roman"/>
      <w:sz w:val="24"/>
      <w:szCs w:val="24"/>
      <w:lang w:val="pt-BR"/>
    </w:rPr>
  </w:style>
  <w:style w:type="paragraph" w:styleId="corpo">
    <w:name w:val="corp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daLista">
    <w:name w:val="Parágrafo da Lista"/>
    <w:basedOn w:val="Normal"/>
    <w:qFormat/>
    <w:pPr>
      <w:spacing w:lineRule="auto" w:line="256" w:before="0" w:after="160"/>
      <w:ind w:hanging="0" w:start="720" w:end="0"/>
      <w:contextualSpacing/>
    </w:pPr>
    <w:rPr>
      <w:lang w:val="pt-BR"/>
    </w:rPr>
  </w:style>
  <w:style w:type="paragraph" w:styleId="spip">
    <w:name w:val="spip"/>
    <w:basedOn w:val="Normal"/>
    <w:qFormat/>
    <w:pPr>
      <w:spacing w:lineRule="auto" w:line="240" w:before="280" w:after="280"/>
    </w:pPr>
    <w:rPr>
      <w:rFonts w:ascii="Times New Roman" w:hAnsi="Times New Roman" w:eastAsia="Times New Roman" w:cs="Times New Roman"/>
      <w:sz w:val="24"/>
      <w:szCs w:val="24"/>
      <w:lang w:val="pt-BR"/>
    </w:rPr>
  </w:style>
  <w:style w:type="paragraph" w:styleId="temapn">
    <w:name w:val="temapn"/>
    <w:basedOn w:val="Normal"/>
    <w:qFormat/>
    <w:pPr>
      <w:spacing w:lineRule="auto" w:line="240" w:before="280" w:after="280"/>
    </w:pPr>
    <w:rPr>
      <w:rFonts w:ascii="Times New Roman" w:hAnsi="Times New Roman" w:eastAsia="Times New Roman" w:cs="Times New Roman"/>
      <w:sz w:val="24"/>
      <w:szCs w:val="24"/>
      <w:lang w:val="pt-BR"/>
    </w:rPr>
  </w:style>
  <w:style w:type="paragraph" w:styleId="textoenun">
    <w:name w:val="textoenun"/>
    <w:basedOn w:val="Normal"/>
    <w:qFormat/>
    <w:pPr>
      <w:spacing w:lineRule="auto" w:line="240" w:before="280" w:after="280"/>
    </w:pPr>
    <w:rPr>
      <w:rFonts w:ascii="Times New Roman" w:hAnsi="Times New Roman" w:eastAsia="Times New Roman" w:cs="Times New Roman"/>
      <w:sz w:val="24"/>
      <w:szCs w:val="24"/>
      <w:lang w:val="pt-BR"/>
    </w:rPr>
  </w:style>
  <w:style w:type="paragraph" w:styleId="Style12">
    <w:name w:val="Style 1"/>
    <w:qFormat/>
    <w:pPr>
      <w:widowControl w:val="false"/>
      <w:autoSpaceDE w:val="false"/>
      <w:bidi w:val="0"/>
    </w:pPr>
    <w:rPr>
      <w:rFonts w:ascii="Times New Roman" w:hAnsi="Times New Roman" w:eastAsia="Times New Roman" w:cs="Times New Roman"/>
      <w:color w:val="auto"/>
      <w:sz w:val="20"/>
      <w:szCs w:val="20"/>
      <w:lang w:val="pt-BR" w:bidi="ar-SA" w:eastAsia="zh-CN"/>
    </w:rPr>
  </w:style>
  <w:style w:type="paragraph" w:styleId="p2">
    <w:name w:val="p2"/>
    <w:basedOn w:val="Normal"/>
    <w:qFormat/>
    <w:pPr>
      <w:widowControl w:val="false"/>
      <w:autoSpaceDE w:val="false"/>
      <w:spacing w:lineRule="atLeast" w:line="272"/>
    </w:pPr>
    <w:rPr>
      <w:rFonts w:ascii="Times New Roman" w:hAnsi="Times New Roman" w:eastAsia="Times New Roman" w:cs="Times New Roman"/>
      <w:sz w:val="24"/>
      <w:szCs w:val="24"/>
    </w:rPr>
  </w:style>
  <w:style w:type="paragraph" w:styleId="Pa3">
    <w:name w:val="Pa3"/>
    <w:basedOn w:val="Normal"/>
    <w:next w:val="Normal"/>
    <w:qFormat/>
    <w:pPr>
      <w:autoSpaceDE w:val="false"/>
      <w:spacing w:lineRule="atLeast" w:line="241"/>
    </w:pPr>
    <w:rPr>
      <w:rFonts w:ascii="Helvetica" w:hAnsi="Helvetica" w:eastAsia="Times New Roman" w:cs="Helvetica"/>
      <w:sz w:val="20"/>
      <w:szCs w:val="24"/>
      <w:lang w:val="pt-BR"/>
    </w:rPr>
  </w:style>
  <w:style w:type="paragraph" w:styleId="Padro">
    <w:name w:val="Padrão"/>
    <w:qFormat/>
    <w:pPr>
      <w:widowControl w:val="false"/>
      <w:tabs>
        <w:tab w:val="clear" w:pos="720"/>
        <w:tab w:val="left" w:pos="708" w:leader="none"/>
      </w:tabs>
      <w:suppressAutoHyphens w:val="true"/>
      <w:bidi w:val="0"/>
      <w:spacing w:lineRule="auto" w:line="276" w:before="0" w:after="200"/>
    </w:pPr>
    <w:rPr>
      <w:rFonts w:ascii="Times New Roman" w:hAnsi="Times New Roman" w:eastAsia="Lucida Sans Unicode" w:cs="Tahoma"/>
      <w:color w:val="00000A"/>
      <w:sz w:val="24"/>
      <w:szCs w:val="24"/>
      <w:lang w:val="pt-BR" w:eastAsia="zh-CN" w:bidi="hi-IN"/>
    </w:rPr>
  </w:style>
  <w:style w:type="paragraph" w:styleId="cab">
    <w:name w:val="cab"/>
    <w:basedOn w:val="Normal"/>
    <w:qFormat/>
    <w:pPr>
      <w:spacing w:lineRule="auto" w:line="240" w:before="280" w:after="280"/>
    </w:pPr>
    <w:rPr>
      <w:rFonts w:ascii="Times New Roman" w:hAnsi="Times New Roman" w:eastAsia="Times New Roman" w:cs="Times New Roman"/>
      <w:sz w:val="24"/>
      <w:szCs w:val="24"/>
      <w:lang w:val="pt-BR"/>
    </w:rPr>
  </w:style>
  <w:style w:type="paragraph" w:styleId="par">
    <w:name w:val="par"/>
    <w:basedOn w:val="Normal"/>
    <w:qFormat/>
    <w:pPr>
      <w:spacing w:lineRule="auto" w:line="240" w:before="280" w:after="280"/>
    </w:pPr>
    <w:rPr>
      <w:rFonts w:ascii="Times New Roman" w:hAnsi="Times New Roman" w:eastAsia="Times New Roman" w:cs="Times New Roman"/>
      <w:sz w:val="24"/>
      <w:szCs w:val="24"/>
      <w:lang w:val="pt-BR"/>
    </w:rPr>
  </w:style>
  <w:style w:type="paragraph" w:styleId="Default">
    <w:name w:val="Default"/>
    <w:qFormat/>
    <w:pPr>
      <w:widowControl/>
      <w:autoSpaceDE w:val="false"/>
      <w:bidi w:val="0"/>
    </w:pPr>
    <w:rPr>
      <w:rFonts w:ascii="Calibri" w:hAnsi="Calibri" w:eastAsia="Calibri" w:cs="Calibri"/>
      <w:color w:val="000000"/>
      <w:sz w:val="24"/>
      <w:szCs w:val="24"/>
      <w:lang w:val="pt-BR" w:bidi="ar-SA" w:eastAsia="zh-CN"/>
    </w:rPr>
  </w:style>
  <w:style w:type="paragraph" w:styleId="TextBody">
    <w:name w:val="Text Body"/>
    <w:basedOn w:val="Normal"/>
    <w:qFormat/>
    <w:pPr>
      <w:widowControl w:val="false"/>
      <w:suppressAutoHyphens w:val="true"/>
      <w:spacing w:lineRule="auto" w:line="360" w:before="397" w:after="397"/>
      <w:jc w:val="both"/>
    </w:pPr>
    <w:rPr>
      <w:rFonts w:ascii="Times New Roman" w:hAnsi="Times New Roman" w:eastAsia="Times New Roman" w:cs="Times New Roman"/>
      <w:sz w:val="24"/>
      <w:szCs w:val="24"/>
      <w:lang w:val="pt-BR" w:eastAsia="zh-CN" w:bidi="hi-IN"/>
    </w:rPr>
  </w:style>
  <w:style w:type="paragraph" w:styleId="artigo">
    <w:name w:val="artig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
    <w:name w:val="Parágrafo"/>
    <w:basedOn w:val="Normal"/>
    <w:qFormat/>
    <w:pPr>
      <w:widowControl w:val="false"/>
      <w:spacing w:lineRule="auto" w:line="240"/>
      <w:ind w:firstLine="3515" w:start="0" w:end="0"/>
      <w:jc w:val="both"/>
    </w:pPr>
    <w:rPr>
      <w:rFonts w:ascii="Bookman Old Style" w:hAnsi="Bookman Old Style" w:eastAsia="Times New Roman" w:cs="Bookman Old Style"/>
      <w:sz w:val="24"/>
      <w:szCs w:val="20"/>
      <w:lang w:val="pt-BR"/>
    </w:rPr>
  </w:style>
  <w:style w:type="paragraph" w:styleId="BlockQuote">
    <w:name w:val="Block Quote"/>
    <w:basedOn w:val="Normal"/>
    <w:next w:val="Normal"/>
    <w:qFormat/>
    <w:pPr>
      <w:spacing w:lineRule="auto" w:line="240" w:before="100" w:after="100"/>
    </w:pPr>
    <w:rPr>
      <w:rFonts w:eastAsia="Times New Roman"/>
      <w:bC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uridico@bentesramos.adv.b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2026-03-11T20:49:00Z</dcterms:created>
  <dc:creator>arte-02</dc:creator>
  <dc:description/>
  <cp:keywords/>
  <dc:language>en-US</dc:language>
  <cp:lastModifiedBy>Andrey Ramos</cp:lastModifiedBy>
  <cp:lastPrinted>2026-01-02T10:38:00Z</cp:lastPrinted>
  <dcterms:modified xsi:type="dcterms:W3CDTF">2026-03-11T20:49:00Z</dcterms:modified>
  <cp:revision>2</cp:revision>
  <dc:subject/>
  <dc:title/>
</cp:coreProperties>
</file>