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{{vara_juizo}}</w:t>
      </w:r>
      <w:r w:rsidR="00C604FD">
        <w:rPr>
          <w:rFonts w:cs="Calibri"/>
          <w:b/>
          <w:lang w:val="pt-BR"/>
        </w:rPr>
        <w:t xml:space="preserve"/>
      </w:r>
      <w:r w:rsidR="00DD5E13">
        <w:rPr>
          <w:rFonts w:cs="Calibri"/>
          <w:b/>
          <w:lang w:val="pt-BR"/>
        </w:rPr>
        <w:t xml:space="preserve"/>
      </w:r>
      <w:r w:rsidR="000F589C">
        <w:rPr>
          <w:rFonts w:cs="Calibri"/>
          <w:b/>
          <w:lang w:val="pt-BR"/>
        </w:rPr>
        <w:t xml:space="preserve"/>
      </w:r>
      <w:r w:rsidR="00DD5E13">
        <w:rPr>
          <w:rFonts w:cs="Calibri"/>
          <w:b/>
          <w:lang w:val="pt-BR"/>
        </w:rPr>
        <w:t xml:space="preserve"/>
      </w:r>
    </w:p>
    <w:p w:rsidR="000C22A4" w:rsidRPr="000C22A4" w:rsidRDefault="000C22A4" w:rsidP="000C22A4">
      <w:pPr>
        <w:spacing w:line="300" w:lineRule="auto"/>
        <w:jc w:val="both"/>
        <w:rPr>
          <w:rFonts w:cs="Calibri"/>
          <w:b/>
          <w:lang w:val="pt-BR"/>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3B0ACD">
      <w:pPr>
        <w:pStyle w:val="Default"/>
        <w:spacing w:line="300" w:lineRule="auto"/>
        <w:jc w:val="both"/>
        <w:rPr>
          <w:b/>
          <w:sz w:val="22"/>
          <w:szCs w:val="22"/>
        </w:rPr>
      </w:pPr>
    </w:p>
    <w:p w:rsidR="00FE10D3" w:rsidRDefault="00FE10D3" w:rsidP="000C22A4">
      <w:pPr>
        <w:pStyle w:val="Default"/>
        <w:spacing w:line="300" w:lineRule="auto"/>
        <w:ind w:firstLine="2835"/>
        <w:jc w:val="both"/>
        <w:rPr>
          <w:b/>
          <w:sz w:val="22"/>
          <w:szCs w:val="22"/>
        </w:rPr>
      </w:pPr>
    </w:p>
    <w:p w:rsidR="00FE10D3" w:rsidRDefault="00FE10D3" w:rsidP="000C22A4">
      <w:pPr>
        <w:pStyle w:val="Default"/>
        <w:spacing w:line="300" w:lineRule="auto"/>
        <w:ind w:firstLine="2835"/>
        <w:jc w:val="both"/>
        <w:rPr>
          <w:b/>
          <w:sz w:val="22"/>
          <w:szCs w:val="22"/>
        </w:rPr>
      </w:pPr>
    </w:p>
    <w:p w:rsidR="000C22A4" w:rsidRPr="000C22A4" w:rsidRDefault="000C22A4" w:rsidP="000C22A4">
      <w:pPr>
        <w:pStyle w:val="Default"/>
        <w:spacing w:line="300" w:lineRule="auto"/>
        <w:ind w:firstLine="2835"/>
        <w:jc w:val="both"/>
        <w:rPr>
          <w:b/>
          <w:sz w:val="22"/>
          <w:szCs w:val="22"/>
        </w:rPr>
      </w:pPr>
    </w:p>
    <w:p w:rsidR="00BA11CF" w:rsidRDefault="00BA11CF" w:rsidP="00BA11CF">
      <w:pPr>
        <w:spacing w:line="300" w:lineRule="auto"/>
        <w:jc w:val="both"/>
        <w:rPr>
          <w:rFonts w:cs="Calibri"/>
          <w:b/>
          <w:lang w:val="pt-BR"/>
        </w:rPr>
      </w:pPr>
    </w:p>
    <w:p w:rsidR="00A1705A" w:rsidRPr="000B3A92" w:rsidRDefault="00A1705A" w:rsidP="00BA11CF">
      <w:pPr>
        <w:spacing w:line="300" w:lineRule="auto"/>
        <w:jc w:val="both"/>
        <w:rPr>
          <w:rFonts w:cs="Calibri"/>
          <w:b/>
          <w:lang w:val="pt-BR"/>
        </w:rPr>
      </w:pPr>
    </w:p>
    <w:p w:rsidR="00BA11CF" w:rsidRPr="000B3A92" w:rsidRDefault="00BA11CF" w:rsidP="00BA11CF">
      <w:pPr>
        <w:spacing w:line="300" w:lineRule="auto"/>
        <w:jc w:val="both"/>
        <w:rPr>
          <w:rFonts w:cs="Calibri"/>
          <w:b/>
          <w:lang w:val="pt-BR"/>
        </w:rPr>
      </w:pPr>
    </w:p>
    <w:p w:rsidR="00BA11CF" w:rsidRDefault="00DD5E13" w:rsidP="007C0A27">
      <w:pPr>
        <w:spacing w:line="300" w:lineRule="auto"/>
        <w:ind w:firstLine="1418"/>
        <w:jc w:val="both"/>
        <w:rPr>
          <w:rFonts w:cs="Calibri"/>
          <w:color w:val="000000"/>
          <w:lang w:val="pt-BR"/>
        </w:rPr>
      </w:pPr>
      <w:bookmarkStart w:id="0" w:name="_Hlk198289192"/>
      <w:r>
        <w:rPr>
          <w:rFonts w:cs="Calibri"/>
          <w:b/>
          <w:color w:val="000000"/>
          <w:lang w:val="pt-BR"/>
        </w:rPr>
        <w:t xml:space="preserve">{{nome_maiusculo}}, {{nacionalidade}}, {{naturalidade}}, detentora da cédula de identidade n° {{rg}} e do CPF n° {{cpf}}, residente e domiciliado na {{endereco_rua}}, n° {{endereco_numero}}, bairro: {{endereco_bairro}}, {{endereco_cidade}}/{{endereco_uf}}, Cep: {{endereco_cep}}, por intermédio de seu advogado</w:t>
      </w:r>
      <w:r w:rsidRPr="000B3A92">
        <w:rPr>
          <w:rFonts w:cs="Calibri"/>
          <w:b/>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Pr="000B3A92">
        <w:rPr>
          <w:rFonts w:cs="Calibri"/>
          <w:color w:val="000000"/>
          <w:lang w:val="pt-BR"/>
        </w:rPr>
        <w:t xml:space="preserve"/>
      </w:r>
      <w:r>
        <w:rPr>
          <w:rFonts w:cs="Calibri"/>
          <w:color w:val="000000"/>
          <w:lang w:val="pt-BR"/>
        </w:rPr>
        <w:t xml:space="preserve"/>
      </w:r>
      <w:r w:rsidR="00BA11CF" w:rsidRPr="000B3A92">
        <w:rPr>
          <w:rFonts w:cs="Calibri"/>
          <w:color w:val="000000"/>
          <w:lang w:val="pt-BR"/>
        </w:rPr>
        <w:t xml:space="preserve"> infra-assinado (procuração em anexo), </w:t>
      </w:r>
      <w:r w:rsidR="00BA11CF"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A11CF" w:rsidRPr="000B3A92">
          <w:rPr>
            <w:rStyle w:val="Hyperlink"/>
            <w:rFonts w:cs="Calibri"/>
            <w:b/>
            <w:lang w:val="pt-BR"/>
          </w:rPr>
          <w:t>juridico@bentesramos.adv.br</w:t>
        </w:r>
      </w:hyperlink>
      <w:r w:rsidR="00BA11CF" w:rsidRPr="000B3A92">
        <w:rPr>
          <w:rFonts w:cs="Calibri"/>
          <w:color w:val="000000"/>
          <w:lang w:val="pt-BR"/>
        </w:rPr>
        <w:t xml:space="preserve"> e </w:t>
      </w:r>
      <w:r w:rsidR="00BA11CF" w:rsidRPr="000B3A92">
        <w:rPr>
          <w:rFonts w:cs="Calibri"/>
          <w:b/>
          <w:bCs/>
          <w:color w:val="000000"/>
          <w:lang w:val="pt-BR"/>
        </w:rPr>
        <w:t>WhatsApp (92) 99160-4348 / 98223-7330</w:t>
      </w:r>
      <w:r w:rsidR="00BA11CF" w:rsidRPr="000B3A92">
        <w:rPr>
          <w:rFonts w:cs="Calibri"/>
          <w:color w:val="000000"/>
          <w:lang w:val="pt-BR"/>
        </w:rPr>
        <w:t>, onde recebe intimações e demais comunicações processuais, vem, com o devido respeito, à presença de Vossa Excelência, propor a presente</w:t>
      </w:r>
      <w:bookmarkEnd w:id="0"/>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w:t>
      </w:r>
      <w:r w:rsidR="005213E6">
        <w:rPr>
          <w:rFonts w:cs="Calibri"/>
          <w:b/>
          <w:lang w:val="pt-BR"/>
        </w:rPr>
        <w:t xml:space="preserve">CLARATÓRIA DE NULIDADE DE CLÁUSULA ABUSIVA C/C REPARAÇÃO POR </w:t>
      </w:r>
      <w:r w:rsidRPr="000C22A4">
        <w:rPr>
          <w:rFonts w:cs="Calibri"/>
          <w:b/>
          <w:lang w:val="pt-BR"/>
        </w:rPr>
        <w:t>DANOS MORAIS E REPETIÇÃO DE INDÉBITO</w:t>
      </w:r>
    </w:p>
    <w:p w:rsidR="000C22A4" w:rsidRPr="000C22A4" w:rsidRDefault="000C22A4" w:rsidP="000C22A4">
      <w:pPr>
        <w:spacing w:line="300" w:lineRule="auto"/>
        <w:jc w:val="center"/>
        <w:rPr>
          <w:rFonts w:cs="Calibri"/>
          <w:lang w:val="pt-BR"/>
        </w:rPr>
      </w:pPr>
    </w:p>
    <w:p w:rsidR="005073B8" w:rsidRDefault="005073B8" w:rsidP="005073B8">
      <w:pPr>
        <w:spacing w:line="300" w:lineRule="auto"/>
        <w:jc w:val="both"/>
        <w:rPr>
          <w:rFonts w:cs="Calibri"/>
          <w:lang w:val="pt-BR"/>
        </w:rPr>
      </w:pPr>
      <w:r w:rsidRPr="000C22A4">
        <w:rPr>
          <w:rFonts w:cs="Calibri"/>
          <w:lang w:val="pt-BR"/>
        </w:rPr>
        <w:t xml:space="preserve">em face de {{reu_nome}}, pessoa jurídica de direito privado, inscrita no CNPJ sob o n° {{reu_cnpj}}, com endereço na {{reu_endereco}}, pelos fatos</w:t>
      </w:r>
      <w:r>
        <w:rPr>
          <w:rFonts w:cs="Calibri"/>
          <w:b/>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sidR="002353AA">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sidR="002353AA">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e </w:t>
      </w:r>
      <w:r w:rsidRPr="000C22A4">
        <w:rPr>
          <w:rFonts w:cs="Calibri"/>
          <w:lang w:val="pt-BR"/>
        </w:rPr>
        <w:t>fundamentos a seguir expostos:</w:t>
      </w:r>
    </w:p>
    <w:p w:rsidR="001E2F39" w:rsidRPr="000C22A4" w:rsidRDefault="001E2F39"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rsidR="000C22A4" w:rsidRDefault="000C22A4" w:rsidP="00BA11CF">
      <w:pPr>
        <w:tabs>
          <w:tab w:val="left" w:pos="2694"/>
        </w:tabs>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1</w:t>
      </w:r>
      <w:r w:rsidRPr="000C22A4">
        <w:rPr>
          <w:rFonts w:cs="Calibri"/>
          <w:b/>
          <w:lang w:val="pt-BR"/>
        </w:rPr>
        <w:t xml:space="preserve"> - DA CONCESSÃO DO BENEFÍCIO DA JUSTIÇA GRATUITA</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rsidR="000C22A4" w:rsidRPr="000C22A4" w:rsidRDefault="000C22A4" w:rsidP="000C22A4">
      <w:pPr>
        <w:spacing w:line="300" w:lineRule="auto"/>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w:t>
      </w:r>
      <w:r w:rsidR="001320B2">
        <w:rPr>
          <w:rFonts w:cs="Calibri"/>
          <w:lang w:val="pt-BR"/>
        </w:rPr>
        <w:t xml:space="preserve"> </w:t>
      </w:r>
      <w:r w:rsidRPr="000C22A4">
        <w:rPr>
          <w:rFonts w:cs="Calibri"/>
          <w:lang w:val="pt-BR"/>
        </w:rPr>
        <w:t>e dos arts. 98 e seguintes do CPC/2015.</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2</w:t>
      </w:r>
      <w:r w:rsidRPr="000C22A4">
        <w:rPr>
          <w:rFonts w:cs="Calibri"/>
          <w:b/>
          <w:lang w:val="pt-BR"/>
        </w:rPr>
        <w:t xml:space="preserve"> - DA DECLARAÇÃO DE AUTENTICIDADE DOS DOCUMENTOS JUNTADOS</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1705A">
        <w:rPr>
          <w:rFonts w:cs="Calibri"/>
          <w:b/>
          <w:lang w:val="pt-BR"/>
        </w:rPr>
        <w:t>3</w:t>
      </w:r>
      <w:r w:rsidRPr="000C22A4">
        <w:rPr>
          <w:rFonts w:cs="Calibri"/>
          <w:b/>
          <w:lang w:val="pt-BR"/>
        </w:rPr>
        <w:t xml:space="preserve"> – DA AUDIÊNCIA DE CONCILIAÇÃO E OPÇÃO PELO JUÍZO 100% DIGITAL</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rsidR="000C22A4" w:rsidRPr="000C22A4" w:rsidRDefault="000C22A4" w:rsidP="000C22A4">
      <w:pPr>
        <w:spacing w:line="300" w:lineRule="auto"/>
        <w:ind w:firstLine="1418"/>
        <w:jc w:val="both"/>
        <w:rPr>
          <w:rFonts w:cs="Calibri"/>
          <w:lang w:val="pt-BR"/>
        </w:rPr>
      </w:pPr>
    </w:p>
    <w:p w:rsidR="000C22A4" w:rsidRDefault="000C22A4" w:rsidP="000C22A4">
      <w:pPr>
        <w:spacing w:line="300" w:lineRule="auto"/>
        <w:ind w:firstLine="1418"/>
        <w:jc w:val="both"/>
        <w:rPr>
          <w:rFonts w:cs="Calibri"/>
          <w:lang w:val="pt-BR"/>
        </w:rPr>
      </w:pPr>
      <w:r w:rsidRPr="000C22A4">
        <w:rPr>
          <w:rFonts w:cs="Calibri"/>
          <w:lang w:val="pt-BR"/>
        </w:rPr>
        <w:t xml:space="preserve">Requer, desde já, que a audiência seja realizada por videoconferência e que o feito tramite no Juízo 100% Digital, com a prática de todos os atos processuais por meio eletrônico, conforme Resolução CNJ nº 345/2020 (art. 3º) </w:t>
      </w:r>
    </w:p>
    <w:p w:rsidR="00A80D1B" w:rsidRPr="000C22A4" w:rsidRDefault="00A80D1B"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rsidR="000C22A4" w:rsidRPr="000C22A4" w:rsidRDefault="000C22A4" w:rsidP="000C22A4">
      <w:pPr>
        <w:spacing w:line="300" w:lineRule="auto"/>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rsidR="000C22A4" w:rsidRPr="000C22A4" w:rsidRDefault="000C22A4" w:rsidP="000C22A4">
      <w:pPr>
        <w:spacing w:line="300" w:lineRule="auto"/>
        <w:jc w:val="both"/>
        <w:rPr>
          <w:rFonts w:cs="Calibri"/>
          <w:lang w:val="pt-BR"/>
        </w:rPr>
      </w:pPr>
    </w:p>
    <w:p w:rsidR="00790E3D" w:rsidRPr="003B0ACD" w:rsidRDefault="00790E3D" w:rsidP="00790E3D">
      <w:pPr>
        <w:spacing w:line="300" w:lineRule="auto"/>
        <w:ind w:firstLine="1418"/>
        <w:jc w:val="both"/>
        <w:rPr>
          <w:rFonts w:cs="Calibri"/>
          <w:lang w:val="pt-BR"/>
        </w:rPr>
      </w:pPr>
      <w:r>
        <w:rPr>
          <w:rFonts w:cs="Calibri"/>
          <w:lang w:val="pt-BR"/>
        </w:rPr>
        <w:t xml:space="preserve">A parte requerente celebrou contrato de empréstimo n° {{numero_contrato}} no valor de R$ {{valor_emprestimo}} ({{valor_emprestimo_extenso}}), valor total financiado assim composto: (i) crédito líquido efetivamente disponibilizado à autora de R$ {{valor_credito_liquido}}, (ii) Valor do saldo devedor no importe de R$ {{valor_saldo_devedor}} e (iii) inserção de produto denominado de “{{nome_produto}}” no valor de R$ {{valor_seguro}} ({{valor_seguro_extenso}}) e IOF no valor de R$ {{valor_iof}} ({{valor_iof_extenso}}). O valor financiado será pago em {{num_parcelas}} ({{num_parcelas_extenso}}) parcelas de R$ {{valor_parcela}}, perfazendo o montante total de R$ {{valor_total_contrato}} ({{valor_total_contrato_extenso}}). A liberação do crédito foi condicionada à adesão ao produto denominado “{{nome_produto}}”, no importe de R$ {{valor_seguro}} ({{valor_seguro_extenso}}), lançado diretamente no instrumento contratual, conforme documento anexo.</w:t>
      </w:r>
      <w:r>
        <w:rPr>
          <w:rFonts w:cs="Calibri"/>
          <w:b/>
          <w:bCs/>
          <w:lang w:val="pt-BR"/>
        </w:rPr>
        <w:t xml:space="preserve"/>
      </w:r>
      <w:r w:rsidR="00DD5E13">
        <w:rPr>
          <w:rFonts w:cs="Calibri"/>
          <w:b/>
          <w:bCs/>
          <w:lang w:val="pt-BR"/>
        </w:rPr>
        <w:t xml:space="preserve"/>
      </w:r>
      <w:r w:rsidR="005073B8">
        <w:rPr>
          <w:rFonts w:cs="Calibri"/>
          <w:b/>
          <w:bCs/>
          <w:lang w:val="pt-BR"/>
        </w:rPr>
        <w:t xml:space="preserve"/>
      </w:r>
      <w:r>
        <w:rPr>
          <w:rFonts w:cs="Calibri"/>
          <w:b/>
          <w:bCs/>
          <w:lang w:val="pt-BR"/>
        </w:rPr>
        <w:t xml:space="preserve"/>
      </w:r>
      <w:r>
        <w:rPr>
          <w:rFonts w:cs="Calibri"/>
          <w:lang w:val="pt-BR"/>
        </w:rPr>
        <w:t xml:space="preserve"/>
      </w:r>
      <w:r>
        <w:rPr>
          <w:rFonts w:cs="Calibri"/>
          <w:b/>
          <w:bCs/>
          <w:lang w:val="pt-BR"/>
        </w:rPr>
        <w:t xml:space="preserve"/>
      </w:r>
      <w:r w:rsidR="003B0ACD">
        <w:rPr>
          <w:rFonts w:cs="Calibri"/>
          <w:b/>
          <w:bCs/>
          <w:lang w:val="pt-BR"/>
        </w:rPr>
        <w:t xml:space="preserve"/>
      </w:r>
      <w:r>
        <w:rPr>
          <w:rFonts w:cs="Calibri"/>
          <w:b/>
          <w:bCs/>
          <w:lang w:val="pt-BR"/>
        </w:rPr>
        <w:t xml:space="preserve"/>
      </w:r>
      <w:r w:rsidR="003B0ACD">
        <w:rPr>
          <w:rFonts w:cs="Calibri"/>
          <w:b/>
          <w:bCs/>
          <w:lang w:val="pt-BR"/>
        </w:rPr>
        <w:t xml:space="preserve"/>
      </w:r>
      <w:r>
        <w:rPr>
          <w:rFonts w:cs="Calibri"/>
          <w:b/>
          <w:bCs/>
          <w:lang w:val="pt-BR"/>
        </w:rPr>
        <w:t xml:space="preserve"/>
      </w:r>
      <w:r>
        <w:rPr>
          <w:rFonts w:cs="Calibri"/>
          <w:lang w:val="pt-BR"/>
        </w:rPr>
        <w:t xml:space="preserve"/>
      </w:r>
      <w:r w:rsidR="003B0ACD" w:rsidRPr="003B0ACD">
        <w:rPr>
          <w:rFonts w:cs="Calibri"/>
          <w:b/>
          <w:bCs/>
          <w:lang w:val="pt-BR"/>
        </w:rPr>
        <w:t xml:space="preserve"/>
      </w:r>
      <w:r w:rsidR="003B0ACD">
        <w:rPr>
          <w:rFonts w:cs="Calibri"/>
          <w:lang w:val="pt-BR"/>
        </w:rPr>
        <w:t xml:space="preserve"/>
      </w:r>
      <w:r>
        <w:rPr>
          <w:rFonts w:cs="Calibri"/>
          <w:lang w:val="pt-BR"/>
        </w:rPr>
        <w:t xml:space="preserve"/>
      </w:r>
      <w:r w:rsidR="005073B8">
        <w:rPr>
          <w:rFonts w:cs="Calibri"/>
          <w:lang w:val="pt-BR"/>
        </w:rPr>
        <w:t xml:space="preserve"/>
      </w:r>
      <w:r w:rsidR="00DD5E13">
        <w:rPr>
          <w:rFonts w:cs="Calibri"/>
          <w:lang w:val="pt-BR"/>
        </w:rPr>
        <w:t xml:space="preserve"/>
      </w:r>
      <w:r w:rsidR="005073B8">
        <w:rPr>
          <w:rFonts w:cs="Calibri"/>
          <w:lang w:val="pt-BR"/>
        </w:rPr>
        <w:t xml:space="preserve"/>
      </w:r>
      <w:r w:rsidR="00DD5E13">
        <w:rPr>
          <w:rFonts w:cs="Calibri"/>
          <w:lang w:val="pt-BR"/>
        </w:rPr>
        <w:t xml:space="preserve"/>
      </w:r>
      <w:r w:rsidR="005073B8">
        <w:rPr>
          <w:rFonts w:cs="Calibri"/>
          <w:lang w:val="pt-BR"/>
        </w:rPr>
        <w:t xml:space="preserve"/>
      </w:r>
      <w:r>
        <w:rPr>
          <w:rFonts w:cs="Calibri"/>
          <w:lang w:val="pt-BR"/>
        </w:rPr>
        <w:t xml:space="preserve"/>
      </w:r>
      <w:r w:rsidR="003B0ACD">
        <w:rPr>
          <w:rFonts w:cs="Calibri"/>
          <w:lang w:val="pt-BR"/>
        </w:rPr>
        <w:t xml:space="preserve"/>
      </w:r>
      <w:r w:rsidR="003B0ACD" w:rsidRPr="003B0ACD">
        <w:rPr>
          <w:rFonts w:cs="Calibri"/>
          <w:b/>
          <w:bCs/>
          <w:lang w:val="pt-BR"/>
        </w:rPr>
        <w:t xml:space="preserve"/>
      </w:r>
      <w:proofErr w:type="spellStart"/>
      <w:r w:rsidR="003B0ACD" w:rsidRPr="003B0ACD">
        <w:rPr>
          <w:rFonts w:cs="Calibri"/>
          <w:b/>
          <w:bCs/>
          <w:lang w:val="pt-BR"/>
        </w:rPr>
        <w:t xml:space="preserve"/>
      </w:r>
      <w:proofErr w:type="spellEnd"/>
      <w:r w:rsidR="003B0ACD" w:rsidRPr="003B0ACD">
        <w:rPr>
          <w:rFonts w:cs="Calibri"/>
          <w:b/>
          <w:bCs/>
          <w:lang w:val="pt-BR"/>
        </w:rPr>
        <w:t xml:space="preserve"/>
      </w:r>
      <w:r w:rsidR="003B0ACD">
        <w:rPr>
          <w:rFonts w:cs="Calibri"/>
          <w:lang w:val="pt-BR"/>
        </w:rPr>
        <w:t xml:space="preserve"/>
      </w:r>
      <w:r w:rsidR="003B0ACD" w:rsidRPr="003B0ACD">
        <w:rPr>
          <w:rFonts w:cs="Calibri"/>
          <w:b/>
          <w:bCs/>
          <w:lang w:val="pt-BR"/>
        </w:rPr>
        <w:t xml:space="preserve"/>
      </w:r>
      <w:proofErr w:type="spellStart"/>
      <w:r w:rsidR="003B0ACD" w:rsidRPr="003B0ACD">
        <w:rPr>
          <w:rFonts w:cs="Calibri"/>
          <w:b/>
          <w:bCs/>
          <w:lang w:val="pt-BR"/>
        </w:rPr>
        <w:t xml:space="preserve"/>
      </w:r>
      <w:proofErr w:type="spellEnd"/>
      <w:r w:rsidR="003B0ACD" w:rsidRPr="003B0ACD">
        <w:rPr>
          <w:rFonts w:cs="Calibri"/>
          <w:b/>
          <w:bCs/>
          <w:lang w:val="pt-BR"/>
        </w:rPr>
        <w:t xml:space="preserve"/>
      </w:r>
      <w:r>
        <w:rPr>
          <w:rFonts w:cs="Calibri"/>
          <w:lang w:val="pt-BR"/>
        </w:rPr>
        <w:t xml:space="preserve"/>
      </w:r>
      <w:r w:rsidRPr="003B0ACD">
        <w:rPr>
          <w:rFonts w:cs="Calibri"/>
          <w:lang w:val="pt-BR"/>
        </w:rPr>
        <w:t xml:space="preserve"/>
      </w:r>
      <w:r w:rsidR="00DD5E13"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00DD5E13"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00DD5E13"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DD5E13"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DD5E13"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00DD5E13" w:rsidRPr="003B0ACD">
        <w:rPr>
          <w:rFonts w:cs="Calibri"/>
          <w:lang w:val="pt-BR"/>
        </w:rPr>
        <w:t xml:space="preserve"/>
      </w:r>
      <w:r w:rsidR="005073B8" w:rsidRPr="003B0ACD">
        <w:rPr>
          <w:rFonts w:cs="Calibri"/>
          <w:lang w:val="pt-BR"/>
        </w:rPr>
        <w:t xml:space="preserve"/>
      </w:r>
      <w:r w:rsidR="00DD5E13"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DD5E13"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r w:rsidR="005073B8" w:rsidRPr="003B0ACD">
        <w:rPr>
          <w:rFonts w:cs="Calibri"/>
          <w:lang w:val="pt-BR"/>
        </w:rPr>
        <w:t xml:space="preserve"/>
      </w:r>
      <w:r w:rsidRPr="003B0ACD">
        <w:rPr>
          <w:rFonts w:cs="Calibri"/>
          <w:lang w:val="pt-BR"/>
        </w:rPr>
        <w:t xml:space="preserve"/>
      </w:r>
    </w:p>
    <w:p w:rsidR="00C604FD" w:rsidRPr="00865F5B" w:rsidRDefault="00C604FD" w:rsidP="00C604FD">
      <w:pPr>
        <w:spacing w:line="300" w:lineRule="auto"/>
        <w:ind w:firstLine="1418"/>
        <w:jc w:val="both"/>
        <w:rPr>
          <w:rFonts w:cs="Calibri"/>
          <w:lang w:val="pt-BR"/>
        </w:rPr>
      </w:pPr>
    </w:p>
    <w:p w:rsidR="00C604FD" w:rsidRPr="00865F5B" w:rsidRDefault="00C604FD" w:rsidP="00C604FD">
      <w:pPr>
        <w:spacing w:line="300" w:lineRule="auto"/>
        <w:ind w:firstLine="1418"/>
        <w:jc w:val="both"/>
        <w:rPr>
          <w:rFonts w:cs="Calibri"/>
          <w:lang w:val="pt-BR"/>
        </w:rPr>
      </w:pPr>
      <w:r w:rsidRPr="00B2704F">
        <w:rPr>
          <w:rFonts w:cs="Calibri"/>
          <w:lang w:val="pt-BR"/>
        </w:rPr>
        <w:t xml:space="preserve"/>
      </w:r>
      <w:r w:rsidRPr="00B2704F">
        <w:rPr>
          <w:rFonts w:cs="Calibri"/>
          <w:b/>
          <w:bCs/>
          <w:lang w:val="pt-BR"/>
        </w:rPr>
        <w:t xml:space="preserve"/>
      </w:r>
      <w:r w:rsidR="004E231D">
        <w:rPr>
          <w:rFonts w:cs="Calibri"/>
          <w:b/>
          <w:bCs/>
          <w:lang w:val="pt-BR"/>
        </w:rPr>
        <w:t xml:space="preserve"/>
      </w:r>
      <w:r w:rsidRPr="00B2704F">
        <w:rPr>
          <w:rFonts w:cs="Calibri"/>
          <w:b/>
          <w:bCs/>
          <w:lang w:val="pt-BR"/>
        </w:rPr>
        <w:t xml:space="preserve"/>
      </w:r>
      <w:r w:rsidRPr="00B2704F">
        <w:rPr>
          <w:rFonts w:cs="Calibri"/>
          <w:lang w:val="pt-BR"/>
        </w:rPr>
        <w:t xml:space="preserve"/>
      </w:r>
      <w:r w:rsidRPr="00B2704F">
        <w:rPr>
          <w:rFonts w:cs="Calibri"/>
          <w:b/>
          <w:bCs/>
          <w:lang w:val="pt-BR"/>
        </w:rPr>
        <w:t xml:space="preserve"/>
      </w:r>
      <w:r>
        <w:rPr>
          <w:rFonts w:cs="Calibri"/>
          <w:b/>
          <w:bCs/>
          <w:lang w:val="pt-BR"/>
        </w:rPr>
        <w:t xml:space="preserve"/>
      </w:r>
      <w:r w:rsidR="005073B8">
        <w:rPr>
          <w:rFonts w:cs="Calibri"/>
          <w:b/>
          <w:bCs/>
          <w:lang w:val="pt-BR"/>
        </w:rPr>
        <w:t xml:space="preserve"/>
      </w:r>
      <w:r w:rsidRPr="00B2704F">
        <w:rPr>
          <w:rFonts w:cs="Calibri"/>
          <w:lang w:val="pt-BR"/>
        </w:rPr>
        <w:t xml:space="preserve"/>
      </w:r>
    </w:p>
    <w:p w:rsidR="00C604FD" w:rsidRDefault="00C604FD" w:rsidP="00C604FD">
      <w:pPr>
        <w:spacing w:line="300" w:lineRule="auto"/>
        <w:rPr>
          <w:rFonts w:cs="Calibri"/>
          <w:bCs/>
          <w:lang w:val="pt-BR"/>
        </w:rPr>
      </w:pPr>
    </w:p>
    <w:p w:rsidR="00164850" w:rsidRPr="000C22A4" w:rsidRDefault="000F589C" w:rsidP="00164850">
      <w:pPr>
        <w:spacing w:line="300" w:lineRule="auto"/>
        <w:jc w:val="center"/>
        <w:rPr>
          <w:rFonts w:cs="Calibri"/>
          <w:lang w:val="pt-BR"/>
        </w:rPr>
      </w:pPr>
      <w:r>
        <w:rPr>
          <w:rFonts w:cs="Calibri"/>
          <w:noProof/>
          <w:lang w:val="pt-BR"/>
        </w:rPr>
        <w:pict>
          <v:rect id="_x0000_s2075" style="position:absolute;left:0;text-align:left;margin-left:53.85pt;margin-top:187.15pt;width:176.6pt;height:27.8pt;z-index:251657728" filled="f" strokecolor="#e00" strokeweight="2.5pt">
            <v:shadow color="#868686"/>
          </v:rect>
        </w:pict>
      </w:r>
      <w:r w:rsidR="0039384B" w:rsidRPr="00CA5AA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366.75pt;height:258pt;visibility:visible">
            <v:imagedata r:id="rId10" o:title=""/>
          </v:shape>
        </w:pict>
      </w:r>
    </w:p>
    <w:p w:rsidR="00C604FD" w:rsidRPr="00FE10D3" w:rsidRDefault="00C604FD" w:rsidP="00C604FD">
      <w:pPr>
        <w:spacing w:line="300" w:lineRule="auto"/>
        <w:jc w:val="center"/>
        <w:rPr>
          <w:rFonts w:cs="Calibri"/>
          <w:noProof/>
          <w:lang w:val="pt-BR"/>
        </w:rPr>
      </w:pPr>
    </w:p>
    <w:p w:rsidR="00C604FD" w:rsidRPr="007F163E" w:rsidRDefault="000F589C" w:rsidP="007F163E">
      <w:pPr>
        <w:spacing w:line="300" w:lineRule="auto"/>
        <w:ind w:firstLine="1418"/>
        <w:jc w:val="both"/>
        <w:rPr>
          <w:rFonts w:cs="Calibri"/>
          <w:b/>
          <w:bCs/>
          <w:lang w:val="pt-BR"/>
        </w:rPr>
      </w:pPr>
      <w:r>
        <w:rPr>
          <w:rFonts w:cs="Calibri"/>
          <w:bCs/>
          <w:lang w:val="pt-BR"/>
        </w:rPr>
        <w:t>A</w:t>
      </w:r>
      <w:r w:rsidR="00C604FD" w:rsidRPr="00B2704F">
        <w:rPr>
          <w:rFonts w:cs="Calibri"/>
          <w:bCs/>
          <w:lang w:val="pt-BR"/>
        </w:rPr>
        <w:t xml:space="preserve"> parte requerente manifestou o interesse restrito à obtenção do crédito, do qual necessitava para saldar compromissos pessoais. Foi-lhe informado, contudo, que a ausência de adesão ao </w:t>
      </w:r>
      <w:r w:rsidR="004E231D">
        <w:rPr>
          <w:rFonts w:cs="Calibri"/>
          <w:lang w:val="pt-BR"/>
        </w:rPr>
        <w:t>seguro</w:t>
      </w:r>
      <w:r w:rsidR="00C604FD" w:rsidRPr="00B2704F">
        <w:rPr>
          <w:rFonts w:cs="Calibri"/>
          <w:bCs/>
          <w:lang w:val="pt-BR"/>
        </w:rPr>
        <w:t xml:space="preserve"> inviabilizaria a liberação do valor pretendido. Não recebeu, em momento algum, informação clara, adequada e prévia acerca da natureza, da utilidade, do custo efetivo e — sobretudo — da facultatividade do produto que lhe foi imposto.</w:t>
      </w:r>
    </w:p>
    <w:p w:rsidR="00C604FD" w:rsidRPr="00832527" w:rsidRDefault="00C604FD" w:rsidP="00C604FD">
      <w:pPr>
        <w:spacing w:line="300" w:lineRule="auto"/>
        <w:ind w:firstLine="1418"/>
        <w:jc w:val="both"/>
        <w:rPr>
          <w:rFonts w:cs="Calibri"/>
          <w:bCs/>
          <w:sz w:val="16"/>
          <w:szCs w:val="16"/>
          <w:lang w:val="pt-BR"/>
        </w:rPr>
      </w:pPr>
    </w:p>
    <w:p w:rsidR="00C604FD" w:rsidRPr="00B2704F" w:rsidRDefault="00C604FD" w:rsidP="00C604FD">
      <w:pPr>
        <w:spacing w:line="300" w:lineRule="auto"/>
        <w:ind w:firstLine="1418"/>
        <w:jc w:val="both"/>
        <w:rPr>
          <w:rFonts w:cs="Calibri"/>
          <w:bCs/>
          <w:lang w:val="pt-BR"/>
        </w:rPr>
      </w:pPr>
      <w:r w:rsidRPr="00B2704F">
        <w:rPr>
          <w:rFonts w:cs="Calibri"/>
          <w:bCs/>
          <w:lang w:val="pt-BR"/>
        </w:rPr>
        <w:t>Cuida-se de imposição contratual dissimulada, recorrente no mercado bancário, que desvirtua a liberdade de contratar, ofende a boa-fé objetiva e transfere ao consumidor encargos indesejados e desprovidos de contrapartida útil.</w:t>
      </w:r>
    </w:p>
    <w:p w:rsidR="00C604FD" w:rsidRPr="00832527" w:rsidRDefault="00C604FD" w:rsidP="00C604FD">
      <w:pPr>
        <w:spacing w:line="300" w:lineRule="auto"/>
        <w:ind w:firstLine="1418"/>
        <w:jc w:val="both"/>
        <w:rPr>
          <w:rFonts w:cs="Calibri"/>
          <w:bCs/>
          <w:sz w:val="16"/>
          <w:szCs w:val="16"/>
          <w:lang w:val="pt-BR"/>
        </w:rPr>
      </w:pPr>
    </w:p>
    <w:p w:rsidR="00C604FD" w:rsidRPr="00B2704F" w:rsidRDefault="00C604FD" w:rsidP="00C604FD">
      <w:pPr>
        <w:spacing w:line="300" w:lineRule="auto"/>
        <w:ind w:firstLine="1418"/>
        <w:jc w:val="both"/>
        <w:rPr>
          <w:rFonts w:cs="Calibri"/>
          <w:bCs/>
          <w:lang w:val="pt-BR"/>
        </w:rPr>
      </w:pPr>
      <w:r w:rsidRPr="00B2704F">
        <w:rPr>
          <w:rFonts w:cs="Calibri"/>
          <w:bCs/>
          <w:lang w:val="pt-BR"/>
        </w:rPr>
        <w:t>Tal conduta amolda-se à prática abusiva de venda casada, obstada pelo art. 39, I, do CDC, e vulnera os deveres de informação e transparência (arts. 6º, III, 31 e 46 do CDC), atraindo, ainda, a nulidade das cláusulas correspondentes (art. 51, IV e § 1º, II, do CDC). Anote-se que, às relações bancárias, o CDC incide de forma plena (Súmula 297 do STJ).</w:t>
      </w:r>
    </w:p>
    <w:p w:rsidR="00C604FD" w:rsidRPr="00832527" w:rsidRDefault="00C604FD" w:rsidP="00C604FD">
      <w:pPr>
        <w:spacing w:line="300" w:lineRule="auto"/>
        <w:ind w:firstLine="1418"/>
        <w:jc w:val="both"/>
        <w:rPr>
          <w:rFonts w:cs="Calibri"/>
          <w:bCs/>
          <w:sz w:val="16"/>
          <w:szCs w:val="16"/>
          <w:lang w:val="pt-BR"/>
        </w:rPr>
      </w:pPr>
    </w:p>
    <w:p w:rsidR="00C604FD" w:rsidRPr="00B2704F" w:rsidRDefault="00C604FD" w:rsidP="00C604FD">
      <w:pPr>
        <w:spacing w:line="300" w:lineRule="auto"/>
        <w:ind w:firstLine="1418"/>
        <w:jc w:val="both"/>
        <w:rPr>
          <w:rFonts w:cs="Calibri"/>
          <w:bCs/>
          <w:lang w:val="pt-BR"/>
        </w:rPr>
      </w:pPr>
      <w:r w:rsidRPr="00B2704F">
        <w:rPr>
          <w:rFonts w:cs="Calibri"/>
          <w:bCs/>
          <w:lang w:val="pt-BR"/>
        </w:rPr>
        <w:t>Ao subordinar a concessão do mútuo à aquisição de produto acessório, o requerido cerceou a liberdade de escolha do consumidor, reconhecidamente a parte vulnerável do vínculo (arts. 4º, I, e 6º, I, do CDC). Embora resistente à imposição, a parte requerente, premida pela urgência dos recursos, acabou por aderir ao seguro sem vontade efetiva, sem receber esclarecimentos suficientes sobre cobertura, carência, vigência, hipóteses de cancelamento e custo efetivo total.</w:t>
      </w:r>
    </w:p>
    <w:p w:rsidR="00C604FD" w:rsidRPr="00832527" w:rsidRDefault="00C604FD" w:rsidP="00C604FD">
      <w:pPr>
        <w:spacing w:line="300" w:lineRule="auto"/>
        <w:ind w:firstLine="1418"/>
        <w:jc w:val="both"/>
        <w:rPr>
          <w:rFonts w:cs="Calibri"/>
          <w:bCs/>
          <w:sz w:val="16"/>
          <w:szCs w:val="16"/>
          <w:lang w:val="pt-BR"/>
        </w:rPr>
      </w:pPr>
    </w:p>
    <w:p w:rsidR="00C604FD" w:rsidRPr="00B2704F" w:rsidRDefault="00C604FD" w:rsidP="00C604FD">
      <w:pPr>
        <w:spacing w:line="300" w:lineRule="auto"/>
        <w:ind w:firstLine="1418"/>
        <w:jc w:val="both"/>
        <w:rPr>
          <w:rFonts w:cs="Calibri"/>
          <w:bCs/>
          <w:lang w:val="pt-BR"/>
        </w:rPr>
      </w:pPr>
      <w:r w:rsidRPr="00B2704F">
        <w:rPr>
          <w:rFonts w:cs="Calibri"/>
          <w:bCs/>
          <w:lang w:val="pt-BR"/>
        </w:rPr>
        <w:t>Delineado esse cenário, evidencia-se a conduta ilícita e abusiva do requerido, impondo-se a restituição das quantias indevidamente exigidas e a declaração de nulidade das cláusulas que atrelaram a contratação do seguro à liberação do empréstimo, na forma demonstrada nos tópicos seguintes.</w:t>
      </w:r>
    </w:p>
    <w:p w:rsidR="00E60516" w:rsidRPr="00C52ADA" w:rsidRDefault="00E60516" w:rsidP="00C52ADA">
      <w:pPr>
        <w:pStyle w:val="Padro"/>
        <w:tabs>
          <w:tab w:val="clear" w:pos="708"/>
          <w:tab w:val="left" w:pos="567"/>
        </w:tabs>
        <w:spacing w:after="0" w:line="300" w:lineRule="auto"/>
        <w:ind w:firstLine="1418"/>
        <w:jc w:val="both"/>
        <w:rPr>
          <w:rFonts w:ascii="Calibri" w:hAnsi="Calibri" w:cs="Calibri"/>
          <w:color w:val="auto"/>
          <w:sz w:val="20"/>
          <w:szCs w:val="20"/>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rsidR="000C22A4" w:rsidRPr="000C22A4" w:rsidRDefault="000C22A4" w:rsidP="000C22A4">
      <w:pPr>
        <w:spacing w:line="300" w:lineRule="auto"/>
        <w:ind w:left="-567" w:firstLine="2268"/>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De outro lado, encontra-se o requerido na qualidade de fornecedor como pessoa jurídica de direito privado, nos termos do art. 3° do CDC. </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rsidR="000C22A4" w:rsidRPr="000C22A4" w:rsidRDefault="000C22A4" w:rsidP="000C22A4">
      <w:pPr>
        <w:spacing w:line="24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Não há como se olvidar a qualidade de fornecedores das empresas requeridas, assim cabe lembrar a sempre abalizada lição de </w:t>
      </w:r>
      <w:proofErr w:type="spellStart"/>
      <w:r w:rsidRPr="000C22A4">
        <w:rPr>
          <w:rFonts w:cs="Calibri"/>
          <w:lang w:val="pt-BR"/>
        </w:rPr>
        <w:t>Rizzatto</w:t>
      </w:r>
      <w:proofErr w:type="spellEnd"/>
      <w:r w:rsidRPr="000C22A4">
        <w:rPr>
          <w:rFonts w:cs="Calibri"/>
          <w:lang w:val="pt-BR"/>
        </w:rPr>
        <w:t xml:space="preserve"> Nunes, o qual nos ensina que:</w:t>
      </w:r>
    </w:p>
    <w:p w:rsidR="000C22A4" w:rsidRPr="000C22A4" w:rsidRDefault="000C22A4" w:rsidP="000C22A4">
      <w:pPr>
        <w:spacing w:line="300" w:lineRule="auto"/>
        <w:ind w:firstLine="1701"/>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Assim, na qualidade de fornecedora, a requerida deve suportar as consequências da prática abusiva de venda casada, vedada pelo art. 39, I, do CDC, respondendo objetivamente e sendo condenada à integral reparação dos prejuízos, inclusive dos danos morais causados à parte requerente.</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Destarte, não remanescem dúvidas quanto à aplicabilidade do CDC, porquanto a relação firmada envolve consumidor e fornecedor (arts. 2º e 3º, CDC) e serviços bancário/financeiros alcançados pelo microssistema consumerista (Súmula 297/STJ).</w:t>
      </w:r>
    </w:p>
    <w:p w:rsidR="000C22A4" w:rsidRPr="000C22A4" w:rsidRDefault="000C22A4" w:rsidP="000C22A4">
      <w:pPr>
        <w:spacing w:line="300" w:lineRule="auto"/>
        <w:ind w:firstLine="1985"/>
        <w:jc w:val="both"/>
        <w:rPr>
          <w:rFonts w:cs="Calibri"/>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NO CDC </w:t>
      </w:r>
    </w:p>
    <w:p w:rsidR="000C22A4" w:rsidRPr="000C22A4" w:rsidRDefault="000C22A4" w:rsidP="000C22A4">
      <w:pPr>
        <w:spacing w:line="300" w:lineRule="auto"/>
        <w:jc w:val="both"/>
        <w:rPr>
          <w:rFonts w:cs="Calibri"/>
          <w:lang w:val="pt-BR"/>
        </w:rPr>
      </w:pPr>
      <w:r w:rsidRPr="000C22A4">
        <w:rPr>
          <w:rFonts w:cs="Calibri"/>
          <w:lang w:val="pt-BR"/>
        </w:rPr>
        <w:t xml:space="preserve"> </w:t>
      </w: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No caso concreto, incide a responsabilidade civil objetiva da requerida, na qualidade de fornecedora e prestadora de serviços, nos termos do art. 14 do Código de Defesa do Consumidor, </w:t>
      </w:r>
      <w:r w:rsidRPr="000C22A4">
        <w:rPr>
          <w:rFonts w:cs="Calibri"/>
          <w:i/>
          <w:iCs/>
          <w:lang w:val="pt-BR"/>
        </w:rPr>
        <w:t xml:space="preserve">in </w:t>
      </w:r>
      <w:proofErr w:type="spellStart"/>
      <w:r w:rsidRPr="000C22A4">
        <w:rPr>
          <w:rFonts w:cs="Calibri"/>
          <w:i/>
          <w:iCs/>
          <w:lang w:val="pt-BR"/>
        </w:rPr>
        <w:t>verbis</w:t>
      </w:r>
      <w:proofErr w:type="spellEnd"/>
      <w:r w:rsidRPr="000C22A4">
        <w:rPr>
          <w:rFonts w:cs="Calibri"/>
          <w:lang w:val="pt-BR"/>
        </w:rPr>
        <w:t xml:space="preserve">: </w:t>
      </w:r>
    </w:p>
    <w:p w:rsidR="000C22A4" w:rsidRPr="000C22A4" w:rsidRDefault="000C22A4" w:rsidP="000C22A4">
      <w:pPr>
        <w:spacing w:line="300" w:lineRule="auto"/>
        <w:ind w:left="2268"/>
        <w:jc w:val="both"/>
        <w:rPr>
          <w:rFonts w:cs="Calibri"/>
          <w:sz w:val="20"/>
          <w:szCs w:val="20"/>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rsidR="000C22A4" w:rsidRPr="000C22A4" w:rsidRDefault="000C22A4" w:rsidP="000C22A4">
      <w:pPr>
        <w:spacing w:line="240" w:lineRule="auto"/>
        <w:ind w:left="2268"/>
        <w:jc w:val="both"/>
        <w:rPr>
          <w:rFonts w:cs="Calibri"/>
          <w:sz w:val="16"/>
          <w:szCs w:val="16"/>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p>
    <w:p w:rsidR="000C22A4" w:rsidRPr="000C22A4" w:rsidRDefault="000C22A4" w:rsidP="000C22A4">
      <w:pPr>
        <w:spacing w:line="300" w:lineRule="auto"/>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Logo, em se tratando de relação de consumo, o fornecedor de serviços responde objetivamente pelos danos causados ao consumidor (art. 14, CDC), bastando o defeito do serviço e o nexo causal, sendo desnecessária a prova de culpa. O serviço é defeituoso quando não fornece a segurança esperada ou quando prestado com informações inadequadas (art. 14, caput e §1º), situações que, ao mal apresentarem o produto/serviço, geram insegurança, insatisfação e prejuízos concretos. </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 xml:space="preserve">Neste sentido, vejamos o que ensina o Mestre SÍLVIO DE SALVO VENOSA em sua obra sobre responsabilidade civil: </w:t>
      </w:r>
    </w:p>
    <w:p w:rsidR="000C22A4" w:rsidRPr="000C22A4" w:rsidRDefault="000C22A4" w:rsidP="000C22A4">
      <w:pPr>
        <w:spacing w:line="300" w:lineRule="auto"/>
        <w:ind w:firstLine="1701"/>
        <w:jc w:val="both"/>
        <w:rPr>
          <w:rFonts w:cs="Calibri"/>
          <w:lang w:val="pt-BR"/>
        </w:rPr>
      </w:pPr>
      <w:r w:rsidRPr="000C22A4">
        <w:rPr>
          <w:rFonts w:cs="Calibri"/>
          <w:lang w:val="pt-BR"/>
        </w:rPr>
        <w:t xml:space="preserve"> </w:t>
      </w: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rsidR="000C22A4" w:rsidRPr="000C22A4" w:rsidRDefault="000C22A4" w:rsidP="000C22A4">
      <w:pPr>
        <w:spacing w:line="300" w:lineRule="auto"/>
        <w:ind w:firstLine="2835"/>
        <w:jc w:val="both"/>
        <w:rPr>
          <w:rFonts w:cs="Calibri"/>
          <w:lang w:val="pt-BR"/>
        </w:rPr>
      </w:pPr>
      <w:r w:rsidRPr="000C22A4">
        <w:rPr>
          <w:rFonts w:cs="Calibri"/>
          <w:lang w:val="pt-BR"/>
        </w:rPr>
        <w:t xml:space="preserve"> </w:t>
      </w:r>
    </w:p>
    <w:p w:rsidR="000C22A4" w:rsidRPr="000C22A4" w:rsidRDefault="000C22A4" w:rsidP="00F43017">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3.3 – DA PRÁTICA ABUSIVA DE VENDA CASADA – AFRONTA AO ART. 39, I, DO CDC</w:t>
      </w:r>
      <w:r w:rsidR="003B0ACD">
        <w:rPr>
          <w:rFonts w:cs="Calibri"/>
          <w:b/>
          <w:lang w:val="pt-BR"/>
        </w:rPr>
        <w:t xml:space="preserve"> – TEMA 972 DO STJ</w:t>
      </w:r>
    </w:p>
    <w:p w:rsidR="000C22A4" w:rsidRPr="000C22A4" w:rsidRDefault="000C22A4" w:rsidP="000C22A4">
      <w:pPr>
        <w:spacing w:line="300" w:lineRule="auto"/>
        <w:ind w:firstLine="2835"/>
        <w:jc w:val="both"/>
        <w:rPr>
          <w:rFonts w:cs="Calibri"/>
          <w:lang w:val="pt-BR"/>
        </w:rPr>
      </w:pPr>
    </w:p>
    <w:p w:rsidR="00832527" w:rsidRPr="000C22A4" w:rsidRDefault="00832527" w:rsidP="00832527">
      <w:pPr>
        <w:spacing w:line="300" w:lineRule="auto"/>
        <w:ind w:firstLine="1418"/>
        <w:jc w:val="both"/>
        <w:rPr>
          <w:rFonts w:cs="Calibri"/>
          <w:lang w:val="pt-BR"/>
        </w:rPr>
      </w:pPr>
      <w:r w:rsidRPr="00B2704F">
        <w:rPr>
          <w:rFonts w:cs="Calibri"/>
          <w:lang w:val="pt-BR"/>
        </w:rPr>
        <w:t xml:space="preserve">Excelência, restou demonstrado que a parte requerente foi compelida a adquirir produto da instituição requerida denominado “{{nome_produto}}”, no valor de R$ {{valor_seguro}} ({{valor_seguro_extenso}}), como condição</w:t>
      </w:r>
      <w:r w:rsidR="007F163E" w:rsidRPr="00B2704F">
        <w:rPr>
          <w:rFonts w:cs="Calibri"/>
          <w:b/>
          <w:bCs/>
          <w:lang w:val="pt-BR"/>
        </w:rPr>
        <w:t xml:space="preserve"/>
      </w:r>
      <w:r w:rsidR="004E231D">
        <w:rPr>
          <w:rFonts w:cs="Calibri"/>
          <w:b/>
          <w:bCs/>
          <w:lang w:val="pt-BR"/>
        </w:rPr>
        <w:t xml:space="preserve"/>
      </w:r>
      <w:r w:rsidR="007F163E" w:rsidRPr="00B2704F">
        <w:rPr>
          <w:rFonts w:cs="Calibri"/>
          <w:b/>
          <w:bCs/>
          <w:lang w:val="pt-BR"/>
        </w:rPr>
        <w:t xml:space="preserve"/>
      </w:r>
      <w:r w:rsidRPr="00B2704F">
        <w:rPr>
          <w:rFonts w:cs="Calibri"/>
          <w:b/>
          <w:bCs/>
          <w:lang w:val="pt-BR"/>
        </w:rPr>
        <w:t xml:space="preserve"/>
      </w:r>
      <w:r w:rsidR="0039384B">
        <w:rPr>
          <w:rFonts w:cs="Calibri"/>
          <w:b/>
          <w:bCs/>
          <w:lang w:val="pt-BR"/>
        </w:rPr>
        <w:t xml:space="preserve"/>
      </w:r>
      <w:r w:rsidRPr="00B2704F">
        <w:rPr>
          <w:rFonts w:cs="Calibri"/>
          <w:lang w:val="pt-BR"/>
        </w:rPr>
        <w:t xml:space="preserve"> para a liberação do crédito pretendido, conforme documentos anexos. Cuida-se de típica venda casada, prática expressamente vedada pelo art. 39, I, do CDC, por subordinar o fornecimento de um serviço (empréstimo) à contratação de outro (seguro) não desejado.</w:t>
      </w:r>
      <w:r w:rsidRPr="000C22A4">
        <w:rPr>
          <w:rFonts w:cs="Calibri"/>
          <w:lang w:val="pt-BR"/>
        </w:rPr>
        <w:t xml:space="preserve"> </w:t>
      </w:r>
    </w:p>
    <w:p w:rsidR="00832527" w:rsidRPr="000C22A4" w:rsidRDefault="00832527" w:rsidP="00832527">
      <w:pPr>
        <w:spacing w:line="300" w:lineRule="auto"/>
        <w:ind w:firstLine="1418"/>
        <w:jc w:val="both"/>
        <w:rPr>
          <w:rFonts w:cs="Calibri"/>
          <w:lang w:val="pt-BR"/>
        </w:rPr>
      </w:pPr>
    </w:p>
    <w:p w:rsidR="00832527" w:rsidRPr="000C22A4" w:rsidRDefault="00832527" w:rsidP="00832527">
      <w:pPr>
        <w:adjustRightInd w:val="0"/>
        <w:spacing w:line="240" w:lineRule="auto"/>
        <w:ind w:left="2268"/>
        <w:jc w:val="both"/>
        <w:rPr>
          <w:rFonts w:cs="Calibri"/>
          <w:sz w:val="20"/>
          <w:szCs w:val="20"/>
          <w:lang w:val="pt-BR"/>
        </w:rPr>
      </w:pPr>
      <w:r w:rsidRPr="000C22A4">
        <w:rPr>
          <w:rFonts w:cs="Calibri"/>
          <w:sz w:val="20"/>
          <w:szCs w:val="20"/>
          <w:lang w:val="pt-BR"/>
        </w:rPr>
        <w:t xml:space="preserve">Art. 39 - É </w:t>
      </w:r>
      <w:r w:rsidRPr="000C22A4">
        <w:rPr>
          <w:rFonts w:cs="Calibri"/>
          <w:b/>
          <w:sz w:val="20"/>
          <w:szCs w:val="20"/>
          <w:lang w:val="pt-BR"/>
        </w:rPr>
        <w:t>vedado ao fornecedor de produtos ou serviços</w:t>
      </w:r>
      <w:r w:rsidRPr="000C22A4">
        <w:rPr>
          <w:rFonts w:cs="Calibri"/>
          <w:sz w:val="20"/>
          <w:szCs w:val="20"/>
          <w:lang w:val="pt-BR"/>
        </w:rPr>
        <w:t>, dentre outras práticas abusivas:</w:t>
      </w:r>
    </w:p>
    <w:p w:rsidR="00832527" w:rsidRPr="000C22A4" w:rsidRDefault="00832527" w:rsidP="00832527">
      <w:pPr>
        <w:adjustRightInd w:val="0"/>
        <w:spacing w:line="240" w:lineRule="auto"/>
        <w:ind w:left="2268"/>
        <w:jc w:val="both"/>
        <w:rPr>
          <w:rFonts w:cs="Calibri"/>
          <w:sz w:val="20"/>
          <w:szCs w:val="20"/>
          <w:lang w:val="pt-BR"/>
        </w:rPr>
      </w:pPr>
    </w:p>
    <w:p w:rsidR="00832527" w:rsidRPr="000C22A4" w:rsidRDefault="00832527" w:rsidP="00832527">
      <w:pPr>
        <w:adjustRightInd w:val="0"/>
        <w:spacing w:line="240" w:lineRule="auto"/>
        <w:ind w:left="2268"/>
        <w:jc w:val="both"/>
        <w:rPr>
          <w:rFonts w:cs="Calibri"/>
          <w:bCs/>
          <w:sz w:val="20"/>
          <w:szCs w:val="20"/>
          <w:lang w:val="pt-BR"/>
        </w:rPr>
      </w:pPr>
      <w:r w:rsidRPr="000C22A4">
        <w:rPr>
          <w:rFonts w:cs="Calibri"/>
          <w:bCs/>
          <w:sz w:val="20"/>
          <w:szCs w:val="20"/>
          <w:lang w:val="pt-BR"/>
        </w:rPr>
        <w:t xml:space="preserve">I – </w:t>
      </w:r>
      <w:r w:rsidRPr="000C22A4">
        <w:rPr>
          <w:rFonts w:cs="Calibri"/>
          <w:b/>
          <w:bCs/>
          <w:sz w:val="20"/>
          <w:szCs w:val="20"/>
          <w:lang w:val="pt-BR"/>
        </w:rPr>
        <w:t>condicionar o fornecimento de produto ou de serviço ao fornecimento de outro produto ou serviço</w:t>
      </w:r>
      <w:r w:rsidRPr="000C22A4">
        <w:rPr>
          <w:rFonts w:cs="Calibri"/>
          <w:bCs/>
          <w:sz w:val="20"/>
          <w:szCs w:val="20"/>
          <w:lang w:val="pt-BR"/>
        </w:rPr>
        <w:t>, bem como, sem justa causa, a limites quantitativos; (G.N.)</w:t>
      </w:r>
    </w:p>
    <w:p w:rsidR="00832527" w:rsidRPr="000C22A4" w:rsidRDefault="00832527" w:rsidP="00832527">
      <w:pPr>
        <w:spacing w:line="300" w:lineRule="auto"/>
        <w:jc w:val="both"/>
        <w:rPr>
          <w:rFonts w:cs="Calibri"/>
          <w:lang w:val="pt-BR"/>
        </w:rPr>
      </w:pPr>
    </w:p>
    <w:p w:rsidR="00832527" w:rsidRDefault="00832527" w:rsidP="00832527">
      <w:pPr>
        <w:spacing w:line="300" w:lineRule="auto"/>
        <w:ind w:firstLine="1418"/>
        <w:jc w:val="both"/>
        <w:rPr>
          <w:rFonts w:cs="Calibri"/>
          <w:lang w:val="pt-BR"/>
        </w:rPr>
      </w:pPr>
      <w:r w:rsidRPr="00B2704F">
        <w:rPr>
          <w:rFonts w:cs="Calibri"/>
          <w:lang w:val="pt-BR"/>
        </w:rPr>
        <w:t>É inegável que a concessão do empréstimo ficou vinculada à aquisição do produto supracitado, prática popularmente conhecida por “venda casada”, o que se comprova pelos documentos que instruem esta exordial.</w:t>
      </w:r>
    </w:p>
    <w:p w:rsidR="00790E3D" w:rsidRDefault="00790E3D" w:rsidP="00832527">
      <w:pPr>
        <w:spacing w:line="300" w:lineRule="auto"/>
        <w:ind w:firstLine="1418"/>
        <w:jc w:val="both"/>
        <w:rPr>
          <w:rFonts w:cs="Calibri"/>
          <w:lang w:val="pt-BR"/>
        </w:rPr>
      </w:pPr>
    </w:p>
    <w:p w:rsidR="00790E3D" w:rsidRDefault="00790E3D" w:rsidP="00790E3D">
      <w:pPr>
        <w:spacing w:line="300" w:lineRule="auto"/>
        <w:ind w:firstLine="1418"/>
        <w:jc w:val="both"/>
        <w:rPr>
          <w:rFonts w:cs="Calibri"/>
          <w:lang w:val="pt-BR"/>
        </w:rPr>
      </w:pPr>
      <w:r>
        <w:rPr>
          <w:rFonts w:cs="Calibri"/>
          <w:lang w:val="pt-BR"/>
        </w:rPr>
        <w:t>Antecipa-se, desde logo, a provável alegação defensiva de que o produto “</w:t>
      </w:r>
      <w:r w:rsidR="003B0ACD">
        <w:rPr>
          <w:rFonts w:cs="Calibri"/>
          <w:lang w:val="pt-BR"/>
        </w:rPr>
        <w:t>Seguro”</w:t>
      </w:r>
      <w:r>
        <w:rPr>
          <w:rFonts w:cs="Calibri"/>
          <w:lang w:val="pt-BR"/>
        </w:rPr>
        <w:t xml:space="preserve"> seria meramente </w:t>
      </w:r>
      <w:r>
        <w:rPr>
          <w:rFonts w:cs="Calibri"/>
          <w:b/>
          <w:bCs/>
          <w:lang w:val="pt-BR"/>
        </w:rPr>
        <w:t>“opcional”</w:t>
      </w:r>
      <w:r w:rsidR="003B0ACD">
        <w:rPr>
          <w:rFonts w:cs="Calibri"/>
          <w:lang w:val="pt-BR"/>
        </w:rPr>
        <w:t>.</w:t>
      </w:r>
      <w:r>
        <w:rPr>
          <w:rFonts w:cs="Calibri"/>
          <w:lang w:val="pt-BR"/>
        </w:rPr>
        <w:t xml:space="preserve"> A tese, contudo, não subsiste. A simples inserção, no corpo de um contrato de adesão (art. 54 do CDC), de cláusula pré-redigida a afirmar a facultatividade do produto </w:t>
      </w:r>
      <w:r>
        <w:rPr>
          <w:rFonts w:cs="Calibri"/>
          <w:b/>
          <w:bCs/>
          <w:lang w:val="pt-BR"/>
        </w:rPr>
        <w:t>não comprova, por si só, manifestação de vontade livre, informada e autônoma do consumidor</w:t>
      </w:r>
      <w:r>
        <w:rPr>
          <w:rFonts w:cs="Calibri"/>
          <w:lang w:val="pt-BR"/>
        </w:rPr>
        <w:t>. Admiti-lo equivaleria a permitir que o fornecedor, com mera cláusula de estilo, se imunizasse de qualquer controle, exatamente o que o Tema 972 do STJ busca coibir.</w:t>
      </w:r>
    </w:p>
    <w:p w:rsidR="00790E3D" w:rsidRDefault="00790E3D" w:rsidP="00790E3D">
      <w:pPr>
        <w:spacing w:line="300" w:lineRule="auto"/>
        <w:ind w:firstLine="1418"/>
        <w:jc w:val="both"/>
        <w:rPr>
          <w:rFonts w:cs="Calibri"/>
          <w:lang w:val="pt-BR"/>
        </w:rPr>
      </w:pPr>
    </w:p>
    <w:p w:rsidR="00790E3D" w:rsidRDefault="00790E3D" w:rsidP="00790E3D">
      <w:pPr>
        <w:spacing w:line="300" w:lineRule="auto"/>
        <w:ind w:firstLine="1418"/>
        <w:jc w:val="both"/>
        <w:rPr>
          <w:rFonts w:cs="Calibri"/>
          <w:lang w:val="pt-BR"/>
        </w:rPr>
      </w:pPr>
      <w:r>
        <w:rPr>
          <w:rFonts w:cs="Calibri"/>
          <w:lang w:val="pt-BR"/>
        </w:rPr>
        <w:t xml:space="preserve">Em relação de consumo, incumbe ao </w:t>
      </w:r>
      <w:r>
        <w:rPr>
          <w:rFonts w:cs="Calibri"/>
          <w:b/>
          <w:bCs/>
          <w:lang w:val="pt-BR"/>
        </w:rPr>
        <w:t>fornecedor</w:t>
      </w:r>
      <w:r>
        <w:rPr>
          <w:rFonts w:cs="Calibri"/>
          <w:lang w:val="pt-BR"/>
        </w:rPr>
        <w:t xml:space="preserve"> o ônus de provar a regularidade e a efetiva facultatividade da contratação acessória (art. 373, II, do CPC; art. 6º, VIII, do CDC; Súmula 297</w:t>
      </w:r>
      <w:r w:rsidR="003B0ACD">
        <w:rPr>
          <w:rFonts w:cs="Calibri"/>
          <w:lang w:val="pt-BR"/>
        </w:rPr>
        <w:t xml:space="preserve"> do </w:t>
      </w:r>
      <w:r>
        <w:rPr>
          <w:rFonts w:cs="Calibri"/>
          <w:lang w:val="pt-BR"/>
        </w:rPr>
        <w:t xml:space="preserve">STJ). Não basta a cláusula genérica, cabe à requerida demonstrar: </w:t>
      </w:r>
      <w:r w:rsidRPr="00FB6BE5">
        <w:rPr>
          <w:rFonts w:cs="Calibri"/>
          <w:b/>
          <w:bCs/>
          <w:lang w:val="pt-BR"/>
        </w:rPr>
        <w:t>(i)</w:t>
      </w:r>
      <w:r>
        <w:rPr>
          <w:rFonts w:cs="Calibri"/>
          <w:lang w:val="pt-BR"/>
        </w:rPr>
        <w:t xml:space="preserve"> que o seguro foi objeto de adesão específica e destacada, em campo apartado (art. 54, §4º, do CDC); </w:t>
      </w:r>
      <w:r w:rsidRPr="00FB6BE5">
        <w:rPr>
          <w:rFonts w:cs="Calibri"/>
          <w:b/>
          <w:bCs/>
          <w:lang w:val="pt-BR"/>
        </w:rPr>
        <w:t>(</w:t>
      </w:r>
      <w:proofErr w:type="spellStart"/>
      <w:r w:rsidRPr="00FB6BE5">
        <w:rPr>
          <w:rFonts w:cs="Calibri"/>
          <w:b/>
          <w:bCs/>
          <w:lang w:val="pt-BR"/>
        </w:rPr>
        <w:t>ii</w:t>
      </w:r>
      <w:proofErr w:type="spellEnd"/>
      <w:r w:rsidRPr="00FB6BE5">
        <w:rPr>
          <w:rFonts w:cs="Calibri"/>
          <w:b/>
          <w:bCs/>
          <w:lang w:val="pt-BR"/>
        </w:rPr>
        <w:t>)</w:t>
      </w:r>
      <w:r>
        <w:rPr>
          <w:rFonts w:cs="Calibri"/>
          <w:lang w:val="pt-BR"/>
        </w:rPr>
        <w:t xml:space="preserve"> que a autora foi previamente informada da facultatividade, do custo efetivo, da cobertura, da carência e da vigência e </w:t>
      </w:r>
      <w:r w:rsidRPr="00FB6BE5">
        <w:rPr>
          <w:rFonts w:cs="Calibri"/>
          <w:b/>
          <w:bCs/>
          <w:lang w:val="pt-BR"/>
        </w:rPr>
        <w:t>(</w:t>
      </w:r>
      <w:proofErr w:type="spellStart"/>
      <w:r w:rsidRPr="00FB6BE5">
        <w:rPr>
          <w:rFonts w:cs="Calibri"/>
          <w:b/>
          <w:bCs/>
          <w:lang w:val="pt-BR"/>
        </w:rPr>
        <w:t>iii</w:t>
      </w:r>
      <w:proofErr w:type="spellEnd"/>
      <w:r w:rsidRPr="00FB6BE5">
        <w:rPr>
          <w:rFonts w:cs="Calibri"/>
          <w:b/>
          <w:bCs/>
          <w:lang w:val="pt-BR"/>
        </w:rPr>
        <w:t>)</w:t>
      </w:r>
      <w:r>
        <w:rPr>
          <w:rFonts w:cs="Calibri"/>
          <w:lang w:val="pt-BR"/>
        </w:rPr>
        <w:t xml:space="preserve"> que lhe foi assegurada a livre escolha da seguradora. A assinatura eletrônica atesta a autoria do ato, mas não supre a prova do consentimento informado e específico quanto ao seguro.</w:t>
      </w:r>
    </w:p>
    <w:p w:rsidR="00790E3D" w:rsidRDefault="00790E3D" w:rsidP="00790E3D">
      <w:pPr>
        <w:spacing w:line="300" w:lineRule="auto"/>
        <w:ind w:firstLine="1418"/>
        <w:jc w:val="both"/>
        <w:rPr>
          <w:rFonts w:cs="Calibri"/>
          <w:lang w:val="pt-BR"/>
        </w:rPr>
      </w:pPr>
    </w:p>
    <w:p w:rsidR="00790E3D" w:rsidRDefault="00790E3D" w:rsidP="00790E3D">
      <w:pPr>
        <w:spacing w:line="300" w:lineRule="auto"/>
        <w:ind w:firstLine="1418"/>
        <w:jc w:val="both"/>
        <w:rPr>
          <w:rFonts w:cs="Calibri"/>
          <w:lang w:val="pt-BR"/>
        </w:rPr>
      </w:pPr>
      <w:r>
        <w:rPr>
          <w:rFonts w:cs="Calibri"/>
          <w:lang w:val="pt-BR"/>
        </w:rPr>
        <w:t xml:space="preserve">Ainda que se admitisse a facultatividade, o que se aventa por mero amor ao debate, remanesceria a abusividade central do Tema 972: a </w:t>
      </w:r>
      <w:r>
        <w:rPr>
          <w:rFonts w:cs="Calibri"/>
          <w:b/>
          <w:bCs/>
          <w:lang w:val="pt-BR"/>
        </w:rPr>
        <w:t>restrição à livre escolha da seguradora</w:t>
      </w:r>
      <w:r>
        <w:rPr>
          <w:rFonts w:cs="Calibri"/>
          <w:lang w:val="pt-BR"/>
        </w:rPr>
        <w:t>. O contrato sequer identifica a seguradora, referindo-se genericamente a “empresa contratada” (cláusula 52), sem qualquer prova de que à autora se tenha facultado contratar com seguradora diversa ou recusar a indicada pela financeira. O interesse legítimo da instituição esgota-se na existência de garantia idônea, sendo-lhe juridicamente irrelevante a identidade do segurador, pois impor seguradora determinada configura, precisamente, a venda casada vedada pela Tese 2.2 do Tema 972 do STJ.</w:t>
      </w:r>
    </w:p>
    <w:p w:rsidR="00790E3D" w:rsidRDefault="00790E3D" w:rsidP="00790E3D">
      <w:pPr>
        <w:spacing w:line="300" w:lineRule="auto"/>
        <w:ind w:firstLine="1418"/>
        <w:jc w:val="both"/>
        <w:rPr>
          <w:rFonts w:cs="Calibri"/>
          <w:lang w:val="pt-BR"/>
        </w:rPr>
      </w:pPr>
    </w:p>
    <w:p w:rsidR="00790E3D" w:rsidRDefault="00790E3D" w:rsidP="00790E3D">
      <w:pPr>
        <w:spacing w:line="300" w:lineRule="auto"/>
        <w:ind w:firstLine="1418"/>
        <w:jc w:val="both"/>
        <w:rPr>
          <w:rFonts w:cs="Calibri"/>
          <w:lang w:val="pt-BR"/>
        </w:rPr>
      </w:pPr>
      <w:r>
        <w:rPr>
          <w:rFonts w:cs="Calibri"/>
          <w:lang w:val="pt-BR"/>
        </w:rPr>
        <w:t>Desse modo, seja pela ausência de prova de consentimento livre e destacado, seja pela restrição à escolha da seguradora, a cobrança do seguro é indevida e nula a cláusula respectiva (art. 51, IV, do CDC), impondo-se a restituição na forma adiante postulada, tudo em consonância com a orientação vinculante a seguir colacionada.</w:t>
      </w:r>
    </w:p>
    <w:p w:rsidR="00832527" w:rsidRDefault="00832527" w:rsidP="00832527">
      <w:pPr>
        <w:spacing w:line="300" w:lineRule="auto"/>
        <w:ind w:firstLine="1418"/>
        <w:jc w:val="both"/>
        <w:rPr>
          <w:rFonts w:cs="Calibri"/>
          <w:lang w:val="pt-BR"/>
        </w:rPr>
      </w:pPr>
    </w:p>
    <w:p w:rsidR="00832527" w:rsidRPr="00B2704F" w:rsidRDefault="00832527" w:rsidP="00832527">
      <w:pPr>
        <w:spacing w:line="300" w:lineRule="auto"/>
        <w:ind w:firstLine="1418"/>
        <w:jc w:val="both"/>
        <w:rPr>
          <w:rFonts w:cs="Calibri"/>
          <w:lang w:val="pt-BR"/>
        </w:rPr>
      </w:pPr>
      <w:r w:rsidRPr="00B2704F">
        <w:rPr>
          <w:rFonts w:cs="Calibri"/>
          <w:lang w:val="pt-BR"/>
        </w:rPr>
        <w:t xml:space="preserve">Salutar destacar que o C. Superior Tribunal de Justiça, no julgamento dos </w:t>
      </w:r>
      <w:r w:rsidRPr="00B2704F">
        <w:rPr>
          <w:rFonts w:cs="Calibri"/>
          <w:b/>
          <w:bCs/>
          <w:lang w:val="pt-BR"/>
        </w:rPr>
        <w:t>Recursos Especiais 1.639.320/SP e 1.639.259/SP, submetidos ao rito dos Recursos Repetitivos – Tema 972</w:t>
      </w:r>
      <w:r w:rsidRPr="00B2704F">
        <w:rPr>
          <w:rFonts w:cs="Calibri"/>
          <w:lang w:val="pt-BR"/>
        </w:rPr>
        <w:t>, em 12/12/2018, firmou o entendimento de que o consumidor não pode ser compelido a contratar seguro com a instituição financeira, restando configurada, nesse contexto, a venda casada, confira-se:</w:t>
      </w:r>
    </w:p>
    <w:p w:rsidR="00832527" w:rsidRPr="000C22A4" w:rsidRDefault="00832527" w:rsidP="00832527">
      <w:pPr>
        <w:spacing w:line="300" w:lineRule="auto"/>
        <w:ind w:firstLine="1701"/>
        <w:jc w:val="both"/>
        <w:rPr>
          <w:rFonts w:cs="Calibri"/>
          <w:lang w:val="pt-BR"/>
        </w:rPr>
      </w:pPr>
    </w:p>
    <w:p w:rsidR="00832527" w:rsidRPr="000C22A4" w:rsidRDefault="00832527" w:rsidP="00832527">
      <w:pPr>
        <w:spacing w:line="240" w:lineRule="auto"/>
        <w:ind w:left="2268"/>
        <w:jc w:val="both"/>
        <w:rPr>
          <w:rFonts w:cs="Calibri"/>
          <w:b/>
          <w:sz w:val="20"/>
          <w:szCs w:val="20"/>
          <w:lang w:val="pt-BR"/>
        </w:rPr>
      </w:pPr>
      <w:r w:rsidRPr="000C22A4">
        <w:rPr>
          <w:rFonts w:cs="Calibri"/>
          <w:b/>
          <w:sz w:val="20"/>
          <w:szCs w:val="20"/>
          <w:lang w:val="pt-BR"/>
        </w:rPr>
        <w:t>RECURSO ESPECIAL N° 1.639.259 – SP (2016/0306899-7)</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RECORRENTE: CRISLAINE SOUZA OLIVEIRA</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RAMON EMIDIO MONTEIRO E OUTRO(S) – SP086623</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RECORRIDO: BANCO ITAULEASING S.A</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ADVOGADOS: KONSTANTINOS JEAN ANDREOPOULOS – SP131758</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WAMBIER, YAMASAKI, BEVERVANÇO &amp; LOBO ADVOCACIA – PR002049</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rsidR="00832527" w:rsidRPr="000C22A4" w:rsidRDefault="00832527" w:rsidP="00832527">
      <w:pPr>
        <w:adjustRightInd w:val="0"/>
        <w:spacing w:line="240" w:lineRule="auto"/>
        <w:ind w:left="2268"/>
        <w:jc w:val="both"/>
        <w:rPr>
          <w:rFonts w:cs="Calibri"/>
          <w:iCs/>
          <w:sz w:val="20"/>
          <w:szCs w:val="20"/>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 OCORRÊNCIA</w:t>
      </w:r>
      <w:r w:rsidRPr="000C22A4">
        <w:rPr>
          <w:rFonts w:cs="Calibri"/>
          <w:iCs/>
          <w:sz w:val="20"/>
          <w:szCs w:val="20"/>
          <w:lang w:val="pt-BR"/>
        </w:rPr>
        <w:t xml:space="preserve">. RESTRIÇÃO À ESCOLHA DA SEGURADORA. ANALOGIA COM O ENTENDIMENTO DA SÚMULA 473/STJ. </w:t>
      </w:r>
      <w:r w:rsidRPr="000C22A4">
        <w:rPr>
          <w:rFonts w:cs="Calibri"/>
          <w:iCs/>
          <w:sz w:val="20"/>
          <w:szCs w:val="20"/>
        </w:rPr>
        <w:t>DESCARACTERIZAÇÃO DA MORA. NÃO OCORRÊNCIA. ENCARGOS ACESSÓRIOS.</w:t>
      </w:r>
    </w:p>
    <w:p w:rsidR="00832527" w:rsidRPr="000C22A4" w:rsidRDefault="00832527" w:rsidP="00832527">
      <w:pPr>
        <w:numPr>
          <w:ilvl w:val="0"/>
          <w:numId w:val="6"/>
        </w:numPr>
        <w:autoSpaceDE w:val="0"/>
        <w:autoSpaceDN w:val="0"/>
        <w:adjustRightInd w:val="0"/>
        <w:spacing w:line="240" w:lineRule="auto"/>
        <w:ind w:left="2268" w:firstLine="0"/>
        <w:jc w:val="both"/>
        <w:rPr>
          <w:rFonts w:cs="Calibri"/>
          <w:iCs/>
          <w:sz w:val="20"/>
          <w:szCs w:val="20"/>
          <w:lang w:val="pt-BR"/>
        </w:rPr>
      </w:pPr>
      <w:r w:rsidRPr="000C22A4">
        <w:rPr>
          <w:rFonts w:cs="Calibri"/>
          <w:b/>
          <w:bCs/>
          <w:iCs/>
          <w:sz w:val="20"/>
          <w:szCs w:val="20"/>
          <w:lang w:val="pt-BR"/>
        </w:rPr>
        <w:t xml:space="preserve">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rsidR="00832527" w:rsidRPr="000C22A4" w:rsidRDefault="00832527" w:rsidP="00832527">
      <w:pPr>
        <w:numPr>
          <w:ilvl w:val="0"/>
          <w:numId w:val="6"/>
        </w:numPr>
        <w:autoSpaceDE w:val="0"/>
        <w:autoSpaceDN w:val="0"/>
        <w:adjustRightInd w:val="0"/>
        <w:spacing w:line="240" w:lineRule="auto"/>
        <w:ind w:left="2268" w:firstLine="0"/>
        <w:jc w:val="both"/>
        <w:rPr>
          <w:rFonts w:cs="Calibri"/>
          <w:b/>
          <w:bCs/>
          <w:iCs/>
          <w:sz w:val="20"/>
          <w:szCs w:val="20"/>
          <w:lang w:val="pt-BR"/>
        </w:rPr>
      </w:pPr>
      <w:r w:rsidRPr="000C22A4">
        <w:rPr>
          <w:rFonts w:cs="Calibri"/>
          <w:b/>
          <w:bCs/>
          <w:iCs/>
          <w:sz w:val="20"/>
          <w:szCs w:val="20"/>
          <w:lang w:val="pt-BR"/>
        </w:rPr>
        <w:t>TESES FIXADAS PARA OS FINS DO ART. 1.040 DO CPC/2015:</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2.2 - Nos contratos bancários em geral, o consumidor não pode ser compelido a contratar seguro com a instituição financeira ou com seguradora por ela indicada.</w:t>
      </w:r>
    </w:p>
    <w:p w:rsidR="00832527" w:rsidRPr="000C22A4" w:rsidRDefault="00832527" w:rsidP="00832527">
      <w:pPr>
        <w:numPr>
          <w:ilvl w:val="1"/>
          <w:numId w:val="6"/>
        </w:numPr>
        <w:autoSpaceDE w:val="0"/>
        <w:autoSpaceDN w:val="0"/>
        <w:adjustRightInd w:val="0"/>
        <w:spacing w:line="240" w:lineRule="auto"/>
        <w:ind w:left="2268" w:firstLine="0"/>
        <w:jc w:val="both"/>
        <w:rPr>
          <w:rFonts w:cs="Calibri"/>
          <w:iCs/>
          <w:sz w:val="20"/>
          <w:szCs w:val="20"/>
          <w:lang w:val="pt-BR"/>
        </w:rPr>
      </w:pPr>
      <w:r w:rsidRPr="000C22A4">
        <w:rPr>
          <w:rFonts w:cs="Calibri"/>
          <w:iCs/>
          <w:sz w:val="20"/>
          <w:szCs w:val="20"/>
          <w:lang w:val="pt-BR"/>
        </w:rPr>
        <w:t>- A abusividade de encargos acessórios do contrato não descaracteriza a mora.</w:t>
      </w:r>
    </w:p>
    <w:p w:rsidR="00832527" w:rsidRPr="000C22A4" w:rsidRDefault="00832527" w:rsidP="00832527">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rPr>
        <w:t>CASO CONCRETO.</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 xml:space="preserve">3.1. Aplicação da tese 2.1 para declarar válida a cláusula referente ao ressarcimento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condenando-se, porém, a instituição financeira a restituir o indébito em virtude da ausência de comprovação da efetiva prestação do serviço.</w:t>
      </w:r>
    </w:p>
    <w:p w:rsidR="00832527" w:rsidRPr="000C22A4" w:rsidRDefault="00832527" w:rsidP="00832527">
      <w:pPr>
        <w:adjustRightInd w:val="0"/>
        <w:spacing w:line="240" w:lineRule="auto"/>
        <w:ind w:left="2268"/>
        <w:jc w:val="both"/>
        <w:rPr>
          <w:rFonts w:cs="Calibri"/>
          <w:b/>
          <w:iCs/>
          <w:sz w:val="20"/>
          <w:szCs w:val="20"/>
          <w:lang w:val="pt-BR"/>
        </w:rPr>
      </w:pPr>
      <w:r w:rsidRPr="000C22A4">
        <w:rPr>
          <w:rFonts w:cs="Calibri"/>
          <w:b/>
          <w:iCs/>
          <w:sz w:val="20"/>
          <w:szCs w:val="20"/>
          <w:lang w:val="pt-BR"/>
        </w:rPr>
        <w:t>3.2. Aplicação da tese 2.2 para declarar a ocorrência de venda casada no que tange ao seguro de proteção financeira.</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3.3. Validade da cláusula de ressarcimento de despesa com registro do contrato, nos termos da tese firmada no julgamento do Tema 958/STJ, tendo havido comprovação da prestação do serviço.</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3.4. Ausência de interesse recursal no que tange à despesa com serviços prestados por terceiro.</w:t>
      </w:r>
    </w:p>
    <w:p w:rsidR="00832527" w:rsidRPr="000C22A4" w:rsidRDefault="00832527" w:rsidP="00832527">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lang w:val="pt-BR"/>
        </w:rPr>
        <w:t xml:space="preserve">RECURSO ESPECIAL PARCIALMENTE CONHECIDO E, NESSA EXTENSÃO, PARCIALMENTE PROVIDO. </w:t>
      </w:r>
      <w:r w:rsidRPr="000C22A4">
        <w:rPr>
          <w:rFonts w:cs="Calibri"/>
          <w:bCs/>
          <w:iCs/>
          <w:sz w:val="20"/>
          <w:szCs w:val="20"/>
        </w:rPr>
        <w:t>(G.N.)</w:t>
      </w:r>
    </w:p>
    <w:p w:rsidR="00832527" w:rsidRPr="000C22A4" w:rsidRDefault="00832527" w:rsidP="00832527">
      <w:pPr>
        <w:adjustRightInd w:val="0"/>
        <w:spacing w:line="300" w:lineRule="auto"/>
        <w:ind w:left="2268"/>
        <w:jc w:val="both"/>
        <w:rPr>
          <w:rFonts w:cs="Calibri"/>
        </w:rPr>
      </w:pPr>
    </w:p>
    <w:p w:rsidR="00832527" w:rsidRPr="000C22A4" w:rsidRDefault="00832527" w:rsidP="00832527">
      <w:pPr>
        <w:spacing w:line="240" w:lineRule="auto"/>
        <w:ind w:left="2268"/>
        <w:jc w:val="both"/>
        <w:rPr>
          <w:rFonts w:cs="Calibri"/>
          <w:b/>
          <w:sz w:val="20"/>
          <w:szCs w:val="20"/>
        </w:rPr>
      </w:pPr>
      <w:r w:rsidRPr="000C22A4">
        <w:rPr>
          <w:rFonts w:cs="Calibri"/>
          <w:b/>
          <w:sz w:val="20"/>
          <w:szCs w:val="20"/>
        </w:rPr>
        <w:t>RECURSO ESPECIAL N° 1.639.320 – SP (2016/0307286-9)</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RECORRENTE: WALDOMIRO BEZERRA</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DANILO CALHADO RODRIGUES E OUTRO(S) – SP246664</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RECORRIDO: BANCO ITAU BBA S.A</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ADVOGADOS: ROBERTO GUENDA E OUTRO(S) – SP101856</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KONSTANTINOS JEAN ANDREOPOULOS – SP131758</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ANSELMO MOREIRA GONZALEZ E OUTRO(S) – SP248433</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rsidR="00832527" w:rsidRPr="000C22A4" w:rsidRDefault="00832527" w:rsidP="00832527">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w:t>
      </w:r>
      <w:r w:rsidRPr="000C22A4">
        <w:rPr>
          <w:rFonts w:cs="Calibri"/>
          <w:iCs/>
          <w:sz w:val="20"/>
          <w:szCs w:val="20"/>
          <w:lang w:val="pt-BR"/>
        </w:rPr>
        <w:t xml:space="preserve"> RESTRIÇÃO À ESCOLHA DA SEGURADORA. ANALOGIA COM O ENTENDIMENTO DA SÚMULA 473/STJ. DESCARACTERIZAÇÃO DA MORA. NÃO OCORRÊNCIA. ENCARGOS ACESSÓRIOS.</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b/>
          <w:bCs/>
          <w:iCs/>
          <w:sz w:val="20"/>
          <w:szCs w:val="20"/>
          <w:lang w:val="pt-BR"/>
        </w:rPr>
        <w:t xml:space="preserve">1. 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rsidR="00832527" w:rsidRPr="000C22A4" w:rsidRDefault="00832527" w:rsidP="00832527">
      <w:pPr>
        <w:adjustRightInd w:val="0"/>
        <w:spacing w:line="240" w:lineRule="auto"/>
        <w:ind w:left="2268"/>
        <w:jc w:val="both"/>
        <w:rPr>
          <w:rFonts w:cs="Calibri"/>
          <w:b/>
          <w:bCs/>
          <w:iCs/>
          <w:sz w:val="20"/>
          <w:szCs w:val="20"/>
          <w:lang w:val="pt-BR"/>
        </w:rPr>
      </w:pPr>
      <w:r w:rsidRPr="000C22A4">
        <w:rPr>
          <w:rFonts w:cs="Calibri"/>
          <w:b/>
          <w:bCs/>
          <w:iCs/>
          <w:sz w:val="20"/>
          <w:szCs w:val="20"/>
          <w:lang w:val="pt-BR"/>
        </w:rPr>
        <w:t>2. TESES FIXADAS PARA OS FINS DO ART. 1.040 DO CPC/2015:</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 xml:space="preserve">2.1 - Abusividade da cláusula que prevê o ressarcimento pelo consumidor da despesa com o registro do </w:t>
      </w:r>
      <w:proofErr w:type="spellStart"/>
      <w:r w:rsidRPr="000C22A4">
        <w:rPr>
          <w:rFonts w:cs="Calibri"/>
          <w:iCs/>
          <w:sz w:val="20"/>
          <w:szCs w:val="20"/>
          <w:lang w:val="pt-BR"/>
        </w:rPr>
        <w:t>pré-gravame</w:t>
      </w:r>
      <w:proofErr w:type="spellEnd"/>
      <w:r w:rsidRPr="000C22A4">
        <w:rPr>
          <w:rFonts w:cs="Calibri"/>
          <w:iCs/>
          <w:sz w:val="20"/>
          <w:szCs w:val="20"/>
          <w:lang w:val="pt-BR"/>
        </w:rPr>
        <w:t>, em contratos celebrados a partir de 25/02/2011, data de entrada em vigor da Res.-CMN 3.954/2011, sendo válida a cláusula pactuada no período anterior a essa resolução, ressalvado o controle da onerosidade excessiva.</w:t>
      </w:r>
    </w:p>
    <w:p w:rsidR="00832527" w:rsidRPr="000C22A4" w:rsidRDefault="00832527" w:rsidP="00832527">
      <w:pPr>
        <w:adjustRightInd w:val="0"/>
        <w:spacing w:line="240" w:lineRule="auto"/>
        <w:ind w:left="2268"/>
        <w:jc w:val="both"/>
        <w:rPr>
          <w:rFonts w:cs="Calibri"/>
          <w:b/>
          <w:iCs/>
          <w:sz w:val="20"/>
          <w:szCs w:val="20"/>
          <w:lang w:val="pt-BR"/>
        </w:rPr>
      </w:pPr>
      <w:r w:rsidRPr="000C22A4">
        <w:rPr>
          <w:rFonts w:cs="Calibri"/>
          <w:b/>
          <w:iCs/>
          <w:sz w:val="20"/>
          <w:szCs w:val="20"/>
          <w:lang w:val="pt-BR"/>
        </w:rPr>
        <w:t>2.2 -</w:t>
      </w:r>
      <w:r w:rsidRPr="000C22A4">
        <w:rPr>
          <w:rFonts w:cs="Calibri"/>
          <w:iCs/>
          <w:sz w:val="20"/>
          <w:szCs w:val="20"/>
          <w:lang w:val="pt-BR"/>
        </w:rPr>
        <w:t xml:space="preserve"> </w:t>
      </w:r>
      <w:r w:rsidRPr="000C22A4">
        <w:rPr>
          <w:rFonts w:cs="Calibri"/>
          <w:b/>
          <w:iCs/>
          <w:sz w:val="20"/>
          <w:szCs w:val="20"/>
          <w:lang w:val="pt-BR"/>
        </w:rPr>
        <w:t>Nos contratos bancários em geral, o consumidor não pode ser compelido a contratar seguro com a instituição financeira ou com seguradora por ela indicada.</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2.3 - A abusividade de encargos acessórios do contrato não descaracteriza a mora.</w:t>
      </w:r>
    </w:p>
    <w:p w:rsidR="00832527" w:rsidRPr="000C22A4" w:rsidRDefault="00832527" w:rsidP="00832527">
      <w:pPr>
        <w:adjustRightInd w:val="0"/>
        <w:spacing w:line="240" w:lineRule="auto"/>
        <w:ind w:left="2268"/>
        <w:jc w:val="both"/>
        <w:rPr>
          <w:rFonts w:cs="Calibri"/>
          <w:b/>
          <w:bCs/>
          <w:iCs/>
          <w:sz w:val="20"/>
          <w:szCs w:val="20"/>
          <w:lang w:val="pt-BR"/>
        </w:rPr>
      </w:pPr>
      <w:r w:rsidRPr="000C22A4">
        <w:rPr>
          <w:rFonts w:cs="Calibri"/>
          <w:b/>
          <w:bCs/>
          <w:iCs/>
          <w:sz w:val="20"/>
          <w:szCs w:val="20"/>
          <w:lang w:val="pt-BR"/>
        </w:rPr>
        <w:t>3. CASO CONCRETO.</w:t>
      </w:r>
    </w:p>
    <w:p w:rsidR="00832527" w:rsidRPr="000C22A4" w:rsidRDefault="00832527" w:rsidP="00832527">
      <w:pPr>
        <w:adjustRightInd w:val="0"/>
        <w:spacing w:line="240" w:lineRule="auto"/>
        <w:ind w:left="2268"/>
        <w:jc w:val="both"/>
        <w:rPr>
          <w:rFonts w:cs="Calibri"/>
          <w:iCs/>
          <w:sz w:val="20"/>
          <w:szCs w:val="20"/>
          <w:lang w:val="pt-BR"/>
        </w:rPr>
      </w:pPr>
      <w:r w:rsidRPr="000C22A4">
        <w:rPr>
          <w:rFonts w:cs="Calibri"/>
          <w:iCs/>
          <w:sz w:val="20"/>
          <w:szCs w:val="20"/>
          <w:lang w:val="pt-BR"/>
        </w:rPr>
        <w:t>3.1. Aplicação da tese 2.3 ao caso concreto, mantendo-se a procedência da ação de reintegração de posse do bem arrendado.</w:t>
      </w:r>
    </w:p>
    <w:p w:rsidR="00832527" w:rsidRPr="000C22A4" w:rsidRDefault="00832527" w:rsidP="00832527">
      <w:pPr>
        <w:spacing w:line="240" w:lineRule="auto"/>
        <w:ind w:left="2268"/>
        <w:jc w:val="both"/>
        <w:rPr>
          <w:rFonts w:cs="Calibri"/>
          <w:b/>
          <w:bCs/>
          <w:iCs/>
          <w:sz w:val="20"/>
          <w:szCs w:val="20"/>
          <w:lang w:val="pt-BR"/>
        </w:rPr>
      </w:pPr>
      <w:r w:rsidRPr="000C22A4">
        <w:rPr>
          <w:rFonts w:cs="Calibri"/>
          <w:b/>
          <w:bCs/>
          <w:iCs/>
          <w:sz w:val="20"/>
          <w:szCs w:val="20"/>
          <w:lang w:val="pt-BR"/>
        </w:rPr>
        <w:t xml:space="preserve">4. RECURSO ESPECIAL DESPROVIDO. </w:t>
      </w:r>
      <w:r w:rsidRPr="000C22A4">
        <w:rPr>
          <w:rFonts w:cs="Calibri"/>
          <w:bCs/>
          <w:iCs/>
          <w:sz w:val="20"/>
          <w:szCs w:val="20"/>
          <w:lang w:val="pt-BR"/>
        </w:rPr>
        <w:t>(G.N.)</w:t>
      </w:r>
    </w:p>
    <w:p w:rsidR="00832527" w:rsidRPr="000C22A4" w:rsidRDefault="00832527" w:rsidP="00832527">
      <w:pPr>
        <w:spacing w:line="300" w:lineRule="auto"/>
        <w:ind w:firstLine="1985"/>
        <w:jc w:val="both"/>
        <w:rPr>
          <w:rFonts w:cs="Calibri"/>
          <w:lang w:val="pt-BR"/>
        </w:rPr>
      </w:pPr>
    </w:p>
    <w:p w:rsidR="00832527" w:rsidRPr="000C22A4" w:rsidRDefault="00832527" w:rsidP="00832527">
      <w:pPr>
        <w:spacing w:line="300" w:lineRule="auto"/>
        <w:ind w:firstLine="1418"/>
        <w:jc w:val="both"/>
        <w:rPr>
          <w:rFonts w:cs="Calibri"/>
          <w:lang w:val="pt-BR"/>
        </w:rPr>
      </w:pPr>
      <w:r w:rsidRPr="000C22A4">
        <w:rPr>
          <w:rFonts w:cs="Calibri"/>
          <w:lang w:val="pt-BR"/>
        </w:rPr>
        <w:t>Excelência, cumpre registrar que a requerida reitera a prática abusiva de venda casada, condicionando a liberação de operações financeiras (empréstimos) à aquisição de produtos por ela ofertados. Tal conduta lhe proporciona ganhos indevidos e afronta de forma sistemática a ordem consumerista, justificando condenação com caráter pedagógico e inibitório para prevenir a reiteração da prática.</w:t>
      </w:r>
    </w:p>
    <w:p w:rsidR="00832527" w:rsidRPr="000C22A4" w:rsidRDefault="00832527" w:rsidP="00832527">
      <w:pPr>
        <w:spacing w:line="300" w:lineRule="auto"/>
        <w:ind w:firstLine="1418"/>
        <w:jc w:val="both"/>
        <w:rPr>
          <w:rFonts w:cs="Calibri"/>
          <w:lang w:val="pt-BR"/>
        </w:rPr>
      </w:pPr>
    </w:p>
    <w:p w:rsidR="00832527" w:rsidRPr="000C22A4" w:rsidRDefault="00832527" w:rsidP="00832527">
      <w:pPr>
        <w:spacing w:line="300" w:lineRule="auto"/>
        <w:ind w:firstLine="1418"/>
        <w:jc w:val="both"/>
        <w:rPr>
          <w:rFonts w:cs="Calibri"/>
          <w:lang w:val="pt-BR"/>
        </w:rPr>
      </w:pPr>
      <w:r w:rsidRPr="000C22A4">
        <w:rPr>
          <w:rFonts w:cs="Calibri"/>
          <w:lang w:val="pt-BR"/>
        </w:rPr>
        <w:t xml:space="preserve">Requer-se o reconhecimento da prática abusiva de </w:t>
      </w:r>
      <w:r w:rsidRPr="000C22A4">
        <w:rPr>
          <w:rFonts w:cs="Calibri"/>
          <w:b/>
          <w:bCs/>
          <w:lang w:val="pt-BR"/>
        </w:rPr>
        <w:t>venda casada</w:t>
      </w:r>
      <w:r w:rsidRPr="000C22A4">
        <w:rPr>
          <w:rFonts w:cs="Calibri"/>
          <w:lang w:val="pt-BR"/>
        </w:rPr>
        <w:t xml:space="preserve"> perpetrada pelo requerido, em </w:t>
      </w:r>
      <w:r w:rsidRPr="000C22A4">
        <w:rPr>
          <w:rFonts w:cs="Calibri"/>
          <w:b/>
          <w:bCs/>
          <w:lang w:val="pt-BR"/>
        </w:rPr>
        <w:t>violação ao art. 39, I, do CDC</w:t>
      </w:r>
      <w:r w:rsidRPr="000C22A4">
        <w:rPr>
          <w:rFonts w:cs="Calibri"/>
          <w:lang w:val="pt-BR"/>
        </w:rPr>
        <w:t xml:space="preserve"> e em consonância com a orientação do </w:t>
      </w:r>
      <w:r w:rsidRPr="000C22A4">
        <w:rPr>
          <w:rFonts w:cs="Calibri"/>
          <w:b/>
          <w:bCs/>
          <w:lang w:val="pt-BR"/>
        </w:rPr>
        <w:t>STJ (Tema 972; REsp 1.639.320/SP e 1.639.259/SP)</w:t>
      </w:r>
      <w:r w:rsidRPr="000C22A4">
        <w:rPr>
          <w:rFonts w:cs="Calibri"/>
          <w:lang w:val="pt-BR"/>
        </w:rPr>
        <w:t>.</w:t>
      </w:r>
    </w:p>
    <w:p w:rsidR="000C22A4" w:rsidRPr="000C22A4" w:rsidRDefault="000C22A4" w:rsidP="000C22A4">
      <w:pPr>
        <w:spacing w:line="300" w:lineRule="auto"/>
        <w:ind w:firstLine="1418"/>
        <w:jc w:val="both"/>
        <w:rPr>
          <w:rFonts w:cs="Calibri"/>
          <w:sz w:val="18"/>
          <w:szCs w:val="18"/>
          <w:lang w:val="pt-BR"/>
        </w:rPr>
      </w:pPr>
    </w:p>
    <w:p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3.4 - DO DANO MATERIAL E DA REPETIÇÃO DO INDÉBITO – ART. 42, PARÁGRAFO ÚNICO DO CDC</w:t>
      </w:r>
    </w:p>
    <w:p w:rsidR="000C22A4" w:rsidRPr="000C22A4" w:rsidRDefault="000C22A4" w:rsidP="000C22A4">
      <w:pPr>
        <w:spacing w:line="300" w:lineRule="auto"/>
        <w:ind w:firstLine="1985"/>
        <w:jc w:val="both"/>
        <w:rPr>
          <w:rFonts w:cs="Calibri"/>
          <w:sz w:val="18"/>
          <w:szCs w:val="18"/>
          <w:lang w:val="pt-BR"/>
        </w:rPr>
      </w:pPr>
    </w:p>
    <w:p w:rsidR="00C8607B" w:rsidRPr="00C8607B" w:rsidRDefault="00C8607B" w:rsidP="00C8607B">
      <w:pPr>
        <w:spacing w:line="300" w:lineRule="auto"/>
        <w:ind w:firstLine="1418"/>
        <w:jc w:val="both"/>
        <w:rPr>
          <w:rFonts w:cs="Calibri"/>
          <w:lang w:val="pt-BR"/>
        </w:rPr>
      </w:pPr>
      <w:r w:rsidRPr="00C8607B">
        <w:rPr>
          <w:rFonts w:cs="Calibri"/>
          <w:lang w:val="pt-BR"/>
        </w:rPr>
        <w:t>Conforme delineado no item 3.3, o STJ (Tema 972, REsp 1.639.320/SP e REsp 1.639.259/SP) firmou orientação de que é abusivo compelir o consumidor a contratar seguro com a instituição financeira ou com seguradora por ela indicada.</w:t>
      </w:r>
    </w:p>
    <w:p w:rsidR="00C8607B" w:rsidRDefault="00C8607B" w:rsidP="00C8607B">
      <w:pPr>
        <w:spacing w:line="300" w:lineRule="auto"/>
        <w:ind w:firstLine="1418"/>
        <w:jc w:val="both"/>
        <w:rPr>
          <w:rFonts w:cs="Calibri"/>
          <w:lang w:val="pt-BR"/>
        </w:rPr>
      </w:pPr>
    </w:p>
    <w:p w:rsidR="004876AB" w:rsidRDefault="004876AB" w:rsidP="004876AB">
      <w:pPr>
        <w:spacing w:line="300" w:lineRule="auto"/>
        <w:ind w:firstLine="1418"/>
        <w:jc w:val="both"/>
        <w:rPr>
          <w:rFonts w:cs="Calibri"/>
          <w:lang w:val="pt-BR"/>
        </w:rPr>
      </w:pPr>
      <w:r>
        <w:rPr>
          <w:rFonts w:cs="Calibri"/>
          <w:lang w:val="pt-BR"/>
        </w:rPr>
        <w:t xml:space="preserve">Na situação dos autos, a parte requerente só alcançou a liberação do crédito porque teve a contratação atrelada à aquisição do produto denominado "{{nome_produto}}”, cobrado no próprio contrato no valor de R$ {{valor_seguro}} ({{valor_seguro_extenso}})</w:t>
      </w:r>
      <w:r w:rsidRPr="00832527">
        <w:rPr>
          <w:rFonts w:cs="Calibri"/>
          <w:b/>
          <w:bCs/>
          <w:lang w:val="pt-BR"/>
        </w:rPr>
        <w:t xml:space="preserve"/>
      </w:r>
      <w:r w:rsidR="0039384B">
        <w:rPr>
          <w:rFonts w:cs="Calibri"/>
          <w:b/>
          <w:bCs/>
          <w:lang w:val="pt-BR"/>
        </w:rPr>
        <w:t xml:space="preserve"/>
      </w:r>
      <w:r>
        <w:rPr>
          <w:rFonts w:cs="Calibri"/>
          <w:lang w:val="pt-BR"/>
        </w:rPr>
        <w:t>. Trata-se, à evidência, de venda casada, do que decorre a natureza indevida da cobrança.</w:t>
      </w:r>
    </w:p>
    <w:p w:rsidR="004876AB" w:rsidRDefault="004876AB" w:rsidP="00832527">
      <w:pPr>
        <w:spacing w:line="300" w:lineRule="auto"/>
        <w:ind w:firstLine="1418"/>
        <w:jc w:val="both"/>
        <w:rPr>
          <w:rFonts w:cs="Calibri"/>
          <w:lang w:val="pt-BR"/>
        </w:rPr>
      </w:pPr>
    </w:p>
    <w:p w:rsidR="00C8607B" w:rsidRPr="00C8607B" w:rsidRDefault="00C8607B" w:rsidP="00C8607B">
      <w:pPr>
        <w:spacing w:line="300" w:lineRule="auto"/>
        <w:ind w:firstLine="1418"/>
        <w:jc w:val="both"/>
        <w:rPr>
          <w:rFonts w:cs="Calibri"/>
          <w:lang w:val="pt-BR"/>
        </w:rPr>
      </w:pPr>
      <w:r w:rsidRPr="00C8607B">
        <w:rPr>
          <w:rFonts w:cs="Calibri"/>
          <w:lang w:val="pt-BR"/>
        </w:rPr>
        <w:t>À luz do art. 42, parágrafo único, do CDC, é devida a restituição em dobro dos valores indevidamente exigidos, salvo engano justificável, o que não se verifica na hipótese, porquanto houve conduta deliberada de impor contratação acessória não desejada, em violação à boa-fé e à transparência.</w:t>
      </w:r>
    </w:p>
    <w:p w:rsidR="000C22A4" w:rsidRPr="000C22A4" w:rsidRDefault="000C22A4" w:rsidP="000C22A4">
      <w:pPr>
        <w:spacing w:line="300" w:lineRule="auto"/>
        <w:jc w:val="both"/>
        <w:rPr>
          <w:rFonts w:cs="Calibri"/>
          <w:sz w:val="18"/>
          <w:szCs w:val="18"/>
          <w:lang w:val="pt-BR"/>
        </w:rPr>
      </w:pPr>
    </w:p>
    <w:p w:rsidR="000C22A4" w:rsidRPr="000C22A4" w:rsidRDefault="000C22A4" w:rsidP="00406052">
      <w:pPr>
        <w:spacing w:line="240" w:lineRule="auto"/>
        <w:ind w:left="2268"/>
        <w:jc w:val="both"/>
        <w:rPr>
          <w:rFonts w:cs="Calibri"/>
          <w:sz w:val="20"/>
          <w:szCs w:val="20"/>
          <w:lang w:val="pt-BR"/>
        </w:rPr>
      </w:pPr>
      <w:r w:rsidRPr="000C22A4">
        <w:rPr>
          <w:rFonts w:cs="Calibri"/>
          <w:sz w:val="20"/>
          <w:szCs w:val="20"/>
          <w:lang w:val="pt-BR"/>
        </w:rPr>
        <w:t>Art. 42. (...)</w:t>
      </w:r>
    </w:p>
    <w:p w:rsidR="000C22A4" w:rsidRPr="000C22A4" w:rsidRDefault="000C22A4" w:rsidP="00406052">
      <w:pPr>
        <w:spacing w:line="240" w:lineRule="auto"/>
        <w:ind w:left="2268"/>
        <w:jc w:val="both"/>
        <w:rPr>
          <w:rFonts w:cs="Calibri"/>
          <w:b/>
          <w:bCs/>
          <w:sz w:val="20"/>
          <w:szCs w:val="20"/>
          <w:lang w:val="pt-BR"/>
        </w:rPr>
      </w:pPr>
      <w:r w:rsidRPr="000C22A4">
        <w:rPr>
          <w:rFonts w:cs="Calibr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rsidR="000C22A4" w:rsidRPr="000C22A4" w:rsidRDefault="000C22A4" w:rsidP="000C22A4">
      <w:pPr>
        <w:spacing w:line="300" w:lineRule="auto"/>
        <w:jc w:val="both"/>
        <w:rPr>
          <w:rFonts w:cs="Calibri"/>
          <w:lang w:val="pt-BR"/>
        </w:rPr>
      </w:pPr>
    </w:p>
    <w:p w:rsidR="004876AB" w:rsidRPr="00C76DD8" w:rsidRDefault="004876AB" w:rsidP="004876AB">
      <w:pPr>
        <w:spacing w:line="300" w:lineRule="auto"/>
        <w:ind w:firstLine="1418"/>
        <w:jc w:val="both"/>
        <w:rPr>
          <w:lang w:val="pt-BR"/>
        </w:rPr>
      </w:pPr>
      <w:r>
        <w:rPr>
          <w:rFonts w:cs="Calibri"/>
          <w:lang w:val="pt-BR"/>
        </w:rPr>
        <w:t xml:space="preserve">No mesmo sentido, o Código Civil consagra, na primeira parte do art. 876, o dever de restituir imposto a quem recebe o que não lhe era devido, </w:t>
      </w:r>
      <w:r>
        <w:rPr>
          <w:rFonts w:cs="Calibri"/>
          <w:i/>
          <w:iCs/>
          <w:lang w:val="pt-BR"/>
        </w:rPr>
        <w:t xml:space="preserve">in </w:t>
      </w:r>
      <w:proofErr w:type="spellStart"/>
      <w:r>
        <w:rPr>
          <w:rFonts w:cs="Calibri"/>
          <w:i/>
          <w:iCs/>
          <w:lang w:val="pt-BR"/>
        </w:rPr>
        <w:t>verbis</w:t>
      </w:r>
      <w:proofErr w:type="spellEnd"/>
      <w:r>
        <w:rPr>
          <w:rFonts w:cs="Calibri"/>
          <w:lang w:val="pt-BR"/>
        </w:rPr>
        <w:t xml:space="preserve">: </w:t>
      </w:r>
    </w:p>
    <w:p w:rsidR="004876AB" w:rsidRDefault="004876AB" w:rsidP="004876AB">
      <w:pPr>
        <w:spacing w:line="300" w:lineRule="auto"/>
        <w:jc w:val="both"/>
        <w:rPr>
          <w:rFonts w:cs="Calibri"/>
          <w:lang w:val="pt-BR"/>
        </w:rPr>
      </w:pPr>
    </w:p>
    <w:p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rsidR="000C22A4" w:rsidRPr="000C22A4" w:rsidRDefault="000C22A4" w:rsidP="000C22A4">
      <w:pPr>
        <w:spacing w:line="300" w:lineRule="auto"/>
        <w:jc w:val="both"/>
        <w:rPr>
          <w:rFonts w:cs="Calibri"/>
          <w:lang w:val="pt-BR"/>
        </w:rPr>
      </w:pPr>
    </w:p>
    <w:p w:rsidR="000174C5" w:rsidRPr="000C22A4" w:rsidRDefault="000174C5" w:rsidP="000174C5">
      <w:pPr>
        <w:spacing w:line="300" w:lineRule="auto"/>
        <w:ind w:firstLine="1418"/>
        <w:jc w:val="both"/>
        <w:rPr>
          <w:rFonts w:cs="Calibri"/>
          <w:lang w:val="pt-BR"/>
        </w:rPr>
      </w:pPr>
      <w:r w:rsidRPr="000C22A4">
        <w:rPr>
          <w:rFonts w:cs="Calibri"/>
          <w:lang w:val="pt-BR"/>
        </w:rPr>
        <w:t>Nesse sentido,</w:t>
      </w:r>
      <w:r>
        <w:rPr>
          <w:rFonts w:cs="Calibri"/>
          <w:lang w:val="pt-BR"/>
        </w:rPr>
        <w:t xml:space="preserve"> colacionamos</w:t>
      </w:r>
      <w:r w:rsidRPr="000C22A4">
        <w:rPr>
          <w:rFonts w:cs="Calibri"/>
          <w:lang w:val="pt-BR"/>
        </w:rPr>
        <w:t xml:space="preserve"> </w:t>
      </w:r>
      <w:r>
        <w:rPr>
          <w:rFonts w:cs="Calibri"/>
          <w:lang w:val="pt-BR"/>
        </w:rPr>
        <w:t>precedentes dos Tribunais Pátrios quanto ao tema:</w:t>
      </w:r>
      <w:r w:rsidRPr="000C22A4">
        <w:rPr>
          <w:rFonts w:cs="Calibri"/>
          <w:lang w:val="pt-BR"/>
        </w:rPr>
        <w:t xml:space="preserve"> </w:t>
      </w:r>
    </w:p>
    <w:p w:rsidR="000174C5" w:rsidRPr="000C22A4" w:rsidRDefault="000174C5" w:rsidP="000174C5">
      <w:pPr>
        <w:spacing w:line="300" w:lineRule="auto"/>
        <w:ind w:firstLine="1418"/>
        <w:jc w:val="both"/>
        <w:rPr>
          <w:rFonts w:cs="Calibri"/>
          <w:lang w:val="pt-BR"/>
        </w:rPr>
      </w:pPr>
    </w:p>
    <w:p w:rsidR="000174C5" w:rsidRDefault="000174C5" w:rsidP="000174C5">
      <w:pPr>
        <w:spacing w:line="240" w:lineRule="auto"/>
        <w:ind w:left="2268"/>
        <w:jc w:val="both"/>
        <w:rPr>
          <w:rFonts w:cs="Calibri"/>
          <w:color w:val="000000"/>
          <w:sz w:val="20"/>
          <w:szCs w:val="20"/>
          <w:shd w:val="clear" w:color="auto" w:fill="FFFFFF"/>
          <w:lang w:val="pt-BR"/>
        </w:rPr>
      </w:pPr>
      <w:r w:rsidRPr="007A109B">
        <w:rPr>
          <w:rFonts w:cs="Calibri"/>
          <w:color w:val="000000"/>
          <w:sz w:val="20"/>
          <w:szCs w:val="20"/>
          <w:shd w:val="clear" w:color="auto" w:fill="FFFFFF"/>
          <w:lang w:val="pt-BR"/>
        </w:rPr>
        <w:t xml:space="preserve">DIREITO DO CONSUMIDOR E DIREITO BANCÁRIO – APELAÇÃO CÍVEL – </w:t>
      </w:r>
      <w:r w:rsidRPr="007A109B">
        <w:rPr>
          <w:rFonts w:cs="Calibri"/>
          <w:b/>
          <w:bCs/>
          <w:color w:val="000000"/>
          <w:sz w:val="20"/>
          <w:szCs w:val="20"/>
          <w:shd w:val="clear" w:color="auto" w:fill="FFFFFF"/>
          <w:lang w:val="pt-BR"/>
        </w:rPr>
        <w:t>EMPRÉSTIMO CONSIGNADO – SEGURO PRESTAMISTA ("BB CRÉDITO PROTEGIDO") – VENDA CASADA – AUSÊNCIA DE ANUÊNCIA EXPRESSA – REPETIÇÃO DO INDÉBITO EM DOBRO</w:t>
      </w:r>
      <w:r w:rsidRPr="007A109B">
        <w:rPr>
          <w:rFonts w:cs="Calibri"/>
          <w:color w:val="000000"/>
          <w:sz w:val="20"/>
          <w:szCs w:val="20"/>
          <w:shd w:val="clear" w:color="auto" w:fill="FFFFFF"/>
          <w:lang w:val="pt-BR"/>
        </w:rPr>
        <w:t xml:space="preserve"> – RECURSO DESPROVIDO I. CASO EM EXAME. Recurso de apelação cível interposto por instituição financeira contra r. sentença que julgou em parte procedente ação declaratória de inexigibilidade de cobrança c/c repetição de indébito, para condenar o banco réu à restituição, em dobro, dos valores cobrados a título de seguro prestamista vinculado a contrato de empréstimo consignado. II. QUESTÃO EM DISCUSSÃO. As controvérsias consistem em definir: (i) se houve comprovação válida da contratação facultativa do seguro prestamista; (</w:t>
      </w:r>
      <w:proofErr w:type="spellStart"/>
      <w:r w:rsidRPr="007A109B">
        <w:rPr>
          <w:rFonts w:cs="Calibri"/>
          <w:color w:val="000000"/>
          <w:sz w:val="20"/>
          <w:szCs w:val="20"/>
          <w:shd w:val="clear" w:color="auto" w:fill="FFFFFF"/>
          <w:lang w:val="pt-BR"/>
        </w:rPr>
        <w:t>ii</w:t>
      </w:r>
      <w:proofErr w:type="spellEnd"/>
      <w:r w:rsidRPr="007A109B">
        <w:rPr>
          <w:rFonts w:cs="Calibri"/>
          <w:color w:val="000000"/>
          <w:sz w:val="20"/>
          <w:szCs w:val="20"/>
          <w:shd w:val="clear" w:color="auto" w:fill="FFFFFF"/>
          <w:lang w:val="pt-BR"/>
        </w:rPr>
        <w:t>) se restou caracterizada prática de venda casada; e (</w:t>
      </w:r>
      <w:proofErr w:type="spellStart"/>
      <w:r w:rsidRPr="007A109B">
        <w:rPr>
          <w:rFonts w:cs="Calibri"/>
          <w:color w:val="000000"/>
          <w:sz w:val="20"/>
          <w:szCs w:val="20"/>
          <w:shd w:val="clear" w:color="auto" w:fill="FFFFFF"/>
          <w:lang w:val="pt-BR"/>
        </w:rPr>
        <w:t>iii</w:t>
      </w:r>
      <w:proofErr w:type="spellEnd"/>
      <w:r w:rsidRPr="007A109B">
        <w:rPr>
          <w:rFonts w:cs="Calibri"/>
          <w:color w:val="000000"/>
          <w:sz w:val="20"/>
          <w:szCs w:val="20"/>
          <w:shd w:val="clear" w:color="auto" w:fill="FFFFFF"/>
          <w:lang w:val="pt-BR"/>
        </w:rPr>
        <w:t xml:space="preserve">) se é cabível a restituição na forma dobrada de cada um dos valores descontados. </w:t>
      </w:r>
      <w:r w:rsidRPr="007A109B">
        <w:rPr>
          <w:rFonts w:cs="Calibri"/>
          <w:b/>
          <w:bCs/>
          <w:color w:val="000000"/>
          <w:sz w:val="20"/>
          <w:szCs w:val="20"/>
          <w:shd w:val="clear" w:color="auto" w:fill="FFFFFF"/>
          <w:lang w:val="pt-BR"/>
        </w:rPr>
        <w:t>III. RAZÕES DE DECIDIR. No caso, aplica-se o CDC às instituições financeiras, nos termos da Súmula 297 do STJ, incumbindo à parte fornecedora demonstrar a regularidade da contratação impugnada e a existência de manifestação de vontade livre e informada e da consumidora. O banco requerido não se desincumbiu do ônus probatório previsto no artigo 373, inc. II, do CPC, pois deixou de apresentar formulário autônomo de adesão, assinatura em campo apartado, apólice securitária ou qualquer elemento apto a demonstrar que a consumidora foi efetivamente informada acerca da facultatividade do seguro ou da possibilidade de contratação com seguradora diversa. A mera inserção do seguro no corpo do contrato de empréstimo não comprova anuência válida da parte contratante, sendo insuficiente, portanto, para afastar a configuração da venda casada. Uma vez caracterizada a abusividade da contratação acessória, impõe-se a restituição em dobro dos valores indevidamente cobrados, nos termos do artigo 42, parágrafo único, do CDC e da tese firmada pelo STJ no Tema 929, por se tratar de cobrança contrária à boa-fé objetiva. O posterior cancelamento do seguro não convalida a contratação irregular nem afasta o dever de restituição dos valores indevidamente exigidos durante a sua vigência.</w:t>
      </w:r>
      <w:r w:rsidRPr="007A109B">
        <w:rPr>
          <w:rFonts w:cs="Calibri"/>
          <w:color w:val="000000"/>
          <w:sz w:val="20"/>
          <w:szCs w:val="20"/>
          <w:shd w:val="clear" w:color="auto" w:fill="FFFFFF"/>
          <w:lang w:val="pt-BR"/>
        </w:rPr>
        <w:t xml:space="preserve"> IV. DISPOSITIVO E TESE. Recurso desprovido. Tese de julgamento: A ausência de demonstração inequívoca de manifestação de vontade autônoma e livre do consumidor quanto à contratação de seguro vinculado a empréstimo consignado configura prática de venda casada, ensejando a nulidade da cobrança e a restituição em dobro dos valores indevidamente pagos. Legislação citada: CDC, arts. 6º, </w:t>
      </w:r>
      <w:proofErr w:type="spellStart"/>
      <w:r w:rsidRPr="007A109B">
        <w:rPr>
          <w:rFonts w:cs="Calibri"/>
          <w:color w:val="000000"/>
          <w:sz w:val="20"/>
          <w:szCs w:val="20"/>
          <w:shd w:val="clear" w:color="auto" w:fill="FFFFFF"/>
          <w:lang w:val="pt-BR"/>
        </w:rPr>
        <w:t>incs</w:t>
      </w:r>
      <w:proofErr w:type="spellEnd"/>
      <w:r w:rsidRPr="007A109B">
        <w:rPr>
          <w:rFonts w:cs="Calibri"/>
          <w:color w:val="000000"/>
          <w:sz w:val="20"/>
          <w:szCs w:val="20"/>
          <w:shd w:val="clear" w:color="auto" w:fill="FFFFFF"/>
          <w:lang w:val="pt-BR"/>
        </w:rPr>
        <w:t>. III e VIII, 14, 39, inc. I, 42, parágrafo único, 46, 47 e 51, inc. IV; CPC, arts. 373, inc. II, e 927, § 3º; CC, art. 884. Jurisprudência citada: STJ, Súmula 297; STJ, Súmula 479; STJ, Tema 972 (REsp 1 .639.320/SP); STJ, Tema 929 (</w:t>
      </w:r>
      <w:proofErr w:type="spellStart"/>
      <w:r w:rsidRPr="007A109B">
        <w:rPr>
          <w:rFonts w:cs="Calibri"/>
          <w:color w:val="000000"/>
          <w:sz w:val="20"/>
          <w:szCs w:val="20"/>
          <w:shd w:val="clear" w:color="auto" w:fill="FFFFFF"/>
          <w:lang w:val="pt-BR"/>
        </w:rPr>
        <w:t>EAREsp</w:t>
      </w:r>
      <w:proofErr w:type="spellEnd"/>
      <w:r w:rsidRPr="007A109B">
        <w:rPr>
          <w:rFonts w:cs="Calibri"/>
          <w:color w:val="000000"/>
          <w:sz w:val="20"/>
          <w:szCs w:val="20"/>
          <w:shd w:val="clear" w:color="auto" w:fill="FFFFFF"/>
          <w:lang w:val="pt-BR"/>
        </w:rPr>
        <w:t xml:space="preserve"> 600.663/RS).</w:t>
      </w:r>
      <w:r>
        <w:rPr>
          <w:rFonts w:cs="Calibri"/>
          <w:color w:val="000000"/>
          <w:sz w:val="20"/>
          <w:szCs w:val="20"/>
          <w:shd w:val="clear" w:color="auto" w:fill="FFFFFF"/>
          <w:lang w:val="pt-BR"/>
        </w:rPr>
        <w:t xml:space="preserve"> </w:t>
      </w:r>
      <w:r w:rsidRPr="007A109B">
        <w:rPr>
          <w:rFonts w:cs="Calibri"/>
          <w:color w:val="000000"/>
          <w:sz w:val="20"/>
          <w:szCs w:val="20"/>
          <w:shd w:val="clear" w:color="auto" w:fill="FFFFFF"/>
          <w:lang w:val="pt-BR"/>
        </w:rPr>
        <w:t xml:space="preserve">(TJ-SP - Apelação Cível: 10005757120258260274 Itápolis, Relator.: João </w:t>
      </w:r>
      <w:proofErr w:type="spellStart"/>
      <w:r w:rsidRPr="007A109B">
        <w:rPr>
          <w:rFonts w:cs="Calibri"/>
          <w:color w:val="000000"/>
          <w:sz w:val="20"/>
          <w:szCs w:val="20"/>
          <w:shd w:val="clear" w:color="auto" w:fill="FFFFFF"/>
          <w:lang w:val="pt-BR"/>
        </w:rPr>
        <w:t>Battaus</w:t>
      </w:r>
      <w:proofErr w:type="spellEnd"/>
      <w:r w:rsidRPr="007A109B">
        <w:rPr>
          <w:rFonts w:cs="Calibri"/>
          <w:color w:val="000000"/>
          <w:sz w:val="20"/>
          <w:szCs w:val="20"/>
          <w:shd w:val="clear" w:color="auto" w:fill="FFFFFF"/>
          <w:lang w:val="pt-BR"/>
        </w:rPr>
        <w:t xml:space="preserve"> Neto, Data de Julgamento: 18/06/2026, Núcleo 4 .0-T. II (DP2), Data de Publicação: 18/06/2026)</w:t>
      </w:r>
      <w:r>
        <w:rPr>
          <w:rFonts w:cs="Calibri"/>
          <w:color w:val="000000"/>
          <w:sz w:val="20"/>
          <w:szCs w:val="20"/>
          <w:shd w:val="clear" w:color="auto" w:fill="FFFFFF"/>
          <w:lang w:val="pt-BR"/>
        </w:rPr>
        <w:t xml:space="preserve"> – grifo nosso -</w:t>
      </w:r>
    </w:p>
    <w:p w:rsidR="000174C5" w:rsidRDefault="000174C5" w:rsidP="000174C5">
      <w:pPr>
        <w:spacing w:line="240" w:lineRule="auto"/>
        <w:ind w:left="2268"/>
        <w:jc w:val="both"/>
        <w:rPr>
          <w:rFonts w:cs="Calibri"/>
          <w:color w:val="000000"/>
          <w:sz w:val="20"/>
          <w:szCs w:val="20"/>
          <w:shd w:val="clear" w:color="auto" w:fill="FFFFFF"/>
          <w:lang w:val="pt-BR"/>
        </w:rPr>
      </w:pPr>
    </w:p>
    <w:p w:rsidR="000174C5" w:rsidRDefault="000174C5" w:rsidP="000174C5">
      <w:pPr>
        <w:spacing w:line="240" w:lineRule="auto"/>
        <w:ind w:left="2268"/>
        <w:jc w:val="both"/>
        <w:rPr>
          <w:rFonts w:cs="Calibri"/>
          <w:color w:val="000000"/>
          <w:sz w:val="20"/>
          <w:szCs w:val="20"/>
          <w:shd w:val="clear" w:color="auto" w:fill="FFFFFF"/>
          <w:lang w:val="pt-BR"/>
        </w:rPr>
      </w:pPr>
      <w:r w:rsidRPr="002F100D">
        <w:rPr>
          <w:rFonts w:cs="Calibri"/>
          <w:color w:val="000000"/>
          <w:sz w:val="20"/>
          <w:szCs w:val="20"/>
          <w:shd w:val="clear" w:color="auto" w:fill="FFFFFF"/>
          <w:lang w:val="pt-BR"/>
        </w:rPr>
        <w:t xml:space="preserve">DIREITO DO CONSUMIDOR. APELAÇÃO CÍVEL. </w:t>
      </w:r>
      <w:r w:rsidRPr="002F100D">
        <w:rPr>
          <w:rFonts w:cs="Calibri"/>
          <w:b/>
          <w:bCs/>
          <w:color w:val="000000"/>
          <w:sz w:val="20"/>
          <w:szCs w:val="20"/>
          <w:shd w:val="clear" w:color="auto" w:fill="FFFFFF"/>
          <w:lang w:val="pt-BR"/>
        </w:rPr>
        <w:t>COBRANÇA DE 'SEGURO PROTEÇÃO FINANCEIRA' EM CONTRATO DE EMPRÉSTIMO CONSIGNADO. VENDA CASADA. CONDICIONAMENTO ABUSIVO DA LIBERAÇÃO DO EMPRÉSTIMO. REPETIÇÃO DO INDÉBITO EM DOBRO.</w:t>
      </w:r>
      <w:r w:rsidRPr="002F100D">
        <w:rPr>
          <w:rFonts w:cs="Calibri"/>
          <w:color w:val="000000"/>
          <w:sz w:val="20"/>
          <w:szCs w:val="20"/>
          <w:shd w:val="clear" w:color="auto" w:fill="FFFFFF"/>
          <w:lang w:val="pt-BR"/>
        </w:rPr>
        <w:t xml:space="preserve"> DANO MORAL CONFIGURADO. RECURSO CONHECIDO E PROVIDO. I. CASO EM EXAME 1. Apelação cível interposta por consumidora em face de instituição financeira, visando à nulidade de cláusula contratual que condicionava a liberação de empréstimo consignado à contratação de seguro de proteção financeira. A parte recorrente requer a restituição em dobro dos valores pagos indevidamente e a condenação por danos morais, sob alegação de prática de "venda casada" pela instituição financeira recorrida. II. QUESTÃO EM DISCUSSÃO 2. Há duas questões em discussão: (i) determinar se a prática de condicionar a liberação de empréstimo consignado à contratação de seguro caracteriza "venda casada" abusiva, nos termos do Código de Defesa do Consumidor; (</w:t>
      </w:r>
      <w:proofErr w:type="spellStart"/>
      <w:r w:rsidRPr="002F100D">
        <w:rPr>
          <w:rFonts w:cs="Calibri"/>
          <w:color w:val="000000"/>
          <w:sz w:val="20"/>
          <w:szCs w:val="20"/>
          <w:shd w:val="clear" w:color="auto" w:fill="FFFFFF"/>
          <w:lang w:val="pt-BR"/>
        </w:rPr>
        <w:t>ii</w:t>
      </w:r>
      <w:proofErr w:type="spellEnd"/>
      <w:r w:rsidRPr="002F100D">
        <w:rPr>
          <w:rFonts w:cs="Calibri"/>
          <w:color w:val="000000"/>
          <w:sz w:val="20"/>
          <w:szCs w:val="20"/>
          <w:shd w:val="clear" w:color="auto" w:fill="FFFFFF"/>
          <w:lang w:val="pt-BR"/>
        </w:rPr>
        <w:t xml:space="preserve">) definir se há cabimento na condenação da instituição financeira à repetição do indébito em dobro e à indenização por danos morais. III. RAZÕES DE DECIDIR </w:t>
      </w:r>
      <w:r w:rsidRPr="002F100D">
        <w:rPr>
          <w:rFonts w:cs="Calibri"/>
          <w:b/>
          <w:bCs/>
          <w:color w:val="000000"/>
          <w:sz w:val="20"/>
          <w:szCs w:val="20"/>
          <w:shd w:val="clear" w:color="auto" w:fill="FFFFFF"/>
          <w:lang w:val="pt-BR"/>
        </w:rPr>
        <w:t>3. A análise contratual revela que a contratação do Seguro Proteção Financeira foi imposta como condição para a liberação do empréstimo, configurando "venda casada", entendimento pacificado pela jurisprudência do STJ em sede de recurso repetitivo (Tema 972 – REsp 1.639.320/SP), que proíbe o condicionamento de empréstimos à contratação de seguros. 4. Em razão da venda casada, há nulidade da cláusula contratual, com a consequente repetição do indébito em dobro, nos termos do art. 42, parágrafo único, do CDC.</w:t>
      </w:r>
      <w:r w:rsidRPr="002F100D">
        <w:rPr>
          <w:rFonts w:cs="Calibri"/>
          <w:color w:val="000000"/>
          <w:sz w:val="20"/>
          <w:szCs w:val="20"/>
          <w:shd w:val="clear" w:color="auto" w:fill="FFFFFF"/>
          <w:lang w:val="pt-BR"/>
        </w:rPr>
        <w:t xml:space="preserve"> 5. Além disso, o dano moral está configurado pela violação da boa-fé objetiva e pelo constrangimento imposto ao consumidor, que foi compelido a arcar com custos adicionais para obter o empréstimo, violando sua dignidade e causando-lhe abalo moral, o que justifica a indenização de R$ 5.000,00, fixada com base nos princípios da razoabilidade e proporcionalidade. IV. DISPOSITIVO E TESE 6. Recurso conhecido e provido. Tese de julgamento: 1. A imposição de contratação de seguro como condição para a liberação de empréstimo consignado caracteriza prática abusiva de "venda casada", nos termos da jurisprudência do Colendo Superior Tribunal de Justiça,</w:t>
      </w:r>
      <w:r>
        <w:rPr>
          <w:rFonts w:cs="Calibri"/>
          <w:color w:val="000000"/>
          <w:sz w:val="20"/>
          <w:szCs w:val="20"/>
          <w:shd w:val="clear" w:color="auto" w:fill="FFFFFF"/>
          <w:lang w:val="pt-BR"/>
        </w:rPr>
        <w:t xml:space="preserve"> </w:t>
      </w:r>
      <w:r w:rsidRPr="002F100D">
        <w:rPr>
          <w:rFonts w:cs="Calibri"/>
          <w:color w:val="000000"/>
          <w:sz w:val="20"/>
          <w:szCs w:val="20"/>
          <w:shd w:val="clear" w:color="auto" w:fill="FFFFFF"/>
          <w:lang w:val="pt-BR"/>
        </w:rPr>
        <w:t xml:space="preserve">Tema 972 – REsp. 1.639.320/SP. 2. O consumidor tem direito à repetição em dobro dos valores pagos indevidamente em razão de contratação abusiva, conforme art. 42, parágrafo único, do CDC. 3. A prática de venda casada sem observância da boa-fé objetiva enseja indenização por danos morais. Dispositivos relevantes citados: CC, arts. 186, 187 e 927. Jurisprudência relevante citada: STJ, REsp 1.639.320/SP (Tema 972), Rel. Min. Paulo de Tarso </w:t>
      </w:r>
      <w:proofErr w:type="spellStart"/>
      <w:r w:rsidRPr="002F100D">
        <w:rPr>
          <w:rFonts w:cs="Calibri"/>
          <w:color w:val="000000"/>
          <w:sz w:val="20"/>
          <w:szCs w:val="20"/>
          <w:shd w:val="clear" w:color="auto" w:fill="FFFFFF"/>
          <w:lang w:val="pt-BR"/>
        </w:rPr>
        <w:t>Sanseverino</w:t>
      </w:r>
      <w:proofErr w:type="spellEnd"/>
      <w:r w:rsidRPr="002F100D">
        <w:rPr>
          <w:rFonts w:cs="Calibri"/>
          <w:color w:val="000000"/>
          <w:sz w:val="20"/>
          <w:szCs w:val="20"/>
          <w:shd w:val="clear" w:color="auto" w:fill="FFFFFF"/>
          <w:lang w:val="pt-BR"/>
        </w:rPr>
        <w:t>, j. 28.02.2018.</w:t>
      </w:r>
      <w:r>
        <w:rPr>
          <w:rFonts w:cs="Calibri"/>
          <w:color w:val="000000"/>
          <w:sz w:val="20"/>
          <w:szCs w:val="20"/>
          <w:shd w:val="clear" w:color="auto" w:fill="FFFFFF"/>
          <w:lang w:val="pt-BR"/>
        </w:rPr>
        <w:t xml:space="preserve"> </w:t>
      </w:r>
      <w:r w:rsidRPr="002F100D">
        <w:rPr>
          <w:rFonts w:cs="Calibri"/>
          <w:color w:val="000000"/>
          <w:sz w:val="20"/>
          <w:szCs w:val="20"/>
          <w:shd w:val="clear" w:color="auto" w:fill="FFFFFF"/>
          <w:lang w:val="pt-BR"/>
        </w:rPr>
        <w:t>(TJ-AM - Apelação Cível: 07461472320218040001 Manaus, Relator: Maria das Graças Pessoa Figueiredo, Data de Julgamento: 19/12/2024, Primeira Câmara Cível, Data de Publicação: 19/12/2024)</w:t>
      </w:r>
      <w:r>
        <w:rPr>
          <w:rFonts w:cs="Calibri"/>
          <w:color w:val="000000"/>
          <w:sz w:val="20"/>
          <w:szCs w:val="20"/>
          <w:shd w:val="clear" w:color="auto" w:fill="FFFFFF"/>
          <w:lang w:val="pt-BR"/>
        </w:rPr>
        <w:t xml:space="preserve"> – grifo nosso -</w:t>
      </w:r>
    </w:p>
    <w:p w:rsidR="000C22A4" w:rsidRPr="000C22A4" w:rsidRDefault="000C22A4" w:rsidP="000C22A4">
      <w:pPr>
        <w:spacing w:line="300" w:lineRule="auto"/>
        <w:jc w:val="both"/>
        <w:rPr>
          <w:rFonts w:cs="Calibri"/>
          <w:lang w:val="pt-BR"/>
        </w:rPr>
      </w:pPr>
    </w:p>
    <w:p w:rsidR="004876AB" w:rsidRDefault="004876AB" w:rsidP="00832527">
      <w:pPr>
        <w:spacing w:line="300" w:lineRule="auto"/>
        <w:ind w:firstLine="1418"/>
        <w:jc w:val="both"/>
        <w:rPr>
          <w:rFonts w:cs="Calibri"/>
          <w:b/>
          <w:bCs/>
          <w:lang w:val="pt-BR"/>
        </w:rPr>
      </w:pPr>
      <w:r>
        <w:rPr>
          <w:rFonts w:cs="Calibri"/>
          <w:lang w:val="pt-BR"/>
        </w:rPr>
        <w:t xml:space="preserve">Diante disso, requer-se a condenação do Requerido à restituição em dobro das quantias indevidamente cobradas, nos termos do art. 42, parágrafo único, do Código de Defesa do Consumidor, relativas ao débito lançado a título de “{{nome_produto}}”, no valor de R$ {{valor_seguro}} ({{valor_seguro_extenso}}).</w:t>
      </w:r>
      <w:r w:rsidRPr="003B0ACD">
        <w:rPr>
          <w:rFonts w:cs="Calibri"/>
          <w:b/>
          <w:bCs/>
          <w:lang w:val="pt-BR"/>
        </w:rPr>
        <w:t xml:space="preserve"/>
      </w:r>
      <w:r w:rsidR="004E231D" w:rsidRPr="003B0ACD">
        <w:rPr>
          <w:rFonts w:cs="Calibri"/>
          <w:b/>
          <w:bCs/>
          <w:lang w:val="pt-BR"/>
        </w:rPr>
        <w:t xml:space="preserve"/>
      </w:r>
      <w:r w:rsidRPr="003B0ACD">
        <w:rPr>
          <w:rFonts w:cs="Calibri"/>
          <w:b/>
          <w:bCs/>
          <w:lang w:val="pt-BR"/>
        </w:rPr>
        <w:t xml:space="preserve"/>
      </w:r>
      <w:r w:rsidRPr="00B93B1E">
        <w:rPr>
          <w:rFonts w:cs="Calibri"/>
          <w:b/>
          <w:bCs/>
          <w:lang w:val="pt-BR"/>
        </w:rPr>
        <w:t xml:space="preserve"/>
      </w:r>
      <w:r>
        <w:rPr>
          <w:rFonts w:cs="Calibri"/>
          <w:b/>
          <w:bCs/>
          <w:lang w:val="pt-BR"/>
        </w:rPr>
        <w:t xml:space="preserve"/>
      </w:r>
      <w:r w:rsidR="0039384B">
        <w:rPr>
          <w:rFonts w:cs="Calibri"/>
          <w:b/>
          <w:bCs/>
          <w:lang w:val="pt-BR"/>
        </w:rPr>
        <w:t xml:space="preserve"/>
      </w:r>
      <w:r>
        <w:rPr>
          <w:rFonts w:cs="Calibri"/>
          <w:b/>
          <w:bCs/>
          <w:lang w:val="pt-BR"/>
        </w:rPr>
        <w:t xml:space="preserve"/>
      </w:r>
    </w:p>
    <w:p w:rsidR="004876AB" w:rsidRDefault="004876AB" w:rsidP="00832527">
      <w:pPr>
        <w:spacing w:line="300" w:lineRule="auto"/>
        <w:ind w:firstLine="1418"/>
        <w:jc w:val="both"/>
        <w:rPr>
          <w:rFonts w:cs="Calibri"/>
          <w:lang w:val="pt-BR"/>
        </w:rPr>
      </w:pPr>
    </w:p>
    <w:p w:rsidR="00832527" w:rsidRPr="00E533E1" w:rsidRDefault="00832527" w:rsidP="00832527">
      <w:pPr>
        <w:spacing w:line="300" w:lineRule="auto"/>
        <w:ind w:firstLine="1418"/>
        <w:jc w:val="both"/>
        <w:rPr>
          <w:rFonts w:cs="Calibri"/>
          <w:lang w:val="pt-BR"/>
        </w:rPr>
      </w:pPr>
      <w:r w:rsidRPr="00E533E1">
        <w:rPr>
          <w:rFonts w:cs="Calibri"/>
          <w:lang w:val="pt-BR"/>
        </w:rPr>
        <w:t xml:space="preserve">Desse modo, aplicada a repetição do indébito em dobro, o valor devido corresponde a R$ {{valor_seguro_dobro}} ({{valor_seguro_dobro_extenso}}), acrescido de correção monetária desde a data de cada desembolso</w:t>
      </w:r>
      <w:r w:rsidRPr="00E533E1">
        <w:rPr>
          <w:rFonts w:cs="Calibri"/>
          <w:b/>
          <w:bCs/>
          <w:lang w:val="pt-BR"/>
        </w:rPr>
        <w:t xml:space="preserve"/>
      </w:r>
      <w:r w:rsidR="0039384B">
        <w:rPr>
          <w:rFonts w:cs="Calibri"/>
          <w:b/>
          <w:bCs/>
          <w:lang w:val="pt-BR"/>
        </w:rPr>
        <w:t xml:space="preserve"/>
      </w:r>
      <w:r>
        <w:rPr>
          <w:rFonts w:cs="Calibri"/>
          <w:b/>
          <w:bCs/>
          <w:lang w:val="pt-BR"/>
        </w:rPr>
        <w:t xml:space="preserve"/>
      </w:r>
      <w:r w:rsidR="0039384B">
        <w:rPr>
          <w:rFonts w:cs="Calibri"/>
          <w:b/>
          <w:bCs/>
          <w:lang w:val="pt-BR"/>
        </w:rPr>
        <w:t xml:space="preserve"/>
      </w:r>
      <w:r w:rsidR="00A21B4C">
        <w:rPr>
          <w:rFonts w:cs="Calibri"/>
          <w:b/>
          <w:bCs/>
          <w:lang w:val="pt-BR"/>
        </w:rPr>
        <w:t xml:space="preserve"/>
      </w:r>
      <w:r w:rsidR="0039384B">
        <w:rPr>
          <w:rFonts w:cs="Calibri"/>
          <w:b/>
          <w:bCs/>
          <w:lang w:val="pt-BR"/>
        </w:rPr>
        <w:t xml:space="preserve"/>
      </w:r>
      <w:r w:rsidR="00164850">
        <w:rPr>
          <w:rFonts w:cs="Calibri"/>
          <w:b/>
          <w:bCs/>
          <w:lang w:val="pt-BR"/>
        </w:rPr>
        <w:t xml:space="preserve"/>
      </w:r>
      <w:r>
        <w:rPr>
          <w:rFonts w:cs="Calibri"/>
          <w:b/>
          <w:bCs/>
          <w:lang w:val="pt-BR"/>
        </w:rPr>
        <w:t xml:space="preserve"/>
      </w:r>
      <w:r w:rsidRPr="00E533E1">
        <w:rPr>
          <w:rFonts w:cs="Calibri"/>
          <w:b/>
          <w:bCs/>
          <w:lang w:val="pt-BR"/>
        </w:rPr>
        <w:t xml:space="preserve"/>
      </w:r>
      <w:r w:rsidRPr="00E533E1">
        <w:rPr>
          <w:rFonts w:cs="Calibri"/>
          <w:lang w:val="pt-BR"/>
        </w:rPr>
        <w:t xml:space="preserve">, conforme orientação da Súmula 43 do STJ, bem como juros moratórios a partir do evento danoso, nos termos da Súmula 54 do STJ.</w:t>
      </w:r>
    </w:p>
    <w:p w:rsidR="000C22A4" w:rsidRPr="000C22A4" w:rsidRDefault="000C22A4" w:rsidP="00E533E1">
      <w:pPr>
        <w:spacing w:line="300" w:lineRule="auto"/>
        <w:ind w:firstLine="1418"/>
        <w:jc w:val="both"/>
        <w:rPr>
          <w:rFonts w:cs="Calibri"/>
          <w:lang w:val="pt-BR"/>
        </w:rPr>
      </w:pPr>
    </w:p>
    <w:p w:rsidR="00A375D6" w:rsidRPr="000C22A4" w:rsidRDefault="00A375D6" w:rsidP="00A375D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3.5 – </w:t>
      </w:r>
      <w:r w:rsidRPr="009D4E74">
        <w:rPr>
          <w:rFonts w:cs="Calibri"/>
          <w:b/>
          <w:lang w:val="pt-BR"/>
        </w:rPr>
        <w:t>DO DANO MORAL E DO DEVER DE INDENIZAR DECORRENTE DA PRÁTICA ABUSIVA DE VENDA CASADA</w:t>
      </w:r>
    </w:p>
    <w:p w:rsidR="00A375D6" w:rsidRPr="000C22A4" w:rsidRDefault="00A375D6" w:rsidP="00A375D6">
      <w:pPr>
        <w:spacing w:line="300" w:lineRule="auto"/>
        <w:ind w:firstLine="1985"/>
        <w:jc w:val="both"/>
        <w:rPr>
          <w:rFonts w:cs="Calibri"/>
          <w:b/>
          <w:u w:val="single"/>
          <w:lang w:val="pt-BR"/>
        </w:rPr>
      </w:pPr>
    </w:p>
    <w:p w:rsidR="00C8607B" w:rsidRPr="00C8607B" w:rsidRDefault="00C8607B" w:rsidP="00C8607B">
      <w:pPr>
        <w:adjustRightInd w:val="0"/>
        <w:spacing w:line="300" w:lineRule="auto"/>
        <w:ind w:firstLine="1418"/>
        <w:jc w:val="both"/>
        <w:rPr>
          <w:rFonts w:cs="Calibri"/>
          <w:lang w:val="pt-BR"/>
        </w:rPr>
      </w:pPr>
      <w:r w:rsidRPr="00C8607B">
        <w:rPr>
          <w:rFonts w:cs="Calibri"/>
          <w:lang w:val="pt-BR"/>
        </w:rPr>
        <w:t>A parte requerente, reconhecidamente vulnerável na relação de consumo (art. 4º, I, do CDC), é titular dos direitos básicos elencados no art. 6º do CDC, dentre eles a proteção contra práticas comerciais abusivas e métodos coercitivos (inc. IV), o direito à informação clara e adequada (inc. III) e a efetiva reparação de danos patrimoniais e morais (inc. VI).</w:t>
      </w:r>
    </w:p>
    <w:p w:rsidR="00C8607B" w:rsidRDefault="00C8607B" w:rsidP="00C8607B">
      <w:pPr>
        <w:adjustRightInd w:val="0"/>
        <w:spacing w:line="300" w:lineRule="auto"/>
        <w:ind w:firstLine="1418"/>
        <w:jc w:val="both"/>
        <w:rPr>
          <w:rFonts w:cs="Calibri"/>
          <w:lang w:val="pt-BR"/>
        </w:rPr>
      </w:pPr>
    </w:p>
    <w:p w:rsidR="00572080" w:rsidRPr="00C8607B" w:rsidRDefault="00572080" w:rsidP="00572080">
      <w:pPr>
        <w:adjustRightInd w:val="0"/>
        <w:spacing w:line="300" w:lineRule="auto"/>
        <w:ind w:firstLine="1418"/>
        <w:jc w:val="both"/>
        <w:rPr>
          <w:rFonts w:cs="Calibri"/>
          <w:lang w:val="pt-BR"/>
        </w:rPr>
      </w:pPr>
      <w:r w:rsidRPr="00C8607B">
        <w:rPr>
          <w:rFonts w:cs="Calibri"/>
          <w:lang w:val="pt-BR"/>
        </w:rPr>
        <w:t xml:space="preserve">No caso concreto, restou comprovado que </w:t>
      </w:r>
      <w:r w:rsidRPr="00C8607B">
        <w:rPr>
          <w:rFonts w:cs="Calibri"/>
          <w:b/>
          <w:bCs/>
          <w:lang w:val="pt-BR"/>
        </w:rPr>
        <w:t xml:space="preserve">o requerido condicionou a liberação do empréstimo à aquisição do produto denominado </w:t>
      </w:r>
      <w:r w:rsidR="007F163E" w:rsidRPr="00B2704F">
        <w:rPr>
          <w:rFonts w:cs="Calibri"/>
          <w:b/>
          <w:bCs/>
          <w:lang w:val="pt-BR"/>
        </w:rPr>
        <w:t>“</w:t>
      </w:r>
      <w:r w:rsidR="004E231D">
        <w:rPr>
          <w:rFonts w:cs="Calibri"/>
          <w:b/>
          <w:bCs/>
          <w:lang w:val="pt-BR"/>
        </w:rPr>
        <w:t>Seguro</w:t>
      </w:r>
      <w:r w:rsidR="007F163E" w:rsidRPr="00B2704F">
        <w:rPr>
          <w:rFonts w:cs="Calibri"/>
          <w:b/>
          <w:bCs/>
          <w:lang w:val="pt-BR"/>
        </w:rPr>
        <w:t>”</w:t>
      </w:r>
      <w:r w:rsidRPr="00C8607B">
        <w:rPr>
          <w:rFonts w:cs="Calibri"/>
          <w:b/>
          <w:bCs/>
          <w:lang w:val="pt-BR"/>
        </w:rPr>
        <w:t>, caracterizando venda casada vedada pelo art. 39, I, do CDC.</w:t>
      </w:r>
      <w:r w:rsidRPr="00C8607B">
        <w:rPr>
          <w:rFonts w:cs="Calibri"/>
          <w:lang w:val="pt-BR"/>
        </w:rPr>
        <w:t xml:space="preserve"> Tal conduta ofende a boa-fé objetiva e restringe a liberdade de escolha do consumidor, onerando indevidamente as contratações.</w:t>
      </w:r>
    </w:p>
    <w:p w:rsidR="00C8607B" w:rsidRDefault="00C8607B" w:rsidP="00C8607B">
      <w:pPr>
        <w:adjustRightInd w:val="0"/>
        <w:spacing w:line="300" w:lineRule="auto"/>
        <w:ind w:firstLine="1418"/>
        <w:jc w:val="both"/>
        <w:rPr>
          <w:rFonts w:cs="Calibri"/>
          <w:lang w:val="pt-BR"/>
        </w:rPr>
      </w:pPr>
    </w:p>
    <w:p w:rsidR="00C8607B" w:rsidRPr="00C8607B" w:rsidRDefault="00C8607B" w:rsidP="00C8607B">
      <w:pPr>
        <w:adjustRightInd w:val="0"/>
        <w:spacing w:line="300" w:lineRule="auto"/>
        <w:ind w:firstLine="1418"/>
        <w:jc w:val="both"/>
        <w:rPr>
          <w:rFonts w:cs="Calibri"/>
          <w:lang w:val="pt-BR"/>
        </w:rPr>
      </w:pPr>
      <w:r w:rsidRPr="00C8607B">
        <w:rPr>
          <w:rFonts w:cs="Calibri"/>
          <w:lang w:val="pt-BR"/>
        </w:rPr>
        <w:t>A prática abusiva extrapola o mero aborrecimento, pois submete a parte requerente a conduta ilícita expressamente proibida, com afetação à dignidade, frustração legítima de expectativas, angústia e desequilíbrio contratual. Presentes a ilicitude (art. 39, I, do CDC), o nexo causal e o dano imaterial, exsurge o dever de indenizar, à luz do art. 14 do CDC (responsabilidade objetiva do fornecedor), dos arts. 186 e 927 do CC e do art. 5º, V e X, da CF/88.</w:t>
      </w:r>
    </w:p>
    <w:p w:rsidR="00A375D6" w:rsidRPr="000C22A4" w:rsidRDefault="00A375D6" w:rsidP="00C8607B">
      <w:pPr>
        <w:adjustRightInd w:val="0"/>
        <w:spacing w:line="300" w:lineRule="auto"/>
        <w:ind w:firstLine="1418"/>
        <w:jc w:val="both"/>
        <w:rPr>
          <w:rFonts w:cs="Calibri"/>
          <w:bCs/>
          <w:iCs/>
          <w:color w:val="000000"/>
          <w:sz w:val="20"/>
          <w:szCs w:val="20"/>
          <w:lang w:val="pt-BR"/>
        </w:rPr>
      </w:pP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rsidR="00A375D6" w:rsidRPr="000C22A4" w:rsidRDefault="00A375D6" w:rsidP="00A375D6">
      <w:pPr>
        <w:adjustRightInd w:val="0"/>
        <w:spacing w:line="300" w:lineRule="auto"/>
        <w:ind w:left="2268"/>
        <w:jc w:val="both"/>
        <w:rPr>
          <w:rFonts w:cs="Calibri"/>
          <w:color w:val="000000"/>
          <w:sz w:val="20"/>
          <w:szCs w:val="20"/>
          <w:lang w:val="pt-BR"/>
        </w:rPr>
      </w:pP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rsidR="00A375D6" w:rsidRPr="000C22A4" w:rsidRDefault="00A375D6" w:rsidP="00A375D6">
      <w:pPr>
        <w:adjustRightInd w:val="0"/>
        <w:spacing w:line="240" w:lineRule="auto"/>
        <w:ind w:left="2268"/>
        <w:jc w:val="both"/>
        <w:rPr>
          <w:rFonts w:cs="Calibri"/>
          <w:color w:val="000000"/>
          <w:sz w:val="20"/>
          <w:szCs w:val="20"/>
          <w:lang w:val="pt-BR"/>
        </w:rPr>
      </w:pPr>
    </w:p>
    <w:p w:rsidR="00A375D6" w:rsidRPr="000C4D61" w:rsidRDefault="00A375D6" w:rsidP="000C4D61">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rsidR="00A375D6" w:rsidRPr="000C22A4" w:rsidRDefault="00A375D6" w:rsidP="00A375D6">
      <w:pPr>
        <w:tabs>
          <w:tab w:val="left" w:pos="2694"/>
        </w:tabs>
        <w:spacing w:line="300" w:lineRule="auto"/>
        <w:ind w:firstLine="1701"/>
        <w:jc w:val="both"/>
        <w:rPr>
          <w:rFonts w:cs="Calibri"/>
          <w:color w:val="000000"/>
          <w:lang w:val="pt-BR"/>
        </w:rPr>
      </w:pPr>
    </w:p>
    <w:p w:rsidR="000174C5" w:rsidRPr="000C22A4" w:rsidRDefault="000174C5" w:rsidP="000174C5">
      <w:pPr>
        <w:spacing w:line="300" w:lineRule="auto"/>
        <w:ind w:firstLine="1418"/>
        <w:jc w:val="both"/>
        <w:rPr>
          <w:rFonts w:cs="Calibri"/>
          <w:lang w:val="pt-BR"/>
        </w:rPr>
      </w:pPr>
      <w:r w:rsidRPr="000C22A4">
        <w:rPr>
          <w:rFonts w:cs="Calibri"/>
          <w:lang w:val="pt-BR"/>
        </w:rPr>
        <w:t xml:space="preserve">Nesse sentido, colacionamos </w:t>
      </w:r>
      <w:r>
        <w:rPr>
          <w:rFonts w:cs="Calibri"/>
          <w:lang w:val="pt-BR"/>
        </w:rPr>
        <w:t>precedentes dos Tribunais Pátrios em relação ao tema discutido</w:t>
      </w:r>
      <w:r w:rsidRPr="000C22A4">
        <w:rPr>
          <w:rFonts w:cs="Calibri"/>
          <w:lang w:val="pt-BR"/>
        </w:rPr>
        <w:t xml:space="preserve">: </w:t>
      </w:r>
    </w:p>
    <w:p w:rsidR="000174C5" w:rsidRDefault="000174C5" w:rsidP="000174C5">
      <w:pPr>
        <w:tabs>
          <w:tab w:val="left" w:pos="2694"/>
        </w:tabs>
        <w:spacing w:line="300" w:lineRule="auto"/>
        <w:ind w:firstLine="1418"/>
        <w:jc w:val="both"/>
        <w:rPr>
          <w:rFonts w:cs="Calibri"/>
          <w:color w:val="000000"/>
          <w:lang w:val="pt-BR"/>
        </w:rPr>
      </w:pPr>
    </w:p>
    <w:p w:rsidR="000174C5" w:rsidRDefault="000174C5" w:rsidP="000174C5">
      <w:pPr>
        <w:spacing w:line="240" w:lineRule="auto"/>
        <w:ind w:left="2268"/>
        <w:jc w:val="both"/>
        <w:rPr>
          <w:rFonts w:cs="Calibri"/>
          <w:color w:val="000000"/>
          <w:sz w:val="20"/>
          <w:szCs w:val="20"/>
          <w:shd w:val="clear" w:color="auto" w:fill="FFFFFF"/>
          <w:lang w:val="pt-BR"/>
        </w:rPr>
      </w:pPr>
      <w:r w:rsidRPr="00A93DC9">
        <w:rPr>
          <w:rFonts w:cs="Calibri"/>
          <w:color w:val="000000"/>
          <w:sz w:val="20"/>
          <w:szCs w:val="20"/>
          <w:shd w:val="clear" w:color="auto" w:fill="FFFFFF"/>
          <w:lang w:val="pt-BR"/>
        </w:rPr>
        <w:t xml:space="preserve">Ementa: Direito do Consumidor. Recurso de Apelação. Seguro prestamista. Cobrança abusiva. Dano moral. Quantum indenizatório. Honorários advocatícios. Recurso desprovido. I. Caso em exame Recurso de apelação interposto por Alceu Antonio Leocadio contra sentença que julgou parcialmente procedentes os pedidos formulados em ação declaratória cumulada com repetição do indébito e indenização por danos morais ajuizada em face de Banco </w:t>
      </w:r>
      <w:proofErr w:type="spellStart"/>
      <w:r w:rsidRPr="00A93DC9">
        <w:rPr>
          <w:rFonts w:cs="Calibri"/>
          <w:color w:val="000000"/>
          <w:sz w:val="20"/>
          <w:szCs w:val="20"/>
          <w:shd w:val="clear" w:color="auto" w:fill="FFFFFF"/>
          <w:lang w:val="pt-BR"/>
        </w:rPr>
        <w:t>Bmg</w:t>
      </w:r>
      <w:proofErr w:type="spellEnd"/>
      <w:r w:rsidRPr="00A93DC9">
        <w:rPr>
          <w:rFonts w:cs="Calibri"/>
          <w:color w:val="000000"/>
          <w:sz w:val="20"/>
          <w:szCs w:val="20"/>
          <w:shd w:val="clear" w:color="auto" w:fill="FFFFFF"/>
          <w:lang w:val="pt-BR"/>
        </w:rPr>
        <w:t xml:space="preserve"> S/A, para declarar a abusividade e ilegalidade da cobrança de seguro prestamista, condenar a instituição financeira à restituição em dobro dos valores descontados e ao pagamento de indenização por danos morais no valor de R$ 5.000,00. O apelante pretende a reforma da sentença para ampliar a condenação por danos morais e majorar os honorários advocatícios para 20% sobre o valor da causa . II. Questão em discussã</w:t>
      </w:r>
      <w:r>
        <w:rPr>
          <w:rFonts w:cs="Calibri"/>
          <w:color w:val="000000"/>
          <w:sz w:val="20"/>
          <w:szCs w:val="20"/>
          <w:shd w:val="clear" w:color="auto" w:fill="FFFFFF"/>
          <w:lang w:val="pt-BR"/>
        </w:rPr>
        <w:t>o:</w:t>
      </w:r>
      <w:r w:rsidRPr="00A93DC9">
        <w:rPr>
          <w:rFonts w:cs="Calibri"/>
          <w:color w:val="000000"/>
          <w:sz w:val="20"/>
          <w:szCs w:val="20"/>
          <w:shd w:val="clear" w:color="auto" w:fill="FFFFFF"/>
          <w:lang w:val="pt-BR"/>
        </w:rPr>
        <w:t xml:space="preserve"> Há três questões em discussão: (i) definir se a indenização por danos morais fixada em R$ 5.000,00 deve ser majorada em razão da cobrança indevida de seguro prestamista sobre benefício previdenciário; (</w:t>
      </w:r>
      <w:proofErr w:type="spellStart"/>
      <w:r w:rsidRPr="00A93DC9">
        <w:rPr>
          <w:rFonts w:cs="Calibri"/>
          <w:color w:val="000000"/>
          <w:sz w:val="20"/>
          <w:szCs w:val="20"/>
          <w:shd w:val="clear" w:color="auto" w:fill="FFFFFF"/>
          <w:lang w:val="pt-BR"/>
        </w:rPr>
        <w:t>ii</w:t>
      </w:r>
      <w:proofErr w:type="spellEnd"/>
      <w:r w:rsidRPr="00A93DC9">
        <w:rPr>
          <w:rFonts w:cs="Calibri"/>
          <w:color w:val="000000"/>
          <w:sz w:val="20"/>
          <w:szCs w:val="20"/>
          <w:shd w:val="clear" w:color="auto" w:fill="FFFFFF"/>
          <w:lang w:val="pt-BR"/>
        </w:rPr>
        <w:t>) estabelecer se as alegações relativas à ausência de apólice, ausência de documento assinado e renovação automática do seguro repercutem na extensão da condenação; (</w:t>
      </w:r>
      <w:proofErr w:type="spellStart"/>
      <w:r w:rsidRPr="00A93DC9">
        <w:rPr>
          <w:rFonts w:cs="Calibri"/>
          <w:color w:val="000000"/>
          <w:sz w:val="20"/>
          <w:szCs w:val="20"/>
          <w:shd w:val="clear" w:color="auto" w:fill="FFFFFF"/>
          <w:lang w:val="pt-BR"/>
        </w:rPr>
        <w:t>iii</w:t>
      </w:r>
      <w:proofErr w:type="spellEnd"/>
      <w:r w:rsidRPr="00A93DC9">
        <w:rPr>
          <w:rFonts w:cs="Calibri"/>
          <w:color w:val="000000"/>
          <w:sz w:val="20"/>
          <w:szCs w:val="20"/>
          <w:shd w:val="clear" w:color="auto" w:fill="FFFFFF"/>
          <w:lang w:val="pt-BR"/>
        </w:rPr>
        <w:t xml:space="preserve">) determinar se os honorários advocatícios devem ser majorados para 20% sobre o valor da causa. </w:t>
      </w:r>
      <w:r w:rsidRPr="007A109B">
        <w:rPr>
          <w:rFonts w:cs="Calibri"/>
          <w:b/>
          <w:bCs/>
          <w:color w:val="000000"/>
          <w:sz w:val="20"/>
          <w:szCs w:val="20"/>
          <w:shd w:val="clear" w:color="auto" w:fill="FFFFFF"/>
          <w:lang w:val="pt-BR"/>
        </w:rPr>
        <w:t xml:space="preserve">III. Razões de decidir A cobrança indevida de seguro prestamista configura falha na prestação do serviço e caracteriza dano moral indenizável, seja pela aplicação da teoria do dano in </w:t>
      </w:r>
      <w:proofErr w:type="spellStart"/>
      <w:r w:rsidRPr="007A109B">
        <w:rPr>
          <w:rFonts w:cs="Calibri"/>
          <w:b/>
          <w:bCs/>
          <w:color w:val="000000"/>
          <w:sz w:val="20"/>
          <w:szCs w:val="20"/>
          <w:shd w:val="clear" w:color="auto" w:fill="FFFFFF"/>
          <w:lang w:val="pt-BR"/>
        </w:rPr>
        <w:t>re</w:t>
      </w:r>
      <w:proofErr w:type="spellEnd"/>
      <w:r w:rsidRPr="007A109B">
        <w:rPr>
          <w:rFonts w:cs="Calibri"/>
          <w:b/>
          <w:bCs/>
          <w:color w:val="000000"/>
          <w:sz w:val="20"/>
          <w:szCs w:val="20"/>
          <w:shd w:val="clear" w:color="auto" w:fill="FFFFFF"/>
          <w:lang w:val="pt-BR"/>
        </w:rPr>
        <w:t xml:space="preserve"> </w:t>
      </w:r>
      <w:proofErr w:type="spellStart"/>
      <w:r w:rsidRPr="007A109B">
        <w:rPr>
          <w:rFonts w:cs="Calibri"/>
          <w:b/>
          <w:bCs/>
          <w:color w:val="000000"/>
          <w:sz w:val="20"/>
          <w:szCs w:val="20"/>
          <w:shd w:val="clear" w:color="auto" w:fill="FFFFFF"/>
          <w:lang w:val="pt-BR"/>
        </w:rPr>
        <w:t>ipsa</w:t>
      </w:r>
      <w:proofErr w:type="spellEnd"/>
      <w:r w:rsidRPr="007A109B">
        <w:rPr>
          <w:rFonts w:cs="Calibri"/>
          <w:b/>
          <w:bCs/>
          <w:color w:val="000000"/>
          <w:sz w:val="20"/>
          <w:szCs w:val="20"/>
          <w:shd w:val="clear" w:color="auto" w:fill="FFFFFF"/>
          <w:lang w:val="pt-BR"/>
        </w:rPr>
        <w:t>, seja pela perda do tempo útil do consumidor compelido a buscar solução judicial para o problema. A indenização por dano moral deve observar a extensão do dano, a gravidade da conduta, a capacidade econômica do ofensor e as funções compensatória, punitiva e pedagógica da reparação, sem gerar enriquecimento sem causa. O valor de R$ 5.000,00 fixado na sentença mostra-se adequado às circunstâncias do caso concreto e atende aos critérios de razoabilidade e proporcionalidade. As alegações relativas à ausência de apólice, ausência de documento assinado e renovação automática do seguro reforçam a ilegalidade da cobrança já reconhecida, mas não justificam, por si sós, a majoração da indenização por danos morais.</w:t>
      </w:r>
      <w:r w:rsidRPr="00A93DC9">
        <w:rPr>
          <w:rFonts w:cs="Calibri"/>
          <w:color w:val="000000"/>
          <w:sz w:val="20"/>
          <w:szCs w:val="20"/>
          <w:shd w:val="clear" w:color="auto" w:fill="FFFFFF"/>
          <w:lang w:val="pt-BR"/>
        </w:rPr>
        <w:t xml:space="preserve"> Os honorários advocatícios fixados em 10% sobre o valor da condenação remuneram adequadamente o trabalho desenvolvido, considerada a simplicidade e a recorrência da matéria, bem como o tempo de tramitação da ação. IV. Dispositivo e tese Recurso desprovido. Tese de julgamento: A cobrança indevida de seguro prestamista por instituição financeira configura falha na prestação do serviço e gera dever de indenizar quando causa dano moral ao consumidor. A indenização por dano moral deve ser fixada conforme os critérios da razoabilidade e proporcionalidade, observadas a extensão do dano, a gravidade da conduta e a vedação ao enriquecimento sem causa. A verba honorária fixada em percentual compatível com a complexidade da causa e o trabalho desenvolvido não comporta majoração. Dispositivos relevantes citados: CC, art. 944; CPC, art. 1.026, §§ 2º e 3º; Resolução CNJ nº 591/2024; Resolução TJSP nº 984/2025. Jurisprudência relevante: STJ, REsp nº 318 .379/MG, Rel. Min. Nancy Andrighi, j. 04 .02.2002.</w:t>
      </w:r>
      <w:r>
        <w:rPr>
          <w:rFonts w:cs="Calibri"/>
          <w:color w:val="000000"/>
          <w:sz w:val="20"/>
          <w:szCs w:val="20"/>
          <w:shd w:val="clear" w:color="auto" w:fill="FFFFFF"/>
          <w:lang w:val="pt-BR"/>
        </w:rPr>
        <w:t xml:space="preserve"> </w:t>
      </w:r>
      <w:r w:rsidRPr="00A93DC9">
        <w:rPr>
          <w:rFonts w:cs="Calibri"/>
          <w:color w:val="000000"/>
          <w:sz w:val="20"/>
          <w:szCs w:val="20"/>
          <w:shd w:val="clear" w:color="auto" w:fill="FFFFFF"/>
          <w:lang w:val="pt-BR"/>
        </w:rPr>
        <w:t>(TJ-SP - Apelação Cível: 10204364620258260564 São Bernardo do Campo, Relator.: Rodrigues Monteiro, Data de Julgamento: 20/06/2026, 20ª Câmara de Direito Privado, Data de Publicação: 20/06/2026)</w:t>
      </w:r>
      <w:r>
        <w:rPr>
          <w:rFonts w:cs="Calibri"/>
          <w:color w:val="000000"/>
          <w:sz w:val="20"/>
          <w:szCs w:val="20"/>
          <w:shd w:val="clear" w:color="auto" w:fill="FFFFFF"/>
          <w:lang w:val="pt-BR"/>
        </w:rPr>
        <w:t xml:space="preserve"> – grifo nosso - </w:t>
      </w:r>
    </w:p>
    <w:p w:rsidR="000174C5" w:rsidRDefault="000174C5" w:rsidP="000174C5">
      <w:pPr>
        <w:tabs>
          <w:tab w:val="left" w:pos="2694"/>
        </w:tabs>
        <w:spacing w:line="240" w:lineRule="auto"/>
        <w:ind w:left="2268"/>
        <w:jc w:val="both"/>
        <w:rPr>
          <w:rFonts w:cs="Calibri"/>
          <w:color w:val="000000"/>
          <w:sz w:val="20"/>
          <w:szCs w:val="20"/>
          <w:lang w:val="pt-BR"/>
        </w:rPr>
      </w:pPr>
    </w:p>
    <w:p w:rsidR="000174C5" w:rsidRPr="00ED3B89" w:rsidRDefault="000174C5" w:rsidP="000174C5">
      <w:pPr>
        <w:tabs>
          <w:tab w:val="left" w:pos="2694"/>
        </w:tabs>
        <w:spacing w:line="240" w:lineRule="auto"/>
        <w:ind w:left="2268"/>
        <w:jc w:val="both"/>
        <w:rPr>
          <w:rFonts w:cs="Calibri"/>
          <w:color w:val="000000"/>
          <w:sz w:val="20"/>
          <w:szCs w:val="20"/>
          <w:lang w:val="pt-BR"/>
        </w:rPr>
      </w:pPr>
      <w:r w:rsidRPr="00ED3B89">
        <w:rPr>
          <w:rFonts w:cs="Calibri"/>
          <w:color w:val="000000"/>
          <w:sz w:val="20"/>
          <w:szCs w:val="20"/>
          <w:lang w:val="pt-BR"/>
        </w:rPr>
        <w:t xml:space="preserve">APELAÇÃO CÍVEL. </w:t>
      </w:r>
      <w:r w:rsidRPr="00ED3B89">
        <w:rPr>
          <w:rFonts w:cs="Calibri"/>
          <w:b/>
          <w:bCs/>
          <w:color w:val="000000"/>
          <w:sz w:val="20"/>
          <w:szCs w:val="20"/>
          <w:lang w:val="pt-BR"/>
        </w:rPr>
        <w:t>DIREITO DO CONSUMIDOR. BRADESCO VIDA E PREVIDÊNCIA. VENDA CASADA. TEMA 972 STJ. DANOS MORAIS CONFIGURADOS. JURISPRUDÊNCIA DESSA CORTE DE JUSTIÇA.</w:t>
      </w:r>
      <w:r w:rsidRPr="00ED3B89">
        <w:rPr>
          <w:rFonts w:cs="Calibri"/>
          <w:color w:val="000000"/>
          <w:sz w:val="20"/>
          <w:szCs w:val="20"/>
          <w:lang w:val="pt-BR"/>
        </w:rPr>
        <w:t xml:space="preserve"> SENTENÇA REFORMADA EM PARTE. RECURSO CONHECIDO E PROVIDO. I. No caso concreto, o douto magistrado entende que o seguro fora imposto à parte consumidora; II. Conforme Tese 2 fixada no Tema 972 do Superior Tribunal de Justiça, "</w:t>
      </w:r>
      <w:r w:rsidRPr="00ED3B89">
        <w:rPr>
          <w:rFonts w:cs="Calibri"/>
          <w:b/>
          <w:bCs/>
          <w:color w:val="000000"/>
          <w:sz w:val="20"/>
          <w:szCs w:val="20"/>
          <w:lang w:val="pt-BR"/>
        </w:rPr>
        <w:t xml:space="preserve">2 - Nos contratos bancários em geral, o consumidor não pode ser compelido a contratar seguro com a instituição financeira ou com seguradora por ela indicada"; III. No caso em comento, verifico que a instituição financeira não conseguiu comprovar que a parte consumidora pactuou livremente o seguro "Bradesco Vida e Previdência" nos termos do art. 373, II do CPC, vez que sequer colacionou o instrumento contratual; IV. Danos morais devidos em consonância com os precedentes desta E. Câmara; </w:t>
      </w:r>
      <w:r w:rsidRPr="00ED3B89">
        <w:rPr>
          <w:rFonts w:cs="Calibri"/>
          <w:color w:val="000000"/>
          <w:sz w:val="20"/>
          <w:szCs w:val="20"/>
          <w:lang w:val="pt-BR"/>
        </w:rPr>
        <w:t>V. Recurso do réu conhecido e desprovido. VI. Recurso da autora conhecido e provido.</w:t>
      </w:r>
      <w:r>
        <w:rPr>
          <w:rFonts w:cs="Calibri"/>
          <w:color w:val="000000"/>
          <w:sz w:val="20"/>
          <w:szCs w:val="20"/>
          <w:lang w:val="pt-BR"/>
        </w:rPr>
        <w:t xml:space="preserve"> </w:t>
      </w:r>
      <w:r w:rsidRPr="00ED3B89">
        <w:rPr>
          <w:rFonts w:cs="Calibri"/>
          <w:color w:val="000000"/>
          <w:sz w:val="20"/>
          <w:szCs w:val="20"/>
          <w:lang w:val="pt-BR"/>
        </w:rPr>
        <w:t xml:space="preserve">(TJ-AM - Apelação Cível: 06004130620228042200 </w:t>
      </w:r>
      <w:proofErr w:type="spellStart"/>
      <w:r w:rsidRPr="00ED3B89">
        <w:rPr>
          <w:rFonts w:cs="Calibri"/>
          <w:color w:val="000000"/>
          <w:sz w:val="20"/>
          <w:szCs w:val="20"/>
          <w:lang w:val="pt-BR"/>
        </w:rPr>
        <w:t>Anama</w:t>
      </w:r>
      <w:proofErr w:type="spellEnd"/>
      <w:r w:rsidRPr="00ED3B89">
        <w:rPr>
          <w:rFonts w:cs="Calibri"/>
          <w:color w:val="000000"/>
          <w:sz w:val="20"/>
          <w:szCs w:val="20"/>
          <w:lang w:val="pt-BR"/>
        </w:rPr>
        <w:t>, Relator.: Yedo Simões de Oliveira, Data de Julgamento: 18/09/2024, Segunda Câmara Cível, Data de Publicação: 18/09/2024)</w:t>
      </w:r>
      <w:r>
        <w:rPr>
          <w:rFonts w:cs="Calibri"/>
          <w:color w:val="000000"/>
          <w:sz w:val="20"/>
          <w:szCs w:val="20"/>
          <w:lang w:val="pt-BR"/>
        </w:rPr>
        <w:t xml:space="preserve"> – grifo nosso -</w:t>
      </w:r>
    </w:p>
    <w:p w:rsidR="000174C5" w:rsidRPr="00ED3B89" w:rsidRDefault="000174C5" w:rsidP="000174C5">
      <w:pPr>
        <w:tabs>
          <w:tab w:val="left" w:pos="2694"/>
        </w:tabs>
        <w:spacing w:line="300" w:lineRule="auto"/>
        <w:ind w:left="2268"/>
        <w:jc w:val="both"/>
        <w:rPr>
          <w:rFonts w:cs="Calibri"/>
          <w:color w:val="000000"/>
          <w:sz w:val="20"/>
          <w:szCs w:val="20"/>
          <w:lang w:val="pt-BR"/>
        </w:rPr>
      </w:pPr>
    </w:p>
    <w:p w:rsidR="000174C5" w:rsidRPr="00E92114" w:rsidRDefault="000174C5" w:rsidP="000174C5">
      <w:pPr>
        <w:spacing w:line="240" w:lineRule="auto"/>
        <w:ind w:left="2268"/>
        <w:jc w:val="both"/>
        <w:rPr>
          <w:rFonts w:eastAsia="Times New Roman" w:cs="Calibri"/>
          <w:sz w:val="20"/>
          <w:szCs w:val="20"/>
          <w:lang w:val="pt-BR"/>
        </w:rPr>
      </w:pPr>
      <w:r w:rsidRPr="00C35787">
        <w:rPr>
          <w:rFonts w:eastAsia="Times New Roman" w:cs="Calibri"/>
          <w:sz w:val="20"/>
          <w:szCs w:val="20"/>
          <w:lang w:val="pt-BR"/>
        </w:rPr>
        <w:t xml:space="preserve">EMENTA. DIREITO CIVIL E DO CONSUMIDOR. APELAÇÃO CÍVEL. </w:t>
      </w:r>
      <w:r w:rsidRPr="00C35787">
        <w:rPr>
          <w:rFonts w:eastAsia="Times New Roman" w:cs="Calibri"/>
          <w:b/>
          <w:bCs/>
          <w:sz w:val="20"/>
          <w:szCs w:val="20"/>
          <w:lang w:val="pt-BR"/>
        </w:rPr>
        <w:t>AÇÃO REVISIONAL DE CONTRATO DE EMPRÉSTIMO CONSIGNADO CUMULADA COM INDENIZAÇÃO POR DANOS MORAIS. SEGURO PRESTAMISTA. VENDA CASADA CONFIGURADA. COBRANÇA INDEVIDA.</w:t>
      </w:r>
      <w:r w:rsidRPr="00C35787">
        <w:rPr>
          <w:rFonts w:eastAsia="Times New Roman" w:cs="Calibri"/>
          <w:sz w:val="20"/>
          <w:szCs w:val="20"/>
          <w:lang w:val="pt-BR"/>
        </w:rPr>
        <w:t xml:space="preserve"> REPETIÇÃO EM DOBRO. DANO MORAL IN RE IPSA. PARCIAL PROVIMENTO. I. CASO EM EXAME 1. Apelação Cível interposta contra sentença proferida nos autos da ação revisional de contrato de empréstimo consignado cumulada com pedido de indenização por danos morais. O juízo de origem julgou improcedentes os pedidos iniciais. O autor apelou pleiteando a reforma da sentença, sustentando a existência de cláusulas abusivas, cobrança indevida de seguro prestamista, capitalização composta de juros não pactuada e dano moral decorrente da má prestação dos serviços bancários. II. QUESTÃO EM DISCUSSÃO 2. Há quatro questões em discussão: (i) definir se houve a imposição da contratação de seguro prestamista como condição para liberação do empréstimo consignado, configurando prática de venda casada; (</w:t>
      </w:r>
      <w:proofErr w:type="spellStart"/>
      <w:r w:rsidRPr="00C35787">
        <w:rPr>
          <w:rFonts w:eastAsia="Times New Roman" w:cs="Calibri"/>
          <w:sz w:val="20"/>
          <w:szCs w:val="20"/>
          <w:lang w:val="pt-BR"/>
        </w:rPr>
        <w:t>ii</w:t>
      </w:r>
      <w:proofErr w:type="spellEnd"/>
      <w:r w:rsidRPr="00C35787">
        <w:rPr>
          <w:rFonts w:eastAsia="Times New Roman" w:cs="Calibri"/>
          <w:sz w:val="20"/>
          <w:szCs w:val="20"/>
          <w:lang w:val="pt-BR"/>
        </w:rPr>
        <w:t>) estabelecer se é devida a repetição em dobro dos valores pagos a título de seguro prestamista; (</w:t>
      </w:r>
      <w:proofErr w:type="spellStart"/>
      <w:r w:rsidRPr="00C35787">
        <w:rPr>
          <w:rFonts w:eastAsia="Times New Roman" w:cs="Calibri"/>
          <w:sz w:val="20"/>
          <w:szCs w:val="20"/>
          <w:lang w:val="pt-BR"/>
        </w:rPr>
        <w:t>iii</w:t>
      </w:r>
      <w:proofErr w:type="spellEnd"/>
      <w:r w:rsidRPr="00C35787">
        <w:rPr>
          <w:rFonts w:eastAsia="Times New Roman" w:cs="Calibri"/>
          <w:sz w:val="20"/>
          <w:szCs w:val="20"/>
          <w:lang w:val="pt-BR"/>
        </w:rPr>
        <w:t>) determinar se a cobrança indevida desse seguro, sem possibilidade de escolha do consumidor, configura dano moral indenizável; (</w:t>
      </w:r>
      <w:proofErr w:type="spellStart"/>
      <w:r w:rsidRPr="00C35787">
        <w:rPr>
          <w:rFonts w:eastAsia="Times New Roman" w:cs="Calibri"/>
          <w:sz w:val="20"/>
          <w:szCs w:val="20"/>
          <w:lang w:val="pt-BR"/>
        </w:rPr>
        <w:t>iv</w:t>
      </w:r>
      <w:proofErr w:type="spellEnd"/>
      <w:r w:rsidRPr="00C35787">
        <w:rPr>
          <w:rFonts w:eastAsia="Times New Roman" w:cs="Calibri"/>
          <w:sz w:val="20"/>
          <w:szCs w:val="20"/>
          <w:lang w:val="pt-BR"/>
        </w:rPr>
        <w:t xml:space="preserve">) definir se houve abusividade nas cláusulas que tratam da cobrança de </w:t>
      </w:r>
      <w:proofErr w:type="spellStart"/>
      <w:r w:rsidRPr="00C35787">
        <w:rPr>
          <w:rFonts w:eastAsia="Times New Roman" w:cs="Calibri"/>
          <w:sz w:val="20"/>
          <w:szCs w:val="20"/>
          <w:lang w:val="pt-BR"/>
        </w:rPr>
        <w:t>iof</w:t>
      </w:r>
      <w:proofErr w:type="spellEnd"/>
      <w:r w:rsidRPr="00C35787">
        <w:rPr>
          <w:rFonts w:eastAsia="Times New Roman" w:cs="Calibri"/>
          <w:sz w:val="20"/>
          <w:szCs w:val="20"/>
          <w:lang w:val="pt-BR"/>
        </w:rPr>
        <w:t xml:space="preserve"> e juros. </w:t>
      </w:r>
      <w:r w:rsidRPr="00C35787">
        <w:rPr>
          <w:rFonts w:eastAsia="Times New Roman" w:cs="Calibri"/>
          <w:b/>
          <w:bCs/>
          <w:sz w:val="20"/>
          <w:szCs w:val="20"/>
          <w:lang w:val="pt-BR"/>
        </w:rPr>
        <w:t>III. RAZÕES DE DECIDIR 3. A contratação do seguro prestamista foi vinculada à concessão do crédito, configurando prática de venda casada, em afronta aos art. 39, I, e 51, IV, do CDC, conforme entendimento consolidado pelo STJ no Tema Repetitivo nº 972. 4. A natureza adesiva do contrato bancário, com cláusulas preestabelecidas e sem margem de negociação real, impõe a interpretação mais favorável ao consumidor (CDC, art. 47; CC, art. 423), reforçando a ilicitude da conduta do banco ao condicionar o crédito à contratação do seguro com seguradora de seu interesse. 5. A ausência de prova eficaz de que o consumidor poderia ter contratado o seguro com outra seguradora revela falha na prestação do serviço bancário, violando os deveres de informação e lealdade (CDC, art. 6º, III, e 14), e impondo a restituição em dobro dos valores cobrados, nos termos do art. 42, parágrafo único, do CDC, conforme precedentes do STJ (</w:t>
      </w:r>
      <w:proofErr w:type="spellStart"/>
      <w:r w:rsidRPr="00C35787">
        <w:rPr>
          <w:rFonts w:eastAsia="Times New Roman" w:cs="Calibri"/>
          <w:b/>
          <w:bCs/>
          <w:sz w:val="20"/>
          <w:szCs w:val="20"/>
          <w:lang w:val="pt-BR"/>
        </w:rPr>
        <w:t>EREsp</w:t>
      </w:r>
      <w:proofErr w:type="spellEnd"/>
      <w:r w:rsidRPr="00C35787">
        <w:rPr>
          <w:rFonts w:eastAsia="Times New Roman" w:cs="Calibri"/>
          <w:b/>
          <w:bCs/>
          <w:sz w:val="20"/>
          <w:szCs w:val="20"/>
          <w:lang w:val="pt-BR"/>
        </w:rPr>
        <w:t xml:space="preserve"> 1.413.542/RS e </w:t>
      </w:r>
      <w:proofErr w:type="spellStart"/>
      <w:r w:rsidRPr="00C35787">
        <w:rPr>
          <w:rFonts w:eastAsia="Times New Roman" w:cs="Calibri"/>
          <w:b/>
          <w:bCs/>
          <w:sz w:val="20"/>
          <w:szCs w:val="20"/>
          <w:lang w:val="pt-BR"/>
        </w:rPr>
        <w:t>EAREsp</w:t>
      </w:r>
      <w:proofErr w:type="spellEnd"/>
      <w:r w:rsidRPr="00C35787">
        <w:rPr>
          <w:rFonts w:eastAsia="Times New Roman" w:cs="Calibri"/>
          <w:b/>
          <w:bCs/>
          <w:sz w:val="20"/>
          <w:szCs w:val="20"/>
          <w:lang w:val="pt-BR"/>
        </w:rPr>
        <w:t xml:space="preserve"> 676.608/RS).</w:t>
      </w:r>
      <w:r w:rsidRPr="00C35787">
        <w:rPr>
          <w:rFonts w:eastAsia="Times New Roman" w:cs="Calibri"/>
          <w:sz w:val="20"/>
          <w:szCs w:val="20"/>
          <w:lang w:val="pt-BR"/>
        </w:rPr>
        <w:t xml:space="preserve"> 6. A conduta abusiva da instituição financeira, ao impor produto não solicitado, configura dano moral presumido, diante do desgaste experimentado pelo consumidor, sendo devida indenização no valor de R$ 3.000,00, fixada segundo o princípio da proporcionalidade e a função pedagógica da sanção civil. 7. A legalidade da capitalização mensal de juros restou demonstrada nos contratos, uma vez que pactuada expressamente, e não se verificou abusividade nas taxas praticadas, afastando a alegação de anatocismo. 8. Também não se constatou ilegalidade na inclusão do IOF no financiamento, conforme orientação do STJ no REsp 1.255.573/RS, desde que informado no Custo Efetivo Total (CET), o que ocorreu no presente caso. IV. DISPOSITIVO E TESE 9. Recurso parcialmente provido. Teses de julgamento: 1. A imposição da contratação de seguro prestamista em conjunto com contrato de empréstimo caracteriza venda casada, vedada pelo art. 39, I, do CDC. 2. A ausência de liberdade de escolha na contratação do seguro enseja a devolução em dobro dos valores pagos, nos termos do art. 42, parágrafo único, do CDC. 3. A cobrança indevida de seguro prestamista configura dano moral in </w:t>
      </w:r>
      <w:proofErr w:type="spellStart"/>
      <w:r w:rsidRPr="00C35787">
        <w:rPr>
          <w:rFonts w:eastAsia="Times New Roman" w:cs="Calibri"/>
          <w:sz w:val="20"/>
          <w:szCs w:val="20"/>
          <w:lang w:val="pt-BR"/>
        </w:rPr>
        <w:t>re</w:t>
      </w:r>
      <w:proofErr w:type="spellEnd"/>
      <w:r w:rsidRPr="00C35787">
        <w:rPr>
          <w:rFonts w:eastAsia="Times New Roman" w:cs="Calibri"/>
          <w:sz w:val="20"/>
          <w:szCs w:val="20"/>
          <w:lang w:val="pt-BR"/>
        </w:rPr>
        <w:t xml:space="preserve"> </w:t>
      </w:r>
      <w:proofErr w:type="spellStart"/>
      <w:r w:rsidRPr="00C35787">
        <w:rPr>
          <w:rFonts w:eastAsia="Times New Roman" w:cs="Calibri"/>
          <w:sz w:val="20"/>
          <w:szCs w:val="20"/>
          <w:lang w:val="pt-BR"/>
        </w:rPr>
        <w:t>ipsa</w:t>
      </w:r>
      <w:proofErr w:type="spellEnd"/>
      <w:r w:rsidRPr="00C35787">
        <w:rPr>
          <w:rFonts w:eastAsia="Times New Roman" w:cs="Calibri"/>
          <w:sz w:val="20"/>
          <w:szCs w:val="20"/>
          <w:lang w:val="pt-BR"/>
        </w:rPr>
        <w:t xml:space="preserve">, sendo devida indenização compensatória. Dispositivos relevantes citados: ( CF, art. 5º, XXXII e LV; CC, art. 423, 405 e 406; CDC, art. 6º, III e VIII; 14, §3º; 39, I; 42, parágrafo único; 47; 51, IV; CPC, art. 373, II). Jurisprudência relevante citada: STJ, REsp 1.639.259/SP, Tema 972, Rel. Min. Paulo de Tarso </w:t>
      </w:r>
      <w:proofErr w:type="spellStart"/>
      <w:r w:rsidRPr="00C35787">
        <w:rPr>
          <w:rFonts w:eastAsia="Times New Roman" w:cs="Calibri"/>
          <w:sz w:val="20"/>
          <w:szCs w:val="20"/>
          <w:lang w:val="pt-BR"/>
        </w:rPr>
        <w:t>Sanseverino</w:t>
      </w:r>
      <w:proofErr w:type="spellEnd"/>
      <w:r w:rsidRPr="00C35787">
        <w:rPr>
          <w:rFonts w:eastAsia="Times New Roman" w:cs="Calibri"/>
          <w:sz w:val="20"/>
          <w:szCs w:val="20"/>
          <w:lang w:val="pt-BR"/>
        </w:rPr>
        <w:t xml:space="preserve">,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17/12/2018; STJ, </w:t>
      </w:r>
      <w:proofErr w:type="spellStart"/>
      <w:r w:rsidRPr="00C35787">
        <w:rPr>
          <w:rFonts w:eastAsia="Times New Roman" w:cs="Calibri"/>
          <w:sz w:val="20"/>
          <w:szCs w:val="20"/>
          <w:lang w:val="pt-BR"/>
        </w:rPr>
        <w:t>EREsp</w:t>
      </w:r>
      <w:proofErr w:type="spellEnd"/>
      <w:r w:rsidRPr="00C35787">
        <w:rPr>
          <w:rFonts w:eastAsia="Times New Roman" w:cs="Calibri"/>
          <w:sz w:val="20"/>
          <w:szCs w:val="20"/>
          <w:lang w:val="pt-BR"/>
        </w:rPr>
        <w:t xml:space="preserve"> 1.413.542/RS, Rel. Min. Maria Thereza de Assis Moura, rel. p/ acórdão Min. Herman Benjamin,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30/03/2021; STJ, </w:t>
      </w:r>
      <w:proofErr w:type="spellStart"/>
      <w:r w:rsidRPr="00C35787">
        <w:rPr>
          <w:rFonts w:eastAsia="Times New Roman" w:cs="Calibri"/>
          <w:sz w:val="20"/>
          <w:szCs w:val="20"/>
          <w:lang w:val="pt-BR"/>
        </w:rPr>
        <w:t>EAREsp</w:t>
      </w:r>
      <w:proofErr w:type="spellEnd"/>
      <w:r w:rsidRPr="00C35787">
        <w:rPr>
          <w:rFonts w:eastAsia="Times New Roman" w:cs="Calibri"/>
          <w:sz w:val="20"/>
          <w:szCs w:val="20"/>
          <w:lang w:val="pt-BR"/>
        </w:rPr>
        <w:t xml:space="preserve"> 676.608/RS, Rel. Min. OG Fernandes,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30/03/2021; STJ, REsp 1.255.573/RS, Rel. Min. Maria Isabel Gallotti,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24/10/2013.</w:t>
      </w:r>
      <w:r>
        <w:rPr>
          <w:rFonts w:eastAsia="Times New Roman" w:cs="Calibri"/>
          <w:sz w:val="20"/>
          <w:szCs w:val="20"/>
          <w:lang w:val="pt-BR"/>
        </w:rPr>
        <w:t xml:space="preserve"> </w:t>
      </w:r>
      <w:r w:rsidRPr="00C35787">
        <w:rPr>
          <w:rFonts w:eastAsia="Times New Roman" w:cs="Calibri"/>
          <w:sz w:val="20"/>
          <w:szCs w:val="20"/>
          <w:lang w:val="pt-BR"/>
        </w:rPr>
        <w:t>(TJ-RJ - APELAÇÃO: 08541411120238190038, Relator: Des(a). PAULO WUNDER DE ALENCAR, Data de Julgamento: 22/07/2025, DECIMA OITAVA CAMARA DE DIREITO PRIVADO (ANTIGA 15ª CÂMARA CÍVEL), Data de Publicação: 25/07/2025)</w:t>
      </w:r>
      <w:r w:rsidRPr="00E97429">
        <w:rPr>
          <w:rFonts w:eastAsia="Times New Roman" w:cs="Calibri"/>
          <w:sz w:val="20"/>
          <w:szCs w:val="20"/>
          <w:lang w:val="pt-BR"/>
        </w:rPr>
        <w:t xml:space="preserve"> </w:t>
      </w:r>
      <w:r>
        <w:rPr>
          <w:rFonts w:eastAsia="Times New Roman" w:cs="Calibri"/>
          <w:sz w:val="20"/>
          <w:szCs w:val="20"/>
          <w:lang w:val="pt-BR"/>
        </w:rPr>
        <w:t>– grifo nosso -</w:t>
      </w:r>
    </w:p>
    <w:p w:rsidR="00ED3B89" w:rsidRPr="000C22A4" w:rsidRDefault="00ED3B89" w:rsidP="00ED3B89">
      <w:pPr>
        <w:tabs>
          <w:tab w:val="left" w:pos="2694"/>
        </w:tabs>
        <w:spacing w:line="300" w:lineRule="auto"/>
        <w:ind w:firstLine="1418"/>
        <w:jc w:val="both"/>
        <w:rPr>
          <w:rFonts w:cs="Calibri"/>
          <w:color w:val="000000"/>
          <w:lang w:val="pt-BR"/>
        </w:rPr>
      </w:pPr>
    </w:p>
    <w:p w:rsidR="00A375D6" w:rsidRPr="000C22A4" w:rsidRDefault="00A375D6" w:rsidP="00A375D6">
      <w:pPr>
        <w:tabs>
          <w:tab w:val="left" w:pos="2694"/>
        </w:tabs>
        <w:spacing w:line="300" w:lineRule="auto"/>
        <w:ind w:firstLine="1418"/>
        <w:jc w:val="both"/>
        <w:rPr>
          <w:rFonts w:cs="Calibri"/>
          <w:color w:val="000000"/>
          <w:lang w:val="pt-BR"/>
        </w:rPr>
      </w:pPr>
      <w:r w:rsidRPr="000C22A4">
        <w:rPr>
          <w:rFonts w:cs="Calibri"/>
          <w:color w:val="000000"/>
          <w:lang w:val="pt-BR"/>
        </w:rPr>
        <w:t xml:space="preserve">Quanto à prova do dano moral, é sabido que sua caracterização independe de demonstração de prejuízo. Isso ocorre porque os transtornos inerentes a esta ocorrência são suficientes, visto que se trata de dano </w:t>
      </w:r>
      <w:r w:rsidRPr="000C22A4">
        <w:rPr>
          <w:rFonts w:cs="Calibri"/>
          <w:i/>
          <w:iCs/>
          <w:color w:val="000000"/>
          <w:lang w:val="pt-BR"/>
        </w:rPr>
        <w:t xml:space="preserve">in </w:t>
      </w:r>
      <w:proofErr w:type="spellStart"/>
      <w:r w:rsidRPr="000C22A4">
        <w:rPr>
          <w:rFonts w:cs="Calibri"/>
          <w:i/>
          <w:iCs/>
          <w:color w:val="000000"/>
          <w:lang w:val="pt-BR"/>
        </w:rPr>
        <w:t>re</w:t>
      </w:r>
      <w:proofErr w:type="spellEnd"/>
      <w:r w:rsidRPr="000C22A4">
        <w:rPr>
          <w:rFonts w:cs="Calibri"/>
          <w:i/>
          <w:iCs/>
          <w:color w:val="000000"/>
          <w:lang w:val="pt-BR"/>
        </w:rPr>
        <w:t xml:space="preserve"> </w:t>
      </w:r>
      <w:proofErr w:type="spellStart"/>
      <w:r w:rsidRPr="000C22A4">
        <w:rPr>
          <w:rFonts w:cs="Calibri"/>
          <w:i/>
          <w:iCs/>
          <w:color w:val="000000"/>
          <w:lang w:val="pt-BR"/>
        </w:rPr>
        <w:t>ipsa</w:t>
      </w:r>
      <w:proofErr w:type="spellEnd"/>
      <w:r w:rsidRPr="000C22A4">
        <w:rPr>
          <w:rFonts w:cs="Calibri"/>
          <w:color w:val="000000"/>
          <w:lang w:val="pt-BR"/>
        </w:rPr>
        <w:t xml:space="preserve">, presumido pela própria lesão à esfera íntima da vítima. </w:t>
      </w:r>
    </w:p>
    <w:p w:rsidR="00A375D6" w:rsidRPr="000C22A4" w:rsidRDefault="00A375D6" w:rsidP="00A375D6">
      <w:pPr>
        <w:tabs>
          <w:tab w:val="left" w:pos="2694"/>
        </w:tabs>
        <w:spacing w:line="300" w:lineRule="auto"/>
        <w:ind w:firstLine="1418"/>
        <w:jc w:val="both"/>
        <w:rPr>
          <w:rFonts w:cs="Calibri"/>
          <w:color w:val="000000"/>
          <w:lang w:val="pt-BR"/>
        </w:rPr>
      </w:pPr>
    </w:p>
    <w:p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Considerando que não há como eliminar o dano moral, uma vez que sua ocorrência é irreversível, a indenização busca, no mínimo, uma compensação à vítima pelos transtornos injustamente sofridos, visando minimizar o sofrimento e os efeitos da lesão.</w:t>
      </w:r>
    </w:p>
    <w:p w:rsidR="00A375D6" w:rsidRPr="000C22A4" w:rsidRDefault="00A375D6" w:rsidP="00A375D6">
      <w:pPr>
        <w:spacing w:line="300" w:lineRule="auto"/>
        <w:ind w:firstLine="1418"/>
        <w:jc w:val="both"/>
        <w:rPr>
          <w:rFonts w:cs="Calibri"/>
          <w:color w:val="000000"/>
          <w:lang w:val="pt-BR"/>
        </w:rPr>
      </w:pPr>
    </w:p>
    <w:p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 xml:space="preserve">Vale destacar a lição de </w:t>
      </w:r>
      <w:r w:rsidRPr="000C22A4">
        <w:rPr>
          <w:rFonts w:cs="Calibri"/>
          <w:b/>
          <w:bCs/>
          <w:color w:val="000000"/>
          <w:lang w:val="pt-BR"/>
        </w:rPr>
        <w:t>WASHINGTON DE BARROS MONTEIRO</w:t>
      </w:r>
      <w:r w:rsidRPr="000C22A4">
        <w:rPr>
          <w:rFonts w:cs="Calibri"/>
          <w:color w:val="000000"/>
          <w:lang w:val="pt-BR"/>
        </w:rPr>
        <w:t>, que adiante segue:</w:t>
      </w:r>
    </w:p>
    <w:p w:rsidR="00A375D6" w:rsidRPr="000C22A4" w:rsidRDefault="00A375D6" w:rsidP="00A375D6">
      <w:pPr>
        <w:spacing w:line="300" w:lineRule="auto"/>
        <w:ind w:firstLine="1985"/>
        <w:jc w:val="both"/>
        <w:rPr>
          <w:rFonts w:cs="Calibri"/>
          <w:color w:val="000000"/>
          <w:lang w:val="pt-BR"/>
        </w:rPr>
      </w:pPr>
    </w:p>
    <w:p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
          <w:bCs/>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0C22A4">
        <w:rPr>
          <w:rFonts w:cs="Calibri"/>
          <w:color w:val="000000"/>
          <w:sz w:val="20"/>
          <w:szCs w:val="20"/>
          <w:lang w:val="pt-BR"/>
        </w:rPr>
        <w:t>. (Direito Civil, II. São Paulo: Saraiva, p 431.);</w:t>
      </w:r>
    </w:p>
    <w:p w:rsidR="00A375D6" w:rsidRPr="000C22A4" w:rsidRDefault="00A375D6" w:rsidP="00A375D6">
      <w:pPr>
        <w:spacing w:line="300" w:lineRule="auto"/>
        <w:jc w:val="both"/>
        <w:rPr>
          <w:rFonts w:cs="Calibri"/>
          <w:color w:val="000000"/>
          <w:lang w:val="pt-BR"/>
        </w:rPr>
      </w:pPr>
    </w:p>
    <w:p w:rsidR="00A375D6" w:rsidRPr="000C22A4" w:rsidRDefault="00A375D6" w:rsidP="00A375D6">
      <w:pPr>
        <w:adjustRightInd w:val="0"/>
        <w:spacing w:line="300" w:lineRule="auto"/>
        <w:ind w:firstLine="1418"/>
        <w:jc w:val="both"/>
        <w:rPr>
          <w:rFonts w:cs="Calibri"/>
          <w:color w:val="000000"/>
          <w:lang w:val="pt-BR"/>
        </w:rPr>
      </w:pPr>
      <w:r w:rsidRPr="000C22A4">
        <w:rPr>
          <w:rFonts w:cs="Calibri"/>
          <w:color w:val="000000"/>
          <w:lang w:val="pt-BR"/>
        </w:rPr>
        <w:t xml:space="preserve">Ante as provas da prática abusiva de venda casada, pugna a parte requerente pela condenação do Requerido ao pagamento de R$ {{valor_danos_morais}} ({{valor_danos_morais_extenso}}) a título de danos morais</w:t>
      </w:r>
      <w:r w:rsidRPr="000C22A4">
        <w:rPr>
          <w:rFonts w:cs="Calibri"/>
          <w:b/>
          <w:bCs/>
          <w:color w:val="000000"/>
          <w:lang w:val="pt-BR"/>
        </w:rPr>
        <w:t xml:space="preserve"/>
      </w:r>
      <w:r w:rsidR="0039384B">
        <w:rPr>
          <w:rFonts w:cs="Calibri"/>
          <w:b/>
          <w:bCs/>
          <w:color w:val="000000"/>
          <w:lang w:val="pt-BR"/>
        </w:rPr>
        <w:t xml:space="preserve"/>
      </w:r>
      <w:r w:rsidRPr="000C22A4">
        <w:rPr>
          <w:rFonts w:cs="Calibri"/>
          <w:b/>
          <w:bCs/>
          <w:color w:val="000000"/>
          <w:lang w:val="pt-BR"/>
        </w:rPr>
        <w:t xml:space="preserve"/>
      </w:r>
      <w:r w:rsidR="0039384B">
        <w:rPr>
          <w:rFonts w:cs="Calibri"/>
          <w:b/>
          <w:bCs/>
          <w:color w:val="000000"/>
          <w:lang w:val="pt-BR"/>
        </w:rPr>
        <w:t xml:space="preserve"/>
      </w:r>
      <w:r w:rsidRPr="000C22A4">
        <w:rPr>
          <w:rFonts w:cs="Calibri"/>
          <w:b/>
          <w:bCs/>
          <w:color w:val="000000"/>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rsidR="00406052" w:rsidRPr="000C22A4" w:rsidRDefault="00406052" w:rsidP="00406052">
      <w:pPr>
        <w:adjustRightInd w:val="0"/>
        <w:spacing w:line="300" w:lineRule="auto"/>
        <w:ind w:firstLine="2835"/>
        <w:jc w:val="both"/>
        <w:rPr>
          <w:rFonts w:cs="Calibri"/>
          <w:color w:val="000000"/>
          <w:lang w:val="pt-BR"/>
        </w:rPr>
      </w:pPr>
    </w:p>
    <w:p w:rsidR="00406052" w:rsidRPr="000C22A4" w:rsidRDefault="00406052" w:rsidP="00406052">
      <w:pPr>
        <w:pStyle w:val="ListParagraph"/>
        <w:numPr>
          <w:ilvl w:val="0"/>
          <w:numId w:val="7"/>
        </w:numPr>
        <w:adjustRightInd w:val="0"/>
        <w:spacing w:after="0" w:line="300" w:lineRule="auto"/>
        <w:ind w:left="0" w:firstLine="0"/>
        <w:jc w:val="both"/>
        <w:rPr>
          <w:rFonts w:cs="Calibri"/>
          <w:color w:val="000000"/>
        </w:rPr>
      </w:pPr>
      <w:r w:rsidRPr="000C22A4">
        <w:rPr>
          <w:rFonts w:cs="Calibri"/>
          <w:b/>
          <w:bCs/>
          <w:color w:val="000000"/>
        </w:rPr>
        <w:t xml:space="preserve">3.5.1 -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rsidR="00406052" w:rsidRPr="00572080" w:rsidRDefault="00406052" w:rsidP="00406052">
      <w:pPr>
        <w:adjustRightInd w:val="0"/>
        <w:spacing w:line="300" w:lineRule="auto"/>
        <w:ind w:firstLine="1418"/>
        <w:jc w:val="both"/>
        <w:rPr>
          <w:rFonts w:cs="Calibri"/>
          <w:color w:val="000000"/>
          <w:sz w:val="18"/>
          <w:szCs w:val="18"/>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rsidR="00406052" w:rsidRPr="00572080" w:rsidRDefault="00406052" w:rsidP="00406052">
      <w:pPr>
        <w:adjustRightInd w:val="0"/>
        <w:spacing w:line="300" w:lineRule="auto"/>
        <w:ind w:firstLine="1418"/>
        <w:jc w:val="both"/>
        <w:rPr>
          <w:rFonts w:cs="Calibri"/>
          <w:color w:val="000000"/>
          <w:sz w:val="18"/>
          <w:szCs w:val="18"/>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proofErr w:type="spellStart"/>
      <w:r w:rsidRPr="000C22A4">
        <w:rPr>
          <w:rFonts w:cs="Calibri"/>
          <w:i/>
          <w:iCs/>
          <w:color w:val="000000"/>
          <w:lang w:val="pt-BR"/>
        </w:rPr>
        <w:t>punitive</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proofErr w:type="spellStart"/>
      <w:r w:rsidRPr="000C22A4">
        <w:rPr>
          <w:rFonts w:cs="Calibri"/>
          <w:i/>
          <w:iCs/>
          <w:color w:val="000000"/>
          <w:lang w:val="pt-BR"/>
        </w:rPr>
        <w:t>exemplary</w:t>
      </w:r>
      <w:proofErr w:type="spellEnd"/>
      <w:r w:rsidRPr="000C22A4">
        <w:rPr>
          <w:rFonts w:cs="Calibri"/>
          <w:i/>
          <w:iCs/>
          <w:color w:val="000000"/>
          <w:lang w:val="pt-BR"/>
        </w:rPr>
        <w:t xml:space="preserve"> </w:t>
      </w:r>
      <w:proofErr w:type="spellStart"/>
      <w:r w:rsidRPr="000C22A4">
        <w:rPr>
          <w:rFonts w:cs="Calibri"/>
          <w:i/>
          <w:iCs/>
          <w:color w:val="000000"/>
          <w:lang w:val="pt-BR"/>
        </w:rPr>
        <w:t>damage</w:t>
      </w:r>
      <w:proofErr w:type="spellEnd"/>
      <w:r w:rsidRPr="000C22A4">
        <w:rPr>
          <w:rFonts w:cs="Calibri"/>
          <w:color w:val="000000"/>
          <w:lang w:val="pt-BR"/>
        </w:rPr>
        <w:t>, o fato é que o causador do dano não pode passar impune por sua conduta ilícita.</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w:t>
      </w:r>
      <w:proofErr w:type="spellStart"/>
      <w:r w:rsidRPr="000C22A4">
        <w:rPr>
          <w:rFonts w:cs="Calibri"/>
          <w:color w:val="000000"/>
          <w:lang w:val="pt-BR"/>
        </w:rPr>
        <w:t>exemplary</w:t>
      </w:r>
      <w:proofErr w:type="spellEnd"/>
      <w:r w:rsidRPr="000C22A4">
        <w:rPr>
          <w:rFonts w:cs="Calibri"/>
          <w:color w:val="000000"/>
          <w:lang w:val="pt-BR"/>
        </w:rPr>
        <w:t xml:space="preserve"> </w:t>
      </w:r>
      <w:proofErr w:type="spellStart"/>
      <w:r w:rsidRPr="000C22A4">
        <w:rPr>
          <w:rFonts w:cs="Calibri"/>
          <w:color w:val="000000"/>
          <w:lang w:val="pt-BR"/>
        </w:rPr>
        <w:t>damage</w:t>
      </w:r>
      <w:proofErr w:type="spellEnd"/>
      <w:r w:rsidRPr="000C22A4">
        <w:rPr>
          <w:rFonts w:cs="Calibri"/>
          <w:color w:val="000000"/>
          <w:lang w:val="pt-BR"/>
        </w:rPr>
        <w:t>").</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rsidR="00406052" w:rsidRPr="000C22A4" w:rsidRDefault="00406052" w:rsidP="00406052">
      <w:pPr>
        <w:adjustRightInd w:val="0"/>
        <w:spacing w:line="300" w:lineRule="auto"/>
        <w:ind w:firstLine="1701"/>
        <w:jc w:val="both"/>
        <w:rPr>
          <w:rFonts w:cs="Calibri"/>
          <w:color w:val="000000"/>
          <w:lang w:val="pt-BR"/>
        </w:rPr>
      </w:pPr>
    </w:p>
    <w:p w:rsidR="00406052" w:rsidRPr="000C22A4" w:rsidRDefault="00406052" w:rsidP="00406052">
      <w:pPr>
        <w:pStyle w:val="ListParagraph"/>
        <w:numPr>
          <w:ilvl w:val="0"/>
          <w:numId w:val="7"/>
        </w:numPr>
        <w:adjustRightInd w:val="0"/>
        <w:spacing w:after="0" w:line="300" w:lineRule="auto"/>
        <w:ind w:left="0" w:firstLine="0"/>
        <w:jc w:val="both"/>
        <w:rPr>
          <w:rFonts w:cs="Calibri"/>
          <w:b/>
          <w:bCs/>
          <w:color w:val="000000"/>
        </w:rPr>
      </w:pPr>
      <w:r w:rsidRPr="000C22A4">
        <w:rPr>
          <w:rFonts w:cs="Calibri"/>
          <w:b/>
          <w:bCs/>
          <w:color w:val="000000"/>
        </w:rPr>
        <w:t>3.5.2 - DO ATO ILÍCITO E DA RESPONSABILIDADE CIVIL</w:t>
      </w:r>
    </w:p>
    <w:p w:rsidR="00406052" w:rsidRPr="000C22A4" w:rsidRDefault="00406052" w:rsidP="00406052">
      <w:pPr>
        <w:adjustRightInd w:val="0"/>
        <w:spacing w:line="300" w:lineRule="auto"/>
        <w:jc w:val="both"/>
        <w:rPr>
          <w:rFonts w:cs="Calibri"/>
          <w:b/>
          <w:bCs/>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rsidR="00406052" w:rsidRPr="000C22A4" w:rsidRDefault="00406052" w:rsidP="00406052">
      <w:pPr>
        <w:adjustRightInd w:val="0"/>
        <w:spacing w:line="300" w:lineRule="auto"/>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rsidR="00406052" w:rsidRPr="000C22A4" w:rsidRDefault="00406052" w:rsidP="00406052">
      <w:pPr>
        <w:adjustRightInd w:val="0"/>
        <w:spacing w:line="300" w:lineRule="auto"/>
        <w:ind w:firstLine="1418"/>
        <w:jc w:val="both"/>
        <w:rPr>
          <w:rFonts w:cs="Calibri"/>
          <w:color w:val="000000"/>
          <w:lang w:val="pt-BR"/>
        </w:rPr>
      </w:pPr>
    </w:p>
    <w:p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rsidR="00406052" w:rsidRPr="000C22A4" w:rsidRDefault="00406052" w:rsidP="00406052">
      <w:pPr>
        <w:adjustRightInd w:val="0"/>
        <w:spacing w:line="300" w:lineRule="auto"/>
        <w:ind w:firstLine="1701"/>
        <w:jc w:val="both"/>
        <w:rPr>
          <w:rFonts w:cs="Calibri"/>
          <w:color w:val="000000"/>
          <w:lang w:val="pt-BR"/>
        </w:rPr>
      </w:pPr>
    </w:p>
    <w:p w:rsidR="00406052" w:rsidRDefault="00406052" w:rsidP="00406052">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rsidR="00406052" w:rsidRPr="000C22A4" w:rsidRDefault="00406052" w:rsidP="00406052">
      <w:pPr>
        <w:adjustRightInd w:val="0"/>
        <w:spacing w:line="300" w:lineRule="auto"/>
        <w:ind w:left="2268"/>
        <w:jc w:val="both"/>
        <w:rPr>
          <w:rFonts w:cs="Calibri"/>
          <w:color w:val="000000"/>
          <w:sz w:val="20"/>
          <w:szCs w:val="20"/>
          <w:lang w:val="pt-BR"/>
        </w:rPr>
      </w:pPr>
    </w:p>
    <w:p w:rsidR="000C22A4" w:rsidRPr="000C22A4" w:rsidRDefault="000C22A4" w:rsidP="000C22A4">
      <w:pPr>
        <w:pStyle w:val="ListParagraph"/>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rsidR="000C22A4" w:rsidRPr="000C22A4" w:rsidRDefault="000C22A4" w:rsidP="000C22A4">
      <w:pPr>
        <w:spacing w:line="300" w:lineRule="auto"/>
        <w:ind w:firstLine="1416"/>
        <w:jc w:val="both"/>
        <w:textAlignment w:val="top"/>
        <w:rPr>
          <w:rFonts w:cs="Calibri"/>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A distribuição do ônus da prova reveste-se de inegável relevância, porquanto sua inobservância pode acarretar prejuízos à parte que a ele se sujeita, sobretudo no âmbito de incidência do Código de Defesa do Consumidor.</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Em regra, o encargo probatório incumbe a quem alega o fato constitutivo de seu direito, ou a quem o nega mediante a arguição de fato impeditivo, modificativo ou extintivo, na forma do art. 373, incisos I e II, do Código de Processo Civil.</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O Código de Defesa do Consumidor, enquanto diploma vocacionado a modernizar o direito vigente e a atenuar a desigualdade de forças entre os polos da relação — de um lado, o consumidor, figura vulnerável; de outro, o fornecedor, detentor dos meios de prova frequentemente inacessíveis àquele, acolheu a técnica que autoriza a inversão do ônus probatório diante dessa assimetria.</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Constatadas a relação de consumo e a vulnerabilidade da parte requerente, impõe-se o amparo das normas da Lei nº 8.078/90, notadamente quanto aos direitos básicos do consumidor, consoante expressa dicção legal.</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Feitas tais considerações, reporta-se ao art. 6º, inciso VIII, do Código de Defesa do Consumidor, que previu a inversão do ônus da prova como instrumento de facilitação da defesa do consumidor lesado. Da exegese do dispositivo depreende-se que a medida pressupõe a verossimilhança das alegações, a critério do Juízo, ou a hipossuficiência da parte requerente, estabelecendo, pois, dois pressupostos alternativos para a concessão do benefício.</w:t>
      </w:r>
    </w:p>
    <w:p w:rsidR="00C8607B" w:rsidRDefault="00C8607B" w:rsidP="00C8607B">
      <w:pPr>
        <w:spacing w:line="300" w:lineRule="auto"/>
        <w:ind w:firstLine="1418"/>
        <w:jc w:val="both"/>
        <w:textAlignment w:val="top"/>
        <w:rPr>
          <w:rFonts w:cs="Calibri"/>
          <w:color w:val="000000"/>
          <w:lang w:val="pt-BR"/>
        </w:rPr>
      </w:pPr>
    </w:p>
    <w:p w:rsidR="00C8607B" w:rsidRPr="00C8607B" w:rsidRDefault="00C8607B" w:rsidP="00C8607B">
      <w:pPr>
        <w:spacing w:line="300" w:lineRule="auto"/>
        <w:ind w:firstLine="1418"/>
        <w:jc w:val="both"/>
        <w:textAlignment w:val="top"/>
        <w:rPr>
          <w:rFonts w:cs="Calibri"/>
          <w:color w:val="000000"/>
          <w:lang w:val="pt-BR"/>
        </w:rPr>
      </w:pPr>
      <w:r w:rsidRPr="00C8607B">
        <w:rPr>
          <w:rFonts w:cs="Calibri"/>
          <w:color w:val="000000"/>
          <w:lang w:val="pt-BR"/>
        </w:rPr>
        <w:t>A relevância da inversão reside em conferir maior efetividade aos direitos do consumidor de boa-fé e em impor ao fornecedor postura mais responsável quanto aos serviços que disponibiliza no mercado. Assim, presente a verossimilhança das alegações da parte requerente</w:t>
      </w:r>
      <w:r>
        <w:rPr>
          <w:rFonts w:cs="Calibri"/>
          <w:color w:val="000000"/>
          <w:lang w:val="pt-BR"/>
        </w:rPr>
        <w:t xml:space="preserve">, </w:t>
      </w:r>
      <w:r w:rsidRPr="00C8607B">
        <w:rPr>
          <w:rFonts w:cs="Calibri"/>
          <w:color w:val="000000"/>
          <w:lang w:val="pt-BR"/>
        </w:rPr>
        <w:t>reforçada pela documentação que instrui a inicial, faz ela jus à inversão do ônus da prova, nos termos do art. 6º, inciso VIII, da Lei nº 8.078/90, o que desde já se requer.</w:t>
      </w:r>
    </w:p>
    <w:p w:rsidR="000C22A4" w:rsidRPr="000C22A4" w:rsidRDefault="000C22A4" w:rsidP="000C22A4">
      <w:pPr>
        <w:spacing w:line="300" w:lineRule="auto"/>
        <w:ind w:firstLine="2835"/>
        <w:jc w:val="both"/>
        <w:textAlignment w:val="top"/>
        <w:rPr>
          <w:rFonts w:cs="Calibri"/>
          <w:color w:val="FF0000"/>
          <w:lang w:val="pt-BR"/>
        </w:rPr>
      </w:pPr>
    </w:p>
    <w:p w:rsidR="000C22A4" w:rsidRPr="000C22A4" w:rsidRDefault="000C22A4" w:rsidP="000C22A4">
      <w:pPr>
        <w:pStyle w:val="ListParagraph"/>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rsidR="000C22A4" w:rsidRPr="000C22A4" w:rsidRDefault="000C22A4" w:rsidP="000C22A4">
      <w:pPr>
        <w:spacing w:line="300" w:lineRule="auto"/>
        <w:ind w:firstLine="2835"/>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rsidR="000C22A4" w:rsidRPr="000C22A4" w:rsidRDefault="000C22A4" w:rsidP="000C22A4">
      <w:pPr>
        <w:spacing w:line="300" w:lineRule="auto"/>
        <w:ind w:firstLine="1418"/>
        <w:jc w:val="both"/>
        <w:rPr>
          <w:rFonts w:cs="Calibri"/>
          <w:lang w:val="pt-BR"/>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rsidR="000C22A4" w:rsidRPr="000C22A4" w:rsidRDefault="000C22A4" w:rsidP="000C22A4">
      <w:pPr>
        <w:pStyle w:val="ListParagraph"/>
        <w:spacing w:after="0" w:line="300" w:lineRule="auto"/>
        <w:ind w:left="1418"/>
        <w:jc w:val="both"/>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w:t>
      </w:r>
    </w:p>
    <w:p w:rsidR="000C22A4" w:rsidRPr="000C22A4" w:rsidRDefault="000C22A4" w:rsidP="000C22A4">
      <w:pPr>
        <w:pStyle w:val="ListParagraph"/>
        <w:spacing w:after="0" w:line="300" w:lineRule="auto"/>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p>
    <w:p w:rsidR="000C22A4" w:rsidRPr="000C22A4" w:rsidRDefault="000C22A4" w:rsidP="000C22A4">
      <w:pPr>
        <w:pStyle w:val="ListParagraph"/>
        <w:spacing w:after="0" w:line="300" w:lineRule="auto"/>
        <w:rPr>
          <w:rFonts w:cs="Calibri"/>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face a hipossuficiência da parte requerente, nos moldes do art. 6°, VIII do CDC;</w:t>
      </w:r>
      <w:bookmarkStart w:id="1" w:name="_Hlk46234814"/>
    </w:p>
    <w:p w:rsidR="000C22A4" w:rsidRPr="000C22A4" w:rsidRDefault="000C22A4" w:rsidP="000C22A4">
      <w:pPr>
        <w:pStyle w:val="ListParagraph"/>
        <w:spacing w:after="0" w:line="300" w:lineRule="auto"/>
        <w:rPr>
          <w:rFonts w:cs="Calibri"/>
          <w:b/>
          <w:bCs/>
        </w:rPr>
      </w:pPr>
    </w:p>
    <w:bookmarkEnd w:id="1"/>
    <w:p w:rsidR="003B0ACD" w:rsidRPr="000C22A4" w:rsidRDefault="003B0ACD" w:rsidP="003B0ACD">
      <w:pPr>
        <w:pStyle w:val="ListParagraph"/>
        <w:numPr>
          <w:ilvl w:val="0"/>
          <w:numId w:val="8"/>
        </w:numPr>
        <w:spacing w:after="0" w:line="300" w:lineRule="auto"/>
        <w:ind w:left="0" w:firstLine="1418"/>
        <w:jc w:val="both"/>
        <w:rPr>
          <w:rFonts w:cs="Calibri"/>
        </w:rPr>
      </w:pPr>
      <w:r w:rsidRPr="000C22A4">
        <w:rPr>
          <w:rFonts w:cs="Calibri"/>
        </w:rPr>
        <w:t>Conceder os benefícios da</w:t>
      </w:r>
      <w:r w:rsidRPr="000C22A4">
        <w:rPr>
          <w:rFonts w:cs="Calibri"/>
          <w:b/>
          <w:bCs/>
        </w:rPr>
        <w:t xml:space="preserve"> Justiça Gratuita</w:t>
      </w:r>
      <w:r w:rsidRPr="000C22A4">
        <w:rPr>
          <w:rFonts w:cs="Calibri"/>
        </w:rPr>
        <w:t>, com fu</w:t>
      </w:r>
      <w:r>
        <w:rPr>
          <w:rFonts w:cs="Calibri"/>
        </w:rPr>
        <w:t>ndamento no art</w:t>
      </w:r>
      <w:r w:rsidRPr="000C22A4">
        <w:rPr>
          <w:rFonts w:cs="Calibri"/>
        </w:rPr>
        <w:t>.</w:t>
      </w:r>
      <w:r>
        <w:rPr>
          <w:rFonts w:cs="Calibri"/>
        </w:rPr>
        <w:t xml:space="preserve"> 5</w:t>
      </w:r>
      <w:r w:rsidRPr="000C22A4">
        <w:rPr>
          <w:rFonts w:cs="Calibri"/>
        </w:rPr>
        <w:t xml:space="preserve">°, </w:t>
      </w:r>
      <w:r>
        <w:rPr>
          <w:rFonts w:cs="Calibri"/>
        </w:rPr>
        <w:t>LXX</w:t>
      </w:r>
      <w:r w:rsidRPr="000C22A4">
        <w:rPr>
          <w:rFonts w:cs="Calibri"/>
        </w:rPr>
        <w:t>I</w:t>
      </w:r>
      <w:r>
        <w:rPr>
          <w:rFonts w:cs="Calibri"/>
        </w:rPr>
        <w:t>V, da CF/88 e dos arts. 98 e seguintes do CPC</w:t>
      </w:r>
      <w:r w:rsidRPr="000C22A4">
        <w:rPr>
          <w:rFonts w:cs="Calibri"/>
        </w:rPr>
        <w:t>;</w:t>
      </w:r>
    </w:p>
    <w:p w:rsidR="000C22A4" w:rsidRPr="000C22A4" w:rsidRDefault="000C22A4" w:rsidP="000C22A4">
      <w:pPr>
        <w:pStyle w:val="ListParagraph"/>
        <w:spacing w:after="0" w:line="300" w:lineRule="auto"/>
        <w:rPr>
          <w:rFonts w:cs="Calibri"/>
          <w:b/>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bCs/>
        </w:rPr>
        <w:t xml:space="preserve">Julgar </w:t>
      </w:r>
      <w:r w:rsidRPr="000C22A4">
        <w:rPr>
          <w:rFonts w:cs="Calibri"/>
          <w:b/>
        </w:rPr>
        <w:t>TOTALMENTE PROCEDENTE</w:t>
      </w:r>
      <w:r w:rsidRPr="000C22A4">
        <w:rPr>
          <w:rFonts w:cs="Calibri"/>
        </w:rPr>
        <w:t xml:space="preserve"> a presente ação para:</w:t>
      </w:r>
    </w:p>
    <w:p w:rsidR="000C22A4" w:rsidRPr="000C22A4" w:rsidRDefault="000C22A4" w:rsidP="000C22A4">
      <w:pPr>
        <w:spacing w:line="300" w:lineRule="auto"/>
        <w:ind w:left="2835" w:firstLine="1701"/>
        <w:jc w:val="both"/>
        <w:rPr>
          <w:rFonts w:cs="Calibri"/>
          <w:lang w:val="pt-BR"/>
        </w:rPr>
      </w:pPr>
    </w:p>
    <w:p w:rsidR="000C22A4" w:rsidRPr="00E533E1" w:rsidRDefault="000C22A4" w:rsidP="000C22A4">
      <w:pPr>
        <w:spacing w:line="300" w:lineRule="auto"/>
        <w:ind w:firstLine="1418"/>
        <w:jc w:val="both"/>
        <w:rPr>
          <w:rFonts w:cs="Calibri"/>
          <w:lang w:val="pt-BR"/>
        </w:rPr>
      </w:pPr>
      <w:r w:rsidRPr="000C22A4">
        <w:rPr>
          <w:rFonts w:cs="Calibri"/>
          <w:lang w:val="pt-BR"/>
        </w:rPr>
        <w:t>(</w:t>
      </w:r>
      <w:r w:rsidR="00701D15">
        <w:rPr>
          <w:rFonts w:cs="Calibri"/>
          <w:lang w:val="pt-BR"/>
        </w:rPr>
        <w:t>f</w:t>
      </w:r>
      <w:r w:rsidRPr="000C22A4">
        <w:rPr>
          <w:rFonts w:cs="Calibri"/>
          <w:lang w:val="pt-BR"/>
        </w:rPr>
        <w:t xml:space="preserve">.1) </w:t>
      </w:r>
      <w:r w:rsidR="00E533E1" w:rsidRPr="00E533E1">
        <w:rPr>
          <w:rFonts w:cs="Calibri"/>
          <w:b/>
          <w:bCs/>
          <w:lang w:val="pt-BR"/>
        </w:rPr>
        <w:t>Reconhecer a prática abusiva de venda casada</w:t>
      </w:r>
      <w:r w:rsidR="00E533E1" w:rsidRPr="00E533E1">
        <w:rPr>
          <w:rFonts w:cs="Calibri"/>
          <w:lang w:val="pt-BR"/>
        </w:rPr>
        <w:t xml:space="preserve"> perpetrada pela instituição financeira requerida, em violação ao art. 39, inciso I, do Código de Defesa do Consumidor</w:t>
      </w:r>
      <w:r w:rsidR="00ED3B89">
        <w:rPr>
          <w:rFonts w:cs="Calibri"/>
          <w:lang w:val="pt-BR"/>
        </w:rPr>
        <w:t xml:space="preserve"> e </w:t>
      </w:r>
      <w:r w:rsidR="00E533E1" w:rsidRPr="00E533E1">
        <w:rPr>
          <w:rFonts w:cs="Calibri"/>
          <w:lang w:val="pt-BR"/>
        </w:rPr>
        <w:t>em consonância com a orientação firmada pelo Superior Tribunal de Justiça no Tema 972, nos julgamentos dos REsp 1.639.320/SP e REsp 1.639.259/SP</w:t>
      </w:r>
      <w:r w:rsidR="005213E6">
        <w:rPr>
          <w:rFonts w:cs="Calibri"/>
          <w:lang w:val="pt-BR"/>
        </w:rPr>
        <w:t>, devendo ser declarada nula a cláusula contratual que impôs a contratação do seguro;</w:t>
      </w:r>
    </w:p>
    <w:p w:rsidR="000C22A4" w:rsidRPr="000C22A4" w:rsidRDefault="000C22A4" w:rsidP="000C22A4">
      <w:pPr>
        <w:spacing w:line="300" w:lineRule="auto"/>
        <w:ind w:firstLine="1701"/>
        <w:jc w:val="both"/>
        <w:rPr>
          <w:rFonts w:cs="Calibri"/>
          <w:lang w:val="pt-BR"/>
        </w:rPr>
      </w:pPr>
    </w:p>
    <w:p w:rsidR="000C22A4" w:rsidRPr="000C22A4" w:rsidRDefault="000C22A4" w:rsidP="00E533E1">
      <w:pPr>
        <w:spacing w:line="300" w:lineRule="auto"/>
        <w:ind w:firstLine="1418"/>
        <w:jc w:val="both"/>
        <w:rPr>
          <w:rFonts w:cs="Calibri"/>
          <w:lang w:val="pt-BR"/>
        </w:rPr>
      </w:pPr>
      <w:r w:rsidRPr="000C22A4">
        <w:rPr>
          <w:rFonts w:cs="Calibri"/>
          <w:lang w:val="pt-BR"/>
        </w:rPr>
        <w:t xml:space="preserve">(f.2) Condenar o requerido à restituição em dobro dos valores indevidamente cobrados a título de “{{nome_produto}}”, nos termos do art. 42, parágrafo único, do Código de Defesa do Consumidor, no valor de R$ {{valor_seguro}}, que, em dobro, perfaz a importância de R$ {{valor_seguro_dobro}} ({{valor_seguro_dobro_extenso}}), acrescida de correção monetária</w:t>
      </w:r>
      <w:r w:rsidR="00701D15">
        <w:rPr>
          <w:rFonts w:cs="Calibri"/>
          <w:lang w:val="pt-BR"/>
        </w:rPr>
        <w:t xml:space="preserve"/>
      </w:r>
      <w:r w:rsidRPr="000C22A4">
        <w:rPr>
          <w:rFonts w:cs="Calibri"/>
          <w:lang w:val="pt-BR"/>
        </w:rPr>
        <w:t xml:space="preserve"/>
      </w:r>
      <w:r w:rsidR="00C8607B" w:rsidRPr="00C8607B">
        <w:rPr>
          <w:rFonts w:cs="Calibri"/>
          <w:lang w:val="pt-BR"/>
        </w:rPr>
        <w:t xml:space="preserve"/>
      </w:r>
      <w:r w:rsidR="007F163E" w:rsidRPr="00B2704F">
        <w:rPr>
          <w:rFonts w:cs="Calibri"/>
          <w:b/>
          <w:bCs/>
          <w:lang w:val="pt-BR"/>
        </w:rPr>
        <w:t xml:space="preserve"/>
      </w:r>
      <w:r w:rsidR="004E231D">
        <w:rPr>
          <w:rFonts w:cs="Calibri"/>
          <w:b/>
          <w:bCs/>
          <w:lang w:val="pt-BR"/>
        </w:rPr>
        <w:t xml:space="preserve"/>
      </w:r>
      <w:r w:rsidR="007F163E" w:rsidRPr="00B2704F">
        <w:rPr>
          <w:rFonts w:cs="Calibri"/>
          <w:b/>
          <w:bCs/>
          <w:lang w:val="pt-BR"/>
        </w:rPr>
        <w:t xml:space="preserve"/>
      </w:r>
      <w:r w:rsidR="00C8607B" w:rsidRPr="00C8607B">
        <w:rPr>
          <w:rFonts w:cs="Calibri"/>
          <w:lang w:val="pt-BR"/>
        </w:rPr>
        <w:t xml:space="preserve"/>
      </w:r>
      <w:r w:rsidR="00572080" w:rsidRPr="00C8607B">
        <w:rPr>
          <w:rFonts w:cs="Calibri"/>
          <w:b/>
          <w:bCs/>
          <w:lang w:val="pt-BR"/>
        </w:rPr>
        <w:t xml:space="preserve"/>
      </w:r>
      <w:r w:rsidR="007F163E">
        <w:rPr>
          <w:rFonts w:cs="Calibri"/>
          <w:b/>
          <w:bCs/>
          <w:lang w:val="pt-BR"/>
        </w:rPr>
        <w:t xml:space="preserve"/>
      </w:r>
      <w:r w:rsidR="0039384B">
        <w:rPr>
          <w:rFonts w:cs="Calibri"/>
          <w:b/>
          <w:bCs/>
          <w:lang w:val="pt-BR"/>
        </w:rPr>
        <w:t xml:space="preserve"/>
      </w:r>
      <w:r w:rsidR="00572080">
        <w:rPr>
          <w:rFonts w:cs="Calibri"/>
          <w:b/>
          <w:bCs/>
          <w:lang w:val="pt-BR"/>
        </w:rPr>
        <w:t xml:space="preserve"/>
      </w:r>
      <w:r w:rsidR="00572080" w:rsidRPr="00C8607B">
        <w:rPr>
          <w:rFonts w:cs="Calibri"/>
          <w:lang w:val="pt-BR"/>
        </w:rPr>
        <w:t xml:space="preserve"/>
      </w:r>
      <w:r w:rsidR="00572080" w:rsidRPr="00690ABF">
        <w:rPr>
          <w:rFonts w:cs="Calibri"/>
          <w:b/>
          <w:bCs/>
          <w:lang w:val="pt-BR"/>
        </w:rPr>
        <w:t xml:space="preserve"/>
      </w:r>
      <w:r w:rsidR="0039384B">
        <w:rPr>
          <w:rFonts w:cs="Calibri"/>
          <w:b/>
          <w:bCs/>
          <w:lang w:val="pt-BR"/>
        </w:rPr>
        <w:t xml:space="preserve"/>
      </w:r>
      <w:r w:rsidR="007F163E">
        <w:rPr>
          <w:rFonts w:cs="Calibri"/>
          <w:b/>
          <w:bCs/>
          <w:lang w:val="pt-BR"/>
        </w:rPr>
        <w:t xml:space="preserve"/>
      </w:r>
      <w:r w:rsidR="0039384B">
        <w:rPr>
          <w:rFonts w:cs="Calibri"/>
          <w:b/>
          <w:bCs/>
          <w:lang w:val="pt-BR"/>
        </w:rPr>
        <w:t xml:space="preserve"/>
      </w:r>
      <w:r w:rsidR="007F163E">
        <w:rPr>
          <w:rFonts w:cs="Calibri"/>
          <w:b/>
          <w:bCs/>
          <w:lang w:val="pt-BR"/>
        </w:rPr>
        <w:t xml:space="preserve"/>
      </w:r>
      <w:r w:rsidR="0039384B">
        <w:rPr>
          <w:rFonts w:cs="Calibri"/>
          <w:b/>
          <w:bCs/>
          <w:lang w:val="pt-BR"/>
        </w:rPr>
        <w:t xml:space="preserve"/>
      </w:r>
      <w:r w:rsidR="007F163E">
        <w:rPr>
          <w:rFonts w:cs="Calibri"/>
          <w:b/>
          <w:bCs/>
          <w:lang w:val="pt-BR"/>
        </w:rPr>
        <w:t xml:space="preserve"/>
      </w:r>
      <w:r w:rsidR="007F163E" w:rsidRPr="00E533E1">
        <w:rPr>
          <w:rFonts w:cs="Calibri"/>
          <w:b/>
          <w:bCs/>
          <w:lang w:val="pt-BR"/>
        </w:rPr>
        <w:t xml:space="preserve"/>
      </w:r>
      <w:r w:rsidR="00572080" w:rsidRPr="00C8607B">
        <w:rPr>
          <w:rFonts w:cs="Calibri"/>
          <w:lang w:val="pt-BR"/>
        </w:rPr>
        <w:t xml:space="preserve"> desde </w:t>
      </w:r>
      <w:r w:rsidR="00A21B4C">
        <w:rPr>
          <w:rFonts w:cs="Calibri"/>
          <w:lang w:val="pt-BR"/>
        </w:rPr>
        <w:t>a data do</w:t>
      </w:r>
      <w:r w:rsidR="00572080" w:rsidRPr="00C8607B">
        <w:rPr>
          <w:rFonts w:cs="Calibri"/>
          <w:lang w:val="pt-BR"/>
        </w:rPr>
        <w:t xml:space="preserve"> desembolso (Súmula 43/STJ) e de juros moratórios desde o evento danoso (Súmula 54/STJ);</w:t>
      </w:r>
    </w:p>
    <w:p w:rsidR="000C22A4" w:rsidRPr="000C22A4" w:rsidRDefault="000C22A4" w:rsidP="000C22A4">
      <w:pPr>
        <w:spacing w:line="300" w:lineRule="auto"/>
        <w:ind w:firstLine="1701"/>
        <w:jc w:val="both"/>
        <w:rPr>
          <w:rFonts w:cs="Calibri"/>
          <w:sz w:val="18"/>
          <w:szCs w:val="18"/>
          <w:lang w:val="pt-BR"/>
        </w:rPr>
      </w:pPr>
    </w:p>
    <w:p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 xml:space="preserve">(f.3) Condenar o requerido ao pagamento de R$ {{valor_danos_morais}} ({{valor_danos_morais_extenso}}) a título de danos morais, ou outra quantia que Vossa Excelência arbitrar,</w:t>
      </w:r>
      <w:r w:rsidR="00701D15">
        <w:rPr>
          <w:rFonts w:cs="Calibri"/>
          <w:lang w:val="pt-BR"/>
        </w:rPr>
        <w:t xml:space="preserve"/>
      </w:r>
      <w:r w:rsidRPr="000C22A4">
        <w:rPr>
          <w:rFonts w:cs="Calibri"/>
          <w:lang w:val="pt-BR"/>
        </w:rPr>
        <w:t xml:space="preserve"/>
      </w:r>
      <w:r w:rsidRPr="000C22A4">
        <w:rPr>
          <w:rFonts w:cs="Calibri"/>
          <w:color w:val="000000"/>
          <w:lang w:val="pt-BR"/>
        </w:rPr>
        <w:t xml:space="preserve"/>
      </w:r>
      <w:r w:rsidRPr="000C22A4">
        <w:rPr>
          <w:rFonts w:cs="Calibri"/>
          <w:b/>
          <w:bCs/>
          <w:color w:val="000000"/>
          <w:lang w:val="pt-BR"/>
        </w:rPr>
        <w:t xml:space="preserve"/>
      </w:r>
      <w:r w:rsidR="0039384B">
        <w:rPr>
          <w:rFonts w:cs="Calibri"/>
          <w:b/>
          <w:bCs/>
          <w:color w:val="000000"/>
          <w:lang w:val="pt-BR"/>
        </w:rPr>
        <w:t xml:space="preserve"/>
      </w:r>
      <w:r w:rsidR="000C4D61">
        <w:rPr>
          <w:rFonts w:cs="Calibri"/>
          <w:b/>
          <w:bCs/>
          <w:color w:val="000000"/>
          <w:lang w:val="pt-BR"/>
        </w:rPr>
        <w:t xml:space="preserve"/>
      </w:r>
      <w:r w:rsidRPr="000C22A4">
        <w:rPr>
          <w:rFonts w:cs="Calibri"/>
          <w:b/>
          <w:bCs/>
          <w:color w:val="000000"/>
          <w:lang w:val="pt-BR"/>
        </w:rPr>
        <w:t xml:space="preserve"/>
      </w:r>
      <w:r w:rsidR="0039384B">
        <w:rPr>
          <w:rFonts w:cs="Calibri"/>
          <w:b/>
          <w:bCs/>
          <w:color w:val="000000"/>
          <w:lang w:val="pt-BR"/>
        </w:rPr>
        <w:t xml:space="preserve"/>
      </w:r>
      <w:r w:rsidR="005213E6">
        <w:rPr>
          <w:rFonts w:cs="Calibri"/>
          <w:b/>
          <w:bCs/>
          <w:color w:val="000000"/>
          <w:lang w:val="pt-BR"/>
        </w:rPr>
        <w:t xml:space="preserve"/>
      </w:r>
      <w:r w:rsidRPr="000C22A4">
        <w:rPr>
          <w:rFonts w:cs="Calibri"/>
          <w:b/>
          <w:bCs/>
          <w:color w:val="000000"/>
          <w:lang w:val="pt-BR"/>
        </w:rPr>
        <w:t xml:space="preserve"/>
      </w:r>
      <w:r w:rsidRPr="000C22A4">
        <w:rPr>
          <w:rFonts w:cs="Calibri"/>
          <w:color w:val="000000"/>
          <w:lang w:val="pt-BR"/>
        </w:rPr>
        <w:t xml:space="preserve"/>
      </w:r>
      <w:r w:rsidRPr="000C22A4">
        <w:rPr>
          <w:rFonts w:cs="Calibri"/>
          <w:b/>
          <w:bCs/>
          <w:color w:val="000000"/>
          <w:lang w:val="pt-BR"/>
        </w:rPr>
        <w:t xml:space="preserve"/>
      </w:r>
      <w:r w:rsidRPr="000C22A4">
        <w:rPr>
          <w:rFonts w:cs="Calibri"/>
          <w:color w:val="000000"/>
          <w:lang w:val="pt-BR"/>
        </w:rPr>
        <w:t xml:space="preserve"> com correção monetária a partir do arbitramento (Súmula 362/STJ) e juros de mora desde o evento danoso (Súmula 54/STJ), com fundamento nos arts. 5º, V e X, da CF/88; 6º, VI, do CDC; e 186 e 927 do CC;</w:t>
      </w:r>
    </w:p>
    <w:p w:rsidR="000C22A4" w:rsidRPr="000C22A4" w:rsidRDefault="000C22A4" w:rsidP="000C22A4">
      <w:pPr>
        <w:pStyle w:val="ListParagraph"/>
        <w:spacing w:after="0" w:line="300" w:lineRule="auto"/>
        <w:ind w:left="0" w:firstLine="1701"/>
        <w:jc w:val="both"/>
        <w:rPr>
          <w:rFonts w:cs="Calibri"/>
          <w:sz w:val="20"/>
          <w:szCs w:val="20"/>
        </w:rPr>
      </w:pPr>
    </w:p>
    <w:p w:rsidR="000C22A4" w:rsidRPr="000C22A4" w:rsidRDefault="000C22A4" w:rsidP="000C22A4">
      <w:pPr>
        <w:pStyle w:val="ListParagraph"/>
        <w:spacing w:after="0" w:line="300" w:lineRule="auto"/>
        <w:ind w:left="0" w:firstLine="1418"/>
        <w:jc w:val="both"/>
        <w:rPr>
          <w:rFonts w:cs="Calibri"/>
        </w:rPr>
      </w:pPr>
      <w:r w:rsidRPr="000C22A4">
        <w:rPr>
          <w:rFonts w:cs="Calibri"/>
        </w:rPr>
        <w:t>(</w:t>
      </w:r>
      <w:r w:rsidR="00701D15">
        <w:rPr>
          <w:rFonts w:cs="Calibri"/>
        </w:rPr>
        <w:t>f</w:t>
      </w:r>
      <w:r w:rsidRPr="000C22A4">
        <w:rPr>
          <w:rFonts w:cs="Calibri"/>
        </w:rPr>
        <w:t>.4) Seja o requerido condenado ao pagamento das custas processuais e de honorários advocatícios de 20% (vinte por cento) sobre o valor apurado, além dos juros e correção monetária, em havendo recurso;</w:t>
      </w:r>
    </w:p>
    <w:p w:rsidR="000C22A4" w:rsidRPr="000C22A4" w:rsidRDefault="000C22A4" w:rsidP="000C22A4">
      <w:pPr>
        <w:spacing w:line="300" w:lineRule="auto"/>
        <w:jc w:val="both"/>
        <w:rPr>
          <w:rFonts w:cs="Calibri"/>
          <w:lang w:val="pt-BR"/>
        </w:rPr>
      </w:pPr>
    </w:p>
    <w:p w:rsidR="000C22A4" w:rsidRPr="000C22A4" w:rsidRDefault="000C22A4" w:rsidP="000C22A4">
      <w:pPr>
        <w:pStyle w:val="ListParagraph"/>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rsidR="000C22A4" w:rsidRPr="00572080" w:rsidRDefault="000C22A4" w:rsidP="000C22A4">
      <w:pPr>
        <w:spacing w:line="300" w:lineRule="auto"/>
        <w:jc w:val="both"/>
        <w:rPr>
          <w:rFonts w:cs="Calibri"/>
          <w:sz w:val="18"/>
          <w:szCs w:val="18"/>
          <w:lang w:val="pt-BR"/>
        </w:rPr>
      </w:pPr>
    </w:p>
    <w:p w:rsid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rsidR="000C22A4" w:rsidRPr="00572080" w:rsidRDefault="000C22A4" w:rsidP="000C22A4">
      <w:pPr>
        <w:spacing w:line="300" w:lineRule="auto"/>
        <w:ind w:firstLine="1418"/>
        <w:jc w:val="both"/>
        <w:rPr>
          <w:rFonts w:cs="Calibri"/>
          <w:sz w:val="18"/>
          <w:szCs w:val="18"/>
          <w:lang w:val="pt-BR"/>
        </w:rPr>
      </w:pPr>
    </w:p>
    <w:p w:rsidR="002C1924" w:rsidRDefault="002C1924" w:rsidP="002C1924">
      <w:pPr>
        <w:spacing w:line="300" w:lineRule="auto"/>
        <w:ind w:firstLine="1418"/>
        <w:jc w:val="both"/>
        <w:rPr>
          <w:rFonts w:cs="Calibri"/>
          <w:lang w:val="pt-BR"/>
        </w:rPr>
      </w:pPr>
      <w:r>
        <w:rPr>
          <w:rFonts w:cs="Calibri"/>
          <w:lang w:val="pt-BR"/>
        </w:rPr>
        <w:t xml:space="preserve">Dá-se à causa o valor de R$ {{valor_causa}} ({{valor_causa_extenso}}).</w:t>
      </w:r>
      <w:r w:rsidRPr="002C1924">
        <w:rPr>
          <w:rFonts w:cs="Calibri"/>
          <w:b/>
          <w:bCs/>
          <w:lang w:val="pt-BR"/>
        </w:rPr>
        <w:t xml:space="preserve"/>
      </w:r>
      <w:r w:rsidR="0039384B">
        <w:rPr>
          <w:rFonts w:cs="Calibri"/>
          <w:b/>
          <w:bCs/>
          <w:lang w:val="pt-BR"/>
        </w:rPr>
        <w:t xml:space="preserve"/>
      </w:r>
      <w:r w:rsidR="0039384B" w:rsidRPr="00E533E1">
        <w:rPr>
          <w:rFonts w:cs="Calibri"/>
          <w:b/>
          <w:bCs/>
          <w:lang w:val="pt-BR"/>
        </w:rPr>
        <w:t xml:space="preserve"/>
      </w:r>
      <w:r>
        <w:rPr>
          <w:rFonts w:cs="Calibri"/>
          <w:lang w:val="pt-BR"/>
        </w:rPr>
        <w:t xml:space="preserve"/>
      </w:r>
    </w:p>
    <w:p w:rsidR="002C1924" w:rsidRPr="000C22A4" w:rsidRDefault="002C1924" w:rsidP="002C1924">
      <w:pPr>
        <w:spacing w:line="300" w:lineRule="auto"/>
        <w:ind w:firstLine="1418"/>
        <w:jc w:val="both"/>
        <w:rPr>
          <w:rFonts w:cs="Calibri"/>
          <w:lang w:val="pt-BR"/>
        </w:rPr>
      </w:pPr>
    </w:p>
    <w:p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rsidR="000C22A4" w:rsidRPr="000C22A4" w:rsidRDefault="000C22A4" w:rsidP="000C22A4">
      <w:pPr>
        <w:spacing w:line="300" w:lineRule="auto"/>
        <w:ind w:firstLine="1418"/>
        <w:jc w:val="both"/>
        <w:rPr>
          <w:rFonts w:cs="Calibri"/>
          <w:lang w:val="pt-BR"/>
        </w:rPr>
      </w:pPr>
    </w:p>
    <w:p w:rsidR="000C22A4" w:rsidRPr="000C22A4" w:rsidRDefault="004E231D" w:rsidP="000C22A4">
      <w:pPr>
        <w:spacing w:line="300" w:lineRule="auto"/>
        <w:ind w:firstLine="1418"/>
        <w:jc w:val="both"/>
        <w:rPr>
          <w:rFonts w:cs="Calibri"/>
          <w:lang w:val="pt-BR"/>
        </w:rPr>
      </w:pPr>
      <w:r>
        <w:rPr>
          <w:rFonts w:cs="Calibri"/>
          <w:lang w:val="pt-BR"/>
        </w:rPr>
        <w:t xml:space="preserve">{{cidade_peticao}}, {{data_peticao}}.</w:t>
      </w:r>
      <w:r w:rsidR="00A21B4C">
        <w:rPr>
          <w:rFonts w:cs="Calibri"/>
          <w:lang w:val="pt-BR"/>
        </w:rPr>
        <w:t xml:space="preserve"/>
      </w:r>
      <w:r>
        <w:rPr>
          <w:rFonts w:cs="Calibri"/>
          <w:lang w:val="pt-BR"/>
        </w:rPr>
        <w:t xml:space="preserve"/>
      </w:r>
      <w:r w:rsidR="00572080">
        <w:rPr>
          <w:rFonts w:cs="Calibri"/>
          <w:lang w:val="pt-BR"/>
        </w:rPr>
        <w:t xml:space="preserve"/>
      </w:r>
      <w:r w:rsidR="000C22A4" w:rsidRPr="000C22A4">
        <w:rPr>
          <w:rFonts w:cs="Calibri"/>
          <w:lang w:val="pt-BR"/>
        </w:rPr>
        <w:t xml:space="preserve"/>
      </w:r>
      <w:r w:rsidR="002C1924">
        <w:rPr>
          <w:rFonts w:cs="Calibri"/>
          <w:lang w:val="pt-BR"/>
        </w:rPr>
        <w:t xml:space="preserve"/>
      </w:r>
      <w:r w:rsidR="003B0ACD">
        <w:rPr>
          <w:rFonts w:cs="Calibri"/>
          <w:lang w:val="pt-BR"/>
        </w:rPr>
        <w:t xml:space="preserve"/>
      </w:r>
      <w:r w:rsidR="000C22A4" w:rsidRPr="000C22A4">
        <w:rPr>
          <w:rFonts w:cs="Calibri"/>
          <w:lang w:val="pt-BR"/>
        </w:rPr>
        <w:t xml:space="preserve"/>
      </w:r>
      <w:r w:rsidR="00701D15">
        <w:rPr>
          <w:rFonts w:cs="Calibri"/>
          <w:lang w:val="pt-BR"/>
        </w:rPr>
        <w:t xml:space="preserve"/>
      </w:r>
      <w:r w:rsidR="000C4D61">
        <w:rPr>
          <w:rFonts w:cs="Calibri"/>
          <w:lang w:val="pt-BR"/>
        </w:rPr>
        <w:t xml:space="preserve"/>
      </w:r>
      <w:r w:rsidR="00C8607B">
        <w:rPr>
          <w:rFonts w:cs="Calibri"/>
          <w:lang w:val="pt-BR"/>
        </w:rPr>
        <w:t xml:space="preserve"/>
      </w:r>
      <w:r w:rsidR="000C4D61">
        <w:rPr>
          <w:rFonts w:cs="Calibri"/>
          <w:lang w:val="pt-BR"/>
        </w:rPr>
        <w:t xml:space="preserve"/>
      </w:r>
      <w:r w:rsidR="000C22A4" w:rsidRPr="000C22A4">
        <w:rPr>
          <w:rFonts w:cs="Calibri"/>
          <w:lang w:val="pt-BR"/>
        </w:rPr>
        <w:t xml:space="preserve"/>
      </w:r>
      <w:r w:rsidR="00804BE9">
        <w:rPr>
          <w:rFonts w:cs="Calibri"/>
          <w:lang w:val="pt-BR"/>
        </w:rPr>
        <w:t xml:space="preserve"/>
      </w:r>
    </w:p>
    <w:p w:rsidR="000C22A4" w:rsidRDefault="000C22A4" w:rsidP="000C22A4">
      <w:pPr>
        <w:spacing w:line="300" w:lineRule="auto"/>
        <w:jc w:val="both"/>
        <w:rPr>
          <w:rFonts w:cs="Calibri"/>
          <w:color w:val="FF0000"/>
          <w:lang w:val="pt-BR"/>
        </w:rPr>
      </w:pPr>
    </w:p>
    <w:p w:rsidR="005213E6" w:rsidRPr="000C22A4" w:rsidRDefault="005213E6" w:rsidP="000C22A4">
      <w:pPr>
        <w:spacing w:line="300" w:lineRule="auto"/>
        <w:jc w:val="both"/>
        <w:rPr>
          <w:rFonts w:cs="Calibri"/>
          <w:color w:val="FF0000"/>
          <w:lang w:val="pt-BR"/>
        </w:rPr>
      </w:pPr>
    </w:p>
    <w:p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rsidR="000C22A4" w:rsidRDefault="000C22A4" w:rsidP="000C22A4">
      <w:pPr>
        <w:spacing w:line="300" w:lineRule="auto"/>
        <w:jc w:val="center"/>
        <w:rPr>
          <w:rFonts w:cs="Calibri"/>
          <w:b/>
          <w:lang w:val="pt-BR"/>
        </w:rPr>
      </w:pPr>
      <w:r w:rsidRPr="000C22A4">
        <w:rPr>
          <w:rFonts w:cs="Calibri"/>
          <w:b/>
          <w:lang w:val="pt-BR"/>
        </w:rPr>
        <w:t>OAB/AM 7.526</w:t>
      </w:r>
      <w:bookmarkEnd w:id="2"/>
    </w:p>
    <w:p w:rsidR="000C4D61" w:rsidRDefault="000C4D61" w:rsidP="000C22A4">
      <w:pPr>
        <w:spacing w:line="300" w:lineRule="auto"/>
        <w:jc w:val="center"/>
        <w:rPr>
          <w:rFonts w:cs="Calibri"/>
          <w:b/>
          <w:lang w:val="pt-BR"/>
        </w:rPr>
      </w:pPr>
    </w:p>
    <w:p w:rsidR="005213E6" w:rsidRDefault="005213E6" w:rsidP="000C4D61">
      <w:pPr>
        <w:spacing w:line="300" w:lineRule="auto"/>
        <w:jc w:val="center"/>
        <w:rPr>
          <w:rFonts w:cs="Calibri"/>
          <w:b/>
          <w:lang w:val="pt-BR"/>
        </w:rPr>
      </w:pPr>
    </w:p>
    <w:p w:rsidR="000C4D61" w:rsidRDefault="000C4D61" w:rsidP="000C4D61">
      <w:pPr>
        <w:spacing w:line="300" w:lineRule="auto"/>
        <w:jc w:val="center"/>
        <w:rPr>
          <w:rFonts w:cs="Calibri"/>
          <w:b/>
          <w:lang w:val="pt-BR"/>
        </w:rPr>
      </w:pPr>
      <w:r>
        <w:rPr>
          <w:rFonts w:cs="Calibri"/>
          <w:b/>
          <w:lang w:val="pt-BR"/>
        </w:rPr>
        <w:t xml:space="preserve">{{nome_estagiario}}</w:t>
      </w:r>
      <w:r w:rsidR="003B0ACD">
        <w:rPr>
          <w:rFonts w:cs="Calibri"/>
          <w:b/>
          <w:lang w:val="pt-BR"/>
        </w:rPr>
        <w:t xml:space="preserve"/>
      </w:r>
      <w:r>
        <w:rPr>
          <w:rFonts w:cs="Calibri"/>
          <w:b/>
          <w:lang w:val="pt-BR"/>
        </w:rPr>
        <w:t xml:space="preserve"/>
      </w:r>
    </w:p>
    <w:p w:rsidR="000C4D61" w:rsidRDefault="002F6D3F" w:rsidP="000C4D61">
      <w:pPr>
        <w:spacing w:line="300" w:lineRule="auto"/>
        <w:jc w:val="center"/>
        <w:rPr>
          <w:rFonts w:cs="Calibri"/>
          <w:b/>
          <w:lang w:val="pt-BR"/>
        </w:rPr>
      </w:pPr>
      <w:r>
        <w:rPr>
          <w:rFonts w:cs="Calibri"/>
          <w:b/>
          <w:lang w:val="pt-BR"/>
        </w:rPr>
        <w:t>Estagiário</w:t>
      </w:r>
      <w:r w:rsidR="005213E6">
        <w:rPr>
          <w:rFonts w:cs="Calibri"/>
          <w:b/>
          <w:lang w:val="pt-BR"/>
        </w:rPr>
        <w:t xml:space="preserve"> de Direito</w:t>
      </w:r>
    </w:p>
    <w:p w:rsidR="00D22305" w:rsidRDefault="00D22305" w:rsidP="00804BE9">
      <w:pPr>
        <w:spacing w:line="300" w:lineRule="auto"/>
        <w:rPr>
          <w:rFonts w:cs="Calibri"/>
          <w:b/>
          <w:lang w:val="pt-BR"/>
        </w:rPr>
      </w:pPr>
    </w:p>
    <w:p w:rsidR="00804BE9" w:rsidRDefault="00804BE9" w:rsidP="00804BE9">
      <w:pPr>
        <w:spacing w:line="300" w:lineRule="auto"/>
        <w:jc w:val="both"/>
        <w:rPr>
          <w:rFonts w:cs="Calibri"/>
          <w:bCs/>
          <w:lang w:val="pt-BR"/>
        </w:rPr>
      </w:pPr>
      <w:r>
        <w:rPr>
          <w:rFonts w:cs="Calibri"/>
          <w:bCs/>
          <w:lang w:val="pt-BR"/>
        </w:rPr>
        <w:t xml:space="preserve">Documentos anexos: </w:t>
      </w:r>
    </w:p>
    <w:p w:rsidR="00804BE9" w:rsidRDefault="00804BE9" w:rsidP="00804BE9">
      <w:pPr>
        <w:spacing w:line="300" w:lineRule="auto"/>
        <w:jc w:val="both"/>
        <w:rPr>
          <w:rFonts w:cs="Calibri"/>
          <w:bCs/>
          <w:lang w:val="pt-BR"/>
        </w:rPr>
      </w:pPr>
    </w:p>
    <w:p w:rsidR="00804BE9" w:rsidRDefault="00804BE9" w:rsidP="00C8607B">
      <w:pPr>
        <w:numPr>
          <w:ilvl w:val="0"/>
          <w:numId w:val="10"/>
        </w:numPr>
        <w:tabs>
          <w:tab w:val="left" w:pos="426"/>
        </w:tabs>
        <w:spacing w:line="300" w:lineRule="auto"/>
        <w:ind w:left="0" w:firstLine="0"/>
        <w:jc w:val="both"/>
        <w:rPr>
          <w:rFonts w:cs="Calibri"/>
          <w:bCs/>
          <w:lang w:val="pt-BR"/>
        </w:rPr>
      </w:pPr>
      <w:r>
        <w:rPr>
          <w:rFonts w:cs="Calibri"/>
          <w:bCs/>
          <w:lang w:val="pt-BR"/>
        </w:rPr>
        <w:t>Instrumento de procuração;</w:t>
      </w:r>
    </w:p>
    <w:p w:rsidR="00804BE9"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Documentos pessoais da parte autora (RG e CPF);</w:t>
      </w:r>
    </w:p>
    <w:p w:rsidR="00583BC3"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Comprovante de residência;</w:t>
      </w:r>
    </w:p>
    <w:p w:rsidR="00583BC3" w:rsidRDefault="00583BC3" w:rsidP="00C8607B">
      <w:pPr>
        <w:numPr>
          <w:ilvl w:val="0"/>
          <w:numId w:val="10"/>
        </w:numPr>
        <w:tabs>
          <w:tab w:val="left" w:pos="426"/>
        </w:tabs>
        <w:spacing w:line="300" w:lineRule="auto"/>
        <w:ind w:left="0" w:firstLine="0"/>
        <w:jc w:val="both"/>
        <w:rPr>
          <w:rFonts w:cs="Calibri"/>
          <w:bCs/>
          <w:lang w:val="pt-BR"/>
        </w:rPr>
      </w:pPr>
      <w:r>
        <w:rPr>
          <w:rFonts w:cs="Calibri"/>
          <w:bCs/>
          <w:lang w:val="pt-BR"/>
        </w:rPr>
        <w:t>Declaração de hipossuficiência;</w:t>
      </w:r>
    </w:p>
    <w:p w:rsidR="00422F23" w:rsidRPr="003B0ACD" w:rsidRDefault="00572080" w:rsidP="003B0ACD">
      <w:pPr>
        <w:numPr>
          <w:ilvl w:val="0"/>
          <w:numId w:val="10"/>
        </w:numPr>
        <w:tabs>
          <w:tab w:val="left" w:pos="426"/>
        </w:tabs>
        <w:spacing w:line="300" w:lineRule="auto"/>
        <w:ind w:left="0" w:firstLine="0"/>
        <w:jc w:val="both"/>
        <w:rPr>
          <w:rFonts w:cs="Calibri"/>
          <w:bCs/>
          <w:lang w:val="pt-BR"/>
        </w:rPr>
      </w:pPr>
      <w:r>
        <w:rPr>
          <w:rFonts w:cs="Calibri"/>
          <w:bCs/>
          <w:lang w:val="pt-BR"/>
        </w:rPr>
        <w:t xml:space="preserve">Cópia do contrato de empréstimo {{numero_contrato}};</w:t>
      </w:r>
      <w:r w:rsidR="00583BC3" w:rsidRPr="00A375D6">
        <w:rPr>
          <w:rFonts w:cs="Calibri"/>
          <w:bCs/>
          <w:lang w:val="pt-BR"/>
        </w:rPr>
        <w:t xml:space="preserve"/>
      </w:r>
      <w:r w:rsidR="002C1924">
        <w:rPr>
          <w:rFonts w:cs="Calibri"/>
          <w:bCs/>
          <w:lang w:val="pt-BR"/>
        </w:rPr>
        <w:t xml:space="preserve"/>
      </w:r>
      <w:r w:rsidR="007F163E" w:rsidRPr="002C1924">
        <w:rPr>
          <w:rFonts w:cs="Calibri"/>
          <w:bCs/>
          <w:lang w:val="pt-BR"/>
        </w:rPr>
        <w:t xml:space="preserve"/>
      </w:r>
      <w:r w:rsidR="0039384B">
        <w:rPr>
          <w:rFonts w:cs="Calibri"/>
          <w:bCs/>
          <w:lang w:val="pt-BR"/>
        </w:rPr>
        <w:t xml:space="preserve"/>
      </w:r>
      <w:r w:rsidR="002C1924">
        <w:rPr>
          <w:rFonts w:cs="Calibri"/>
          <w:bCs/>
          <w:lang w:val="pt-BR"/>
        </w:rPr>
        <w:t xml:space="preserve"/>
      </w:r>
    </w:p>
    <w:sectPr w:rsidR="00422F23" w:rsidRPr="003B0ACD"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3E5E" w:rsidRDefault="00D33E5E" w:rsidP="001736FB">
      <w:pPr>
        <w:spacing w:line="240" w:lineRule="auto"/>
      </w:pPr>
      <w:r>
        <w:separator/>
      </w:r>
    </w:p>
  </w:endnote>
  <w:endnote w:type="continuationSeparator" w:id="0">
    <w:p w:rsidR="00D33E5E" w:rsidRDefault="00D33E5E" w:rsidP="001736FB">
      <w:pPr>
        <w:spacing w:line="240" w:lineRule="auto"/>
      </w:pPr>
      <w:r>
        <w:continuationSeparator/>
      </w:r>
    </w:p>
  </w:endnote>
  <w:endnote w:type="continuationNotice" w:id="1">
    <w:p w:rsidR="00D33E5E" w:rsidRDefault="00D33E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3D5" w:rsidRDefault="006C13D5">
    <w:pPr>
      <w:pStyle w:val="Footer"/>
    </w:pPr>
  </w:p>
  <w:p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rsidR="004415FF" w:rsidRPr="00916062" w:rsidRDefault="004415FF" w:rsidP="004415FF">
    <w:pPr>
      <w:pStyle w:val="Footer"/>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3E5E" w:rsidRDefault="00D33E5E" w:rsidP="001736FB">
      <w:pPr>
        <w:spacing w:line="240" w:lineRule="auto"/>
      </w:pPr>
      <w:r>
        <w:separator/>
      </w:r>
    </w:p>
  </w:footnote>
  <w:footnote w:type="continuationSeparator" w:id="0">
    <w:p w:rsidR="00D33E5E" w:rsidRDefault="00D33E5E" w:rsidP="001736FB">
      <w:pPr>
        <w:spacing w:line="240" w:lineRule="auto"/>
      </w:pPr>
      <w:r>
        <w:continuationSeparator/>
      </w:r>
    </w:p>
  </w:footnote>
  <w:footnote w:type="continuationNotice" w:id="1">
    <w:p w:rsidR="00D33E5E" w:rsidRDefault="00D33E5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C13D5" w:rsidRDefault="00505335" w:rsidP="00505335">
    <w:pPr>
      <w:pStyle w:val="Header"/>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8FC3621"/>
    <w:multiLevelType w:val="hybridMultilevel"/>
    <w:tmpl w:val="5A1AF86E"/>
    <w:lvl w:ilvl="0" w:tplc="C41E63C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abstractNumId w:val="12"/>
  </w:num>
  <w:num w:numId="2">
    <w:abstractNumId w:val="2"/>
  </w:num>
  <w:num w:numId="3">
    <w:abstractNumId w:val="14"/>
  </w:num>
  <w:num w:numId="4">
    <w:abstractNumId w:val="1"/>
  </w:num>
  <w:num w:numId="5">
    <w:abstractNumId w:val="10"/>
  </w:num>
  <w:num w:numId="6">
    <w:abstractNumId w:val="5"/>
  </w:num>
  <w:num w:numId="7">
    <w:abstractNumId w:val="6"/>
  </w:num>
  <w:num w:numId="8">
    <w:abstractNumId w:val="11"/>
  </w:num>
  <w:num w:numId="9">
    <w:abstractNumId w:val="9"/>
  </w:num>
  <w:num w:numId="10">
    <w:abstractNumId w:val="7"/>
  </w:num>
  <w:num w:numId="11">
    <w:abstractNumId w:val="3"/>
  </w:num>
  <w:num w:numId="12">
    <w:abstractNumId w:val="8"/>
  </w:num>
  <w:num w:numId="13">
    <w:abstractNumId w:val="4"/>
  </w:num>
  <w:num w:numId="1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3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174C5"/>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FE2"/>
    <w:rsid w:val="00073078"/>
    <w:rsid w:val="00073F8C"/>
    <w:rsid w:val="00076937"/>
    <w:rsid w:val="00076966"/>
    <w:rsid w:val="00081114"/>
    <w:rsid w:val="00082686"/>
    <w:rsid w:val="00082F46"/>
    <w:rsid w:val="00085828"/>
    <w:rsid w:val="00090CB6"/>
    <w:rsid w:val="00093547"/>
    <w:rsid w:val="000954A1"/>
    <w:rsid w:val="000A00C4"/>
    <w:rsid w:val="000A482C"/>
    <w:rsid w:val="000A5281"/>
    <w:rsid w:val="000B12AE"/>
    <w:rsid w:val="000C045B"/>
    <w:rsid w:val="000C1FB5"/>
    <w:rsid w:val="000C22A4"/>
    <w:rsid w:val="000C3A8C"/>
    <w:rsid w:val="000C4D61"/>
    <w:rsid w:val="000C671A"/>
    <w:rsid w:val="000C6940"/>
    <w:rsid w:val="000E0571"/>
    <w:rsid w:val="000E1D63"/>
    <w:rsid w:val="000E3612"/>
    <w:rsid w:val="000F084A"/>
    <w:rsid w:val="000F2FBF"/>
    <w:rsid w:val="000F3D5E"/>
    <w:rsid w:val="000F589C"/>
    <w:rsid w:val="00104925"/>
    <w:rsid w:val="0010746A"/>
    <w:rsid w:val="00110E0D"/>
    <w:rsid w:val="00111B7B"/>
    <w:rsid w:val="0012121B"/>
    <w:rsid w:val="001212B3"/>
    <w:rsid w:val="0012281D"/>
    <w:rsid w:val="0012496B"/>
    <w:rsid w:val="0012722F"/>
    <w:rsid w:val="001320B2"/>
    <w:rsid w:val="0013730A"/>
    <w:rsid w:val="0013756D"/>
    <w:rsid w:val="0014572C"/>
    <w:rsid w:val="00152F28"/>
    <w:rsid w:val="00153245"/>
    <w:rsid w:val="00153C7D"/>
    <w:rsid w:val="00156D4A"/>
    <w:rsid w:val="00164850"/>
    <w:rsid w:val="0017061E"/>
    <w:rsid w:val="00171AAC"/>
    <w:rsid w:val="001736FB"/>
    <w:rsid w:val="001746B7"/>
    <w:rsid w:val="001755E7"/>
    <w:rsid w:val="0018076E"/>
    <w:rsid w:val="00187EED"/>
    <w:rsid w:val="00193468"/>
    <w:rsid w:val="00195AD1"/>
    <w:rsid w:val="00195E92"/>
    <w:rsid w:val="00196695"/>
    <w:rsid w:val="001A74A7"/>
    <w:rsid w:val="001B20C8"/>
    <w:rsid w:val="001B7485"/>
    <w:rsid w:val="001C09B0"/>
    <w:rsid w:val="001C2AFD"/>
    <w:rsid w:val="001C5A72"/>
    <w:rsid w:val="001D1288"/>
    <w:rsid w:val="001D184B"/>
    <w:rsid w:val="001E07E2"/>
    <w:rsid w:val="001E2583"/>
    <w:rsid w:val="001E2F39"/>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53AA"/>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947BD"/>
    <w:rsid w:val="002A007E"/>
    <w:rsid w:val="002A0992"/>
    <w:rsid w:val="002A1C7C"/>
    <w:rsid w:val="002A34C1"/>
    <w:rsid w:val="002A4A9B"/>
    <w:rsid w:val="002A4BEC"/>
    <w:rsid w:val="002B2F2E"/>
    <w:rsid w:val="002B45E9"/>
    <w:rsid w:val="002B5ED5"/>
    <w:rsid w:val="002B7409"/>
    <w:rsid w:val="002C0339"/>
    <w:rsid w:val="002C08D7"/>
    <w:rsid w:val="002C1924"/>
    <w:rsid w:val="002D0405"/>
    <w:rsid w:val="002D3022"/>
    <w:rsid w:val="002D473B"/>
    <w:rsid w:val="002D5672"/>
    <w:rsid w:val="002D5B52"/>
    <w:rsid w:val="002D76CB"/>
    <w:rsid w:val="002D7BCF"/>
    <w:rsid w:val="002D7D41"/>
    <w:rsid w:val="002E33FA"/>
    <w:rsid w:val="002E3516"/>
    <w:rsid w:val="002E6287"/>
    <w:rsid w:val="002E64B9"/>
    <w:rsid w:val="002E68BE"/>
    <w:rsid w:val="002F100D"/>
    <w:rsid w:val="002F4842"/>
    <w:rsid w:val="002F48D1"/>
    <w:rsid w:val="002F51F3"/>
    <w:rsid w:val="002F6D3F"/>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CF2"/>
    <w:rsid w:val="0037586D"/>
    <w:rsid w:val="0038773C"/>
    <w:rsid w:val="003877EF"/>
    <w:rsid w:val="00390404"/>
    <w:rsid w:val="003920C9"/>
    <w:rsid w:val="0039384B"/>
    <w:rsid w:val="003954A4"/>
    <w:rsid w:val="003966FA"/>
    <w:rsid w:val="0039779F"/>
    <w:rsid w:val="003A0A78"/>
    <w:rsid w:val="003A357F"/>
    <w:rsid w:val="003A3EAA"/>
    <w:rsid w:val="003A40C4"/>
    <w:rsid w:val="003A4DA2"/>
    <w:rsid w:val="003B0ACD"/>
    <w:rsid w:val="003B13D0"/>
    <w:rsid w:val="003B503A"/>
    <w:rsid w:val="003B5940"/>
    <w:rsid w:val="003C216A"/>
    <w:rsid w:val="003C30D0"/>
    <w:rsid w:val="003C5FBA"/>
    <w:rsid w:val="003D0D18"/>
    <w:rsid w:val="003D16B7"/>
    <w:rsid w:val="003D1E27"/>
    <w:rsid w:val="003D7694"/>
    <w:rsid w:val="003E1232"/>
    <w:rsid w:val="003E3F89"/>
    <w:rsid w:val="003F3AB6"/>
    <w:rsid w:val="003F6656"/>
    <w:rsid w:val="00403D36"/>
    <w:rsid w:val="00406052"/>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876AB"/>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31D"/>
    <w:rsid w:val="004E2D8A"/>
    <w:rsid w:val="004E388B"/>
    <w:rsid w:val="004E4AF8"/>
    <w:rsid w:val="004E522F"/>
    <w:rsid w:val="004E7396"/>
    <w:rsid w:val="004F10A8"/>
    <w:rsid w:val="004F188F"/>
    <w:rsid w:val="004F1E06"/>
    <w:rsid w:val="004F31DA"/>
    <w:rsid w:val="004F5612"/>
    <w:rsid w:val="005007AF"/>
    <w:rsid w:val="00501771"/>
    <w:rsid w:val="0050275E"/>
    <w:rsid w:val="005049C0"/>
    <w:rsid w:val="00505335"/>
    <w:rsid w:val="005073B8"/>
    <w:rsid w:val="0051016A"/>
    <w:rsid w:val="00513674"/>
    <w:rsid w:val="005201C5"/>
    <w:rsid w:val="005211E7"/>
    <w:rsid w:val="005213E6"/>
    <w:rsid w:val="00522142"/>
    <w:rsid w:val="0052423F"/>
    <w:rsid w:val="0053419A"/>
    <w:rsid w:val="005360E8"/>
    <w:rsid w:val="005411AC"/>
    <w:rsid w:val="00541554"/>
    <w:rsid w:val="00541850"/>
    <w:rsid w:val="005420A6"/>
    <w:rsid w:val="00546695"/>
    <w:rsid w:val="00550237"/>
    <w:rsid w:val="005528C2"/>
    <w:rsid w:val="00552B0C"/>
    <w:rsid w:val="00553139"/>
    <w:rsid w:val="00554CC1"/>
    <w:rsid w:val="00557C87"/>
    <w:rsid w:val="0056587D"/>
    <w:rsid w:val="005667E3"/>
    <w:rsid w:val="00572080"/>
    <w:rsid w:val="005728FE"/>
    <w:rsid w:val="0057338A"/>
    <w:rsid w:val="00577F09"/>
    <w:rsid w:val="00583BC3"/>
    <w:rsid w:val="00584CD3"/>
    <w:rsid w:val="0059007E"/>
    <w:rsid w:val="00590FED"/>
    <w:rsid w:val="00591867"/>
    <w:rsid w:val="00594F08"/>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5B82"/>
    <w:rsid w:val="00637B91"/>
    <w:rsid w:val="0064288D"/>
    <w:rsid w:val="00647C11"/>
    <w:rsid w:val="00653D67"/>
    <w:rsid w:val="0065434C"/>
    <w:rsid w:val="00656AA9"/>
    <w:rsid w:val="00657F83"/>
    <w:rsid w:val="00660353"/>
    <w:rsid w:val="0066190B"/>
    <w:rsid w:val="00662A48"/>
    <w:rsid w:val="00663F4D"/>
    <w:rsid w:val="00672115"/>
    <w:rsid w:val="00677958"/>
    <w:rsid w:val="006834E4"/>
    <w:rsid w:val="006834F6"/>
    <w:rsid w:val="00685F9F"/>
    <w:rsid w:val="0069688F"/>
    <w:rsid w:val="006A7265"/>
    <w:rsid w:val="006B7E6E"/>
    <w:rsid w:val="006C02CE"/>
    <w:rsid w:val="006C13D5"/>
    <w:rsid w:val="006C46ED"/>
    <w:rsid w:val="006C670C"/>
    <w:rsid w:val="006C6EA5"/>
    <w:rsid w:val="006C74F2"/>
    <w:rsid w:val="006D0AF9"/>
    <w:rsid w:val="006D1372"/>
    <w:rsid w:val="006D1DA8"/>
    <w:rsid w:val="006D342A"/>
    <w:rsid w:val="006D4CE8"/>
    <w:rsid w:val="006E07D5"/>
    <w:rsid w:val="006E2272"/>
    <w:rsid w:val="006E5677"/>
    <w:rsid w:val="006E61ED"/>
    <w:rsid w:val="006F021C"/>
    <w:rsid w:val="006F1B12"/>
    <w:rsid w:val="006F4FA8"/>
    <w:rsid w:val="00701D15"/>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0E3D"/>
    <w:rsid w:val="00797198"/>
    <w:rsid w:val="007A616F"/>
    <w:rsid w:val="007A7A04"/>
    <w:rsid w:val="007B0181"/>
    <w:rsid w:val="007B11FF"/>
    <w:rsid w:val="007B541C"/>
    <w:rsid w:val="007B6A06"/>
    <w:rsid w:val="007B6CB5"/>
    <w:rsid w:val="007B7565"/>
    <w:rsid w:val="007C0A27"/>
    <w:rsid w:val="007C1883"/>
    <w:rsid w:val="007C466F"/>
    <w:rsid w:val="007C5675"/>
    <w:rsid w:val="007D091C"/>
    <w:rsid w:val="007D10EA"/>
    <w:rsid w:val="007D5422"/>
    <w:rsid w:val="007E2DF3"/>
    <w:rsid w:val="007E6294"/>
    <w:rsid w:val="007F163E"/>
    <w:rsid w:val="007F6B44"/>
    <w:rsid w:val="00801C81"/>
    <w:rsid w:val="00804BE9"/>
    <w:rsid w:val="008123E5"/>
    <w:rsid w:val="00813DE2"/>
    <w:rsid w:val="00815359"/>
    <w:rsid w:val="00817F49"/>
    <w:rsid w:val="00820B33"/>
    <w:rsid w:val="0082726C"/>
    <w:rsid w:val="00832527"/>
    <w:rsid w:val="008340DC"/>
    <w:rsid w:val="008402C4"/>
    <w:rsid w:val="00841771"/>
    <w:rsid w:val="00841F54"/>
    <w:rsid w:val="0084273F"/>
    <w:rsid w:val="00847573"/>
    <w:rsid w:val="00847730"/>
    <w:rsid w:val="00851B31"/>
    <w:rsid w:val="008535FA"/>
    <w:rsid w:val="00861056"/>
    <w:rsid w:val="00862A31"/>
    <w:rsid w:val="00862CD4"/>
    <w:rsid w:val="00864686"/>
    <w:rsid w:val="00865DCB"/>
    <w:rsid w:val="00867113"/>
    <w:rsid w:val="0087003D"/>
    <w:rsid w:val="008704FD"/>
    <w:rsid w:val="00870FF0"/>
    <w:rsid w:val="00874A15"/>
    <w:rsid w:val="008753D7"/>
    <w:rsid w:val="00875933"/>
    <w:rsid w:val="0087622E"/>
    <w:rsid w:val="0088072B"/>
    <w:rsid w:val="00881C33"/>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4380"/>
    <w:rsid w:val="008E60A8"/>
    <w:rsid w:val="008E6474"/>
    <w:rsid w:val="008E67D0"/>
    <w:rsid w:val="008F1F44"/>
    <w:rsid w:val="008F7BDF"/>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60F7A"/>
    <w:rsid w:val="009616F3"/>
    <w:rsid w:val="00961A71"/>
    <w:rsid w:val="009621FA"/>
    <w:rsid w:val="0096481F"/>
    <w:rsid w:val="0097044A"/>
    <w:rsid w:val="00974ADB"/>
    <w:rsid w:val="00974CCF"/>
    <w:rsid w:val="00983D50"/>
    <w:rsid w:val="00985A9C"/>
    <w:rsid w:val="009876AD"/>
    <w:rsid w:val="0099163E"/>
    <w:rsid w:val="00992C6E"/>
    <w:rsid w:val="00994F83"/>
    <w:rsid w:val="009A2F1D"/>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1425"/>
    <w:rsid w:val="009E1CFA"/>
    <w:rsid w:val="009E6553"/>
    <w:rsid w:val="009E67BD"/>
    <w:rsid w:val="009F4D24"/>
    <w:rsid w:val="009F7482"/>
    <w:rsid w:val="00A079BC"/>
    <w:rsid w:val="00A07C22"/>
    <w:rsid w:val="00A11124"/>
    <w:rsid w:val="00A126AB"/>
    <w:rsid w:val="00A14383"/>
    <w:rsid w:val="00A1705A"/>
    <w:rsid w:val="00A21B4C"/>
    <w:rsid w:val="00A24777"/>
    <w:rsid w:val="00A26E6C"/>
    <w:rsid w:val="00A35D4C"/>
    <w:rsid w:val="00A375D6"/>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1B"/>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2D6D"/>
    <w:rsid w:val="00B24A56"/>
    <w:rsid w:val="00B25178"/>
    <w:rsid w:val="00B2704F"/>
    <w:rsid w:val="00B2739E"/>
    <w:rsid w:val="00B33CDF"/>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93B1E"/>
    <w:rsid w:val="00BA022D"/>
    <w:rsid w:val="00BA11CF"/>
    <w:rsid w:val="00BA200C"/>
    <w:rsid w:val="00BA7250"/>
    <w:rsid w:val="00BB2CD7"/>
    <w:rsid w:val="00BB39C5"/>
    <w:rsid w:val="00BB45E0"/>
    <w:rsid w:val="00BB4FB4"/>
    <w:rsid w:val="00BB5BBC"/>
    <w:rsid w:val="00BB5D7D"/>
    <w:rsid w:val="00BB6C8A"/>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0B66"/>
    <w:rsid w:val="00C44C00"/>
    <w:rsid w:val="00C45928"/>
    <w:rsid w:val="00C475EE"/>
    <w:rsid w:val="00C50555"/>
    <w:rsid w:val="00C52ADA"/>
    <w:rsid w:val="00C53DC0"/>
    <w:rsid w:val="00C54084"/>
    <w:rsid w:val="00C5409B"/>
    <w:rsid w:val="00C5414F"/>
    <w:rsid w:val="00C5523D"/>
    <w:rsid w:val="00C55B7A"/>
    <w:rsid w:val="00C5693B"/>
    <w:rsid w:val="00C604FD"/>
    <w:rsid w:val="00C60997"/>
    <w:rsid w:val="00C62486"/>
    <w:rsid w:val="00C654AE"/>
    <w:rsid w:val="00C67763"/>
    <w:rsid w:val="00C70515"/>
    <w:rsid w:val="00C72EBB"/>
    <w:rsid w:val="00C743C0"/>
    <w:rsid w:val="00C75165"/>
    <w:rsid w:val="00C80A79"/>
    <w:rsid w:val="00C814CF"/>
    <w:rsid w:val="00C81F6B"/>
    <w:rsid w:val="00C84569"/>
    <w:rsid w:val="00C8607B"/>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3E5E"/>
    <w:rsid w:val="00D347A7"/>
    <w:rsid w:val="00D3654E"/>
    <w:rsid w:val="00D41A43"/>
    <w:rsid w:val="00D4560B"/>
    <w:rsid w:val="00D512F0"/>
    <w:rsid w:val="00D517C9"/>
    <w:rsid w:val="00D63A8E"/>
    <w:rsid w:val="00D646AF"/>
    <w:rsid w:val="00D660BA"/>
    <w:rsid w:val="00D72C75"/>
    <w:rsid w:val="00D77938"/>
    <w:rsid w:val="00D91649"/>
    <w:rsid w:val="00DA5172"/>
    <w:rsid w:val="00DC16AB"/>
    <w:rsid w:val="00DC29B3"/>
    <w:rsid w:val="00DC738F"/>
    <w:rsid w:val="00DC74CD"/>
    <w:rsid w:val="00DC78AA"/>
    <w:rsid w:val="00DD5ABA"/>
    <w:rsid w:val="00DD5E13"/>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33E1"/>
    <w:rsid w:val="00E55357"/>
    <w:rsid w:val="00E55D61"/>
    <w:rsid w:val="00E57DD1"/>
    <w:rsid w:val="00E60516"/>
    <w:rsid w:val="00E65561"/>
    <w:rsid w:val="00E658D2"/>
    <w:rsid w:val="00E660A0"/>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3B89"/>
    <w:rsid w:val="00ED5CC2"/>
    <w:rsid w:val="00ED69B6"/>
    <w:rsid w:val="00EE0117"/>
    <w:rsid w:val="00EF1510"/>
    <w:rsid w:val="00EF3271"/>
    <w:rsid w:val="00F0116D"/>
    <w:rsid w:val="00F0770C"/>
    <w:rsid w:val="00F079A4"/>
    <w:rsid w:val="00F17069"/>
    <w:rsid w:val="00F204F5"/>
    <w:rsid w:val="00F27D07"/>
    <w:rsid w:val="00F3059D"/>
    <w:rsid w:val="00F30EFB"/>
    <w:rsid w:val="00F350E4"/>
    <w:rsid w:val="00F3632D"/>
    <w:rsid w:val="00F37B91"/>
    <w:rsid w:val="00F42248"/>
    <w:rsid w:val="00F43017"/>
    <w:rsid w:val="00F51D8E"/>
    <w:rsid w:val="00F52D9C"/>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10D3"/>
    <w:rsid w:val="00FE21B9"/>
    <w:rsid w:val="00FE268F"/>
    <w:rsid w:val="00FE456B"/>
    <w:rsid w:val="151AF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docId w15:val="{4FF34C22-0547-4C4E-90C0-BDC35945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rPr>
  </w:style>
  <w:style w:type="paragraph" w:styleId="Heading1">
    <w:name w:val="heading 1"/>
    <w:basedOn w:val="Normal"/>
    <w:next w:val="Normal"/>
    <w:link w:val="Heading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Heading2">
    <w:name w:val="heading 2"/>
    <w:basedOn w:val="Normal"/>
    <w:link w:val="Heading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16B7"/>
    <w:rPr>
      <w:rFonts w:ascii="Calibri Light" w:eastAsia="Times New Roman" w:hAnsi="Calibri Light"/>
      <w:b/>
      <w:bCs/>
      <w:color w:val="2E74B5"/>
      <w:sz w:val="28"/>
      <w:szCs w:val="28"/>
    </w:rPr>
  </w:style>
  <w:style w:type="character" w:customStyle="1" w:styleId="Heading2Char">
    <w:name w:val="Heading 2 Char"/>
    <w:link w:val="Heading2"/>
    <w:uiPriority w:val="9"/>
    <w:rsid w:val="003D16B7"/>
    <w:rPr>
      <w:rFonts w:ascii="Times New Roman" w:eastAsia="Times New Roman" w:hAnsi="Times New Roman"/>
      <w:b/>
      <w:bCs/>
      <w:sz w:val="36"/>
      <w:szCs w:val="36"/>
    </w:rPr>
  </w:style>
  <w:style w:type="paragraph" w:styleId="Header">
    <w:name w:val="header"/>
    <w:basedOn w:val="Normal"/>
    <w:link w:val="HeaderChar"/>
    <w:uiPriority w:val="99"/>
    <w:unhideWhenUsed/>
    <w:rsid w:val="001736FB"/>
    <w:pPr>
      <w:tabs>
        <w:tab w:val="center" w:pos="4680"/>
        <w:tab w:val="right" w:pos="9360"/>
      </w:tabs>
      <w:spacing w:line="240" w:lineRule="auto"/>
    </w:pPr>
  </w:style>
  <w:style w:type="character" w:customStyle="1" w:styleId="HeaderChar">
    <w:name w:val="Header Char"/>
    <w:basedOn w:val="DefaultParagraphFont"/>
    <w:link w:val="Header"/>
    <w:uiPriority w:val="99"/>
    <w:rsid w:val="001736FB"/>
  </w:style>
  <w:style w:type="paragraph" w:styleId="Footer">
    <w:name w:val="footer"/>
    <w:basedOn w:val="Normal"/>
    <w:link w:val="FooterChar"/>
    <w:uiPriority w:val="99"/>
    <w:unhideWhenUsed/>
    <w:rsid w:val="001736FB"/>
    <w:pPr>
      <w:tabs>
        <w:tab w:val="center" w:pos="4680"/>
        <w:tab w:val="right" w:pos="9360"/>
      </w:tabs>
      <w:spacing w:line="240" w:lineRule="auto"/>
    </w:pPr>
  </w:style>
  <w:style w:type="character" w:customStyle="1" w:styleId="FooterChar">
    <w:name w:val="Footer Char"/>
    <w:basedOn w:val="DefaultParagraphFont"/>
    <w:link w:val="Footer"/>
    <w:uiPriority w:val="99"/>
    <w:rsid w:val="001736FB"/>
  </w:style>
  <w:style w:type="paragraph" w:styleId="BalloonText">
    <w:name w:val="Balloon Text"/>
    <w:basedOn w:val="Normal"/>
    <w:link w:val="BalloonTextChar"/>
    <w:uiPriority w:val="99"/>
    <w:semiHidden/>
    <w:unhideWhenUsed/>
    <w:rsid w:val="001736FB"/>
    <w:pPr>
      <w:spacing w:line="240" w:lineRule="auto"/>
    </w:pPr>
    <w:rPr>
      <w:rFonts w:ascii="Tahoma" w:hAnsi="Tahoma"/>
      <w:sz w:val="16"/>
      <w:szCs w:val="16"/>
    </w:rPr>
  </w:style>
  <w:style w:type="character" w:customStyle="1" w:styleId="BalloonTextChar">
    <w:name w:val="Balloon Text Char"/>
    <w:link w:val="BalloonText"/>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lang w:val="pt-BR" w:eastAsia="pt-BR"/>
    </w:rPr>
  </w:style>
  <w:style w:type="paragraph" w:customStyle="1" w:styleId="FREE">
    <w:name w:val="FREE"/>
    <w:rsid w:val="00A37C7E"/>
    <w:pPr>
      <w:widowControl w:val="0"/>
      <w:jc w:val="both"/>
    </w:pPr>
    <w:rPr>
      <w:rFonts w:ascii="Arial" w:eastAsia="Times New Roman" w:hAnsi="Arial"/>
      <w:color w:val="000000"/>
      <w:sz w:val="24"/>
      <w:lang w:val="pt-BR" w:eastAsia="pt-BR"/>
    </w:rPr>
  </w:style>
  <w:style w:type="paragraph" w:styleId="BodyText3">
    <w:name w:val="Body Text 3"/>
    <w:basedOn w:val="Normal"/>
    <w:link w:val="BodyText3Char"/>
    <w:rsid w:val="00A37C7E"/>
    <w:pPr>
      <w:spacing w:line="360" w:lineRule="auto"/>
      <w:jc w:val="both"/>
    </w:pPr>
    <w:rPr>
      <w:rFonts w:ascii="Antique Olive" w:eastAsia="Times New Roman" w:hAnsi="Antique Olive"/>
      <w:b/>
      <w:szCs w:val="20"/>
    </w:rPr>
  </w:style>
  <w:style w:type="character" w:customStyle="1" w:styleId="BodyText3Char">
    <w:name w:val="Body Text 3 Char"/>
    <w:link w:val="BodyText3"/>
    <w:rsid w:val="00A37C7E"/>
    <w:rPr>
      <w:rFonts w:ascii="Antique Olive" w:eastAsia="Times New Roman" w:hAnsi="Antique Olive"/>
      <w:b/>
      <w:sz w:val="22"/>
    </w:rPr>
  </w:style>
  <w:style w:type="paragraph" w:styleId="BodyTextIndent">
    <w:name w:val="Body Text Indent"/>
    <w:basedOn w:val="Normal"/>
    <w:link w:val="BodyTextIndentChar"/>
    <w:unhideWhenUsed/>
    <w:rsid w:val="003D16B7"/>
    <w:pPr>
      <w:spacing w:after="120"/>
      <w:ind w:left="283"/>
    </w:pPr>
  </w:style>
  <w:style w:type="character" w:customStyle="1" w:styleId="BodyTextIndentChar">
    <w:name w:val="Body Text Indent Char"/>
    <w:link w:val="BodyTextIndent"/>
    <w:rsid w:val="003D16B7"/>
    <w:rPr>
      <w:sz w:val="22"/>
      <w:szCs w:val="22"/>
      <w:lang w:val="en-US" w:eastAsia="en-US"/>
    </w:rPr>
  </w:style>
  <w:style w:type="paragraph" w:styleId="BodyText">
    <w:name w:val="Body Text"/>
    <w:basedOn w:val="Normal"/>
    <w:link w:val="BodyTextChar"/>
    <w:uiPriority w:val="99"/>
    <w:unhideWhenUsed/>
    <w:rsid w:val="003D16B7"/>
    <w:pPr>
      <w:spacing w:after="120"/>
    </w:pPr>
  </w:style>
  <w:style w:type="character" w:customStyle="1" w:styleId="BodyTextChar">
    <w:name w:val="Body Text Char"/>
    <w:link w:val="BodyText"/>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lang w:val="pt-BR" w:eastAsia="pt-BR"/>
    </w:rPr>
  </w:style>
  <w:style w:type="character" w:customStyle="1" w:styleId="BodyTextIndent2Char">
    <w:name w:val="Body Text Indent 2 Char"/>
    <w:link w:val="BodyTextIndent2"/>
    <w:uiPriority w:val="99"/>
    <w:semiHidden/>
    <w:rsid w:val="003D16B7"/>
    <w:rPr>
      <w:rFonts w:ascii="Times New Roman" w:eastAsia="Times New Roman" w:hAnsi="Times New Roman"/>
    </w:rPr>
  </w:style>
  <w:style w:type="paragraph" w:styleId="BodyTextIndent2">
    <w:name w:val="Body Text Indent 2"/>
    <w:basedOn w:val="Normal"/>
    <w:link w:val="BodyTextIndent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BodyTextIndent3">
    <w:name w:val="Body Text Indent 3"/>
    <w:basedOn w:val="Normal"/>
    <w:link w:val="BodyTextIndent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BodyTextIndent3Char">
    <w:name w:val="Body Text Indent 3 Char"/>
    <w:link w:val="BodyTextIndent3"/>
    <w:uiPriority w:val="99"/>
    <w:rsid w:val="003D16B7"/>
    <w:rPr>
      <w:rFonts w:ascii="Times New Roman" w:eastAsia="Times New Roman" w:hAnsi="Times New Roman"/>
      <w:sz w:val="16"/>
      <w:szCs w:val="16"/>
    </w:rPr>
  </w:style>
  <w:style w:type="paragraph" w:styleId="BodyText2">
    <w:name w:val="Body Text 2"/>
    <w:basedOn w:val="Normal"/>
    <w:link w:val="BodyText2Char"/>
    <w:uiPriority w:val="99"/>
    <w:unhideWhenUsed/>
    <w:rsid w:val="003D16B7"/>
    <w:pPr>
      <w:spacing w:after="120" w:line="480" w:lineRule="auto"/>
    </w:pPr>
    <w:rPr>
      <w:rFonts w:ascii="Times New Roman" w:eastAsia="Times New Roman" w:hAnsi="Times New Roman"/>
      <w:sz w:val="20"/>
      <w:szCs w:val="20"/>
    </w:rPr>
  </w:style>
  <w:style w:type="character" w:customStyle="1" w:styleId="BodyText2Char">
    <w:name w:val="Body Text 2 Char"/>
    <w:link w:val="BodyText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FootnoteText">
    <w:name w:val="footnote text"/>
    <w:basedOn w:val="Normal"/>
    <w:link w:val="FootnoteTextChar"/>
    <w:semiHidden/>
    <w:rsid w:val="003D16B7"/>
    <w:pPr>
      <w:spacing w:line="240" w:lineRule="auto"/>
    </w:pPr>
    <w:rPr>
      <w:rFonts w:ascii="Times New Roman" w:eastAsia="Times New Roman" w:hAnsi="Times New Roman"/>
      <w:sz w:val="20"/>
      <w:szCs w:val="20"/>
    </w:rPr>
  </w:style>
  <w:style w:type="character" w:customStyle="1" w:styleId="FootnoteTextChar">
    <w:name w:val="Footnote Text Char"/>
    <w:link w:val="FootnoteText"/>
    <w:semiHidden/>
    <w:rsid w:val="003D16B7"/>
    <w:rPr>
      <w:rFonts w:ascii="Times New Roman" w:eastAsia="Times New Roman" w:hAnsi="Times New Roman"/>
    </w:rPr>
  </w:style>
  <w:style w:type="character" w:styleId="FootnoteReference">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ListParagraph">
    <w:name w:val="List Paragraph"/>
    <w:basedOn w:val="Normal"/>
    <w:link w:val="ListParagraphChar"/>
    <w:uiPriority w:val="34"/>
    <w:qFormat/>
    <w:rsid w:val="003D16B7"/>
    <w:pPr>
      <w:spacing w:after="160" w:line="259" w:lineRule="auto"/>
      <w:ind w:left="720"/>
      <w:contextualSpacing/>
    </w:pPr>
    <w:rPr>
      <w:lang w:val="pt-BR"/>
    </w:rPr>
  </w:style>
  <w:style w:type="character" w:styleId="Strong">
    <w:name w:val="Strong"/>
    <w:uiPriority w:val="22"/>
    <w:qFormat/>
    <w:rsid w:val="003D16B7"/>
    <w:rPr>
      <w:b/>
      <w:bCs/>
    </w:rPr>
  </w:style>
  <w:style w:type="character" w:styleId="Emphasis">
    <w:name w:val="Emphasis"/>
    <w:uiPriority w:val="20"/>
    <w:qFormat/>
    <w:rsid w:val="003D16B7"/>
    <w:rPr>
      <w:i/>
      <w:iCs/>
    </w:rPr>
  </w:style>
  <w:style w:type="character" w:customStyle="1" w:styleId="apple-converted-space">
    <w:name w:val="apple-converted-space"/>
    <w:basedOn w:val="DefaultParagraphFont"/>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DefaultParagraphFont"/>
    <w:rsid w:val="003D16B7"/>
  </w:style>
  <w:style w:type="character" w:customStyle="1" w:styleId="titulopaginas">
    <w:name w:val="titulo_paginas"/>
    <w:basedOn w:val="DefaultParagraphFont"/>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lang w:val="pt-BR" w:eastAsia="pt-BR"/>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val="pt-BR"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DefaultParagraphFont"/>
    <w:rsid w:val="00685F9F"/>
  </w:style>
  <w:style w:type="table" w:styleId="TableGrid">
    <w:name w:val="Table Grid"/>
    <w:basedOn w:val="Table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lang w:val="pt-BR" w:eastAsia="pt-BR"/>
    </w:rPr>
  </w:style>
  <w:style w:type="character" w:customStyle="1" w:styleId="ListParagraphChar">
    <w:name w:val="List Paragraph Char"/>
    <w:link w:val="ListParagraph"/>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GridTable6Colorful-Accent1">
    <w:name w:val="Grid Table 6 Colorful Accent 1"/>
    <w:basedOn w:val="Table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7257</Words>
  <Characters>41370</Characters>
  <Application>Microsoft Office Word</Application>
  <DocSecurity>4</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48530</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cloudconvert_1</cp:lastModifiedBy>
  <cp:revision>2</cp:revision>
  <cp:lastPrinted>2026-07-17T11:17:00Z</cp:lastPrinted>
  <dcterms:created xsi:type="dcterms:W3CDTF">2026-07-19T18:20:00Z</dcterms:created>
  <dcterms:modified xsi:type="dcterms:W3CDTF">2026-07-19T18:20:00Z</dcterms:modified>
</cp:coreProperties>
</file>