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both"/>
        <w:rPr/>
      </w:pPr>
      <w:r>
        <w:rPr>
          <w:rFonts w:cs="Calibri"/>
          <w:b/>
          <w:lang w:val="pt-BR"/>
        </w:rPr>
        <w:t>EXCELENTÍSSIMO(A) SENHOR(A) DOUTOR(A) JUIZ(A) DE DIREITO DA M.M. ___ VARA CÍVEL E DE ACIDENTES DE TRABALHO DA COMARCA DE MANAUS/AM</w:t>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tabs>
          <w:tab w:val="clear" w:pos="720"/>
          <w:tab w:val="left" w:pos="2694" w:leader="none"/>
        </w:tabs>
        <w:spacing w:lineRule="auto" w:line="300"/>
        <w:ind w:firstLine="1418" w:end="0"/>
        <w:jc w:val="both"/>
        <w:rPr>
          <w:rFonts w:cs="Calibri"/>
          <w:color w:val="FF0000"/>
          <w:lang w:val="pt-BR"/>
        </w:rPr>
      </w:pPr>
      <w:r>
        <w:rPr>
          <w:rFonts w:cs="Calibri"/>
          <w:b/>
          <w:lang w:val="pt-BR"/>
        </w:rPr>
        <w:t xml:space="preserve">{{NOME_COMPLETO}}, </w:t>
      </w:r>
      <w:r>
        <w:rPr>
          <w:rFonts w:cs="Calibri"/>
          <w:lang w:val="pt-BR"/>
        </w:rPr>
        <w:t xml:space="preserve">{{QUALIFICACAO}}, detentor do Registro Geral n° {{RG}}, residente e domiciliado na {{ENDERECO_CLIENTE}}, por seus advogados que esta subscrevem (procuração em anexo), com escritório profissional a Rua Salvador, n° 120, sala 708, 7° andar – Edifício Vieiralves Business, bairro: Adrianópolis, Manaus/AM, Cep: 69.057-040, e-mail: </w:t>
      </w:r>
      <w:hyperlink r:id="rId2">
        <w:r>
          <w:rPr>
            <w:rStyle w:val="Hyperlink"/>
            <w:rFonts w:cs="Calibri"/>
            <w:b/>
            <w:lang w:val="pt-BR"/>
          </w:rPr>
          <w:t>juridico@bentesramos.adv.br</w:t>
        </w:r>
      </w:hyperlink>
      <w:r>
        <w:rPr>
          <w:rFonts w:cs="Calibri"/>
          <w:lang w:val="pt-BR"/>
        </w:rPr>
        <w:t xml:space="preserve"> e </w:t>
      </w:r>
      <w:r>
        <w:rPr>
          <w:rFonts w:cs="Calibri"/>
          <w:b/>
          <w:bCs/>
          <w:lang w:val="pt-BR"/>
        </w:rPr>
        <w:t>WhatsApp (92) 99160-4348 / 98223-7330</w:t>
      </w:r>
      <w:r>
        <w:rPr>
          <w:rFonts w:cs="Calibri"/>
          <w:lang w:val="pt-BR"/>
        </w:rPr>
        <w:t>, onde recebem intimações e demais atos processuais, vem, respeitosamente, a presença de Vossa Excelência, propor a presente</w:t>
      </w:r>
    </w:p>
    <w:p>
      <w:pPr>
        <w:pStyle w:val="Normal"/>
        <w:spacing w:lineRule="auto" w:line="300"/>
        <w:ind w:firstLine="2977" w:end="0"/>
        <w:jc w:val="both"/>
        <w:rPr>
          <w:rFonts w:cs="Calibri"/>
          <w:color w:val="FF0000"/>
          <w:lang w:val="pt-BR"/>
        </w:rPr>
      </w:pPr>
      <w:r>
        <w:rPr>
          <w:rFonts w:cs="Calibri"/>
          <w:color w:val="FF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pPr>
      <w:r>
        <w:rPr>
          <w:rFonts w:cs="Calibri"/>
          <w:b/>
          <w:lang w:val="pt-BR"/>
        </w:rPr>
        <w:t xml:space="preserve">AÇÃO DE REVISÃO DE CONTRATO DE EMPRÉSTIMO C/C PEDIDO DE NULIDADE DE CLÁSULAS CONTRATUAIS ABUSIVAS C/C REPETIÇÃO DO INDÉBITO C/C INDENIZAÇÃO POR DANOS MORAIS </w:t>
      </w:r>
    </w:p>
    <w:p>
      <w:pPr>
        <w:pStyle w:val="Normal"/>
        <w:spacing w:lineRule="auto" w:line="300"/>
        <w:jc w:val="both"/>
        <w:rPr>
          <w:rFonts w:cs="Calibri"/>
          <w:b/>
          <w:lang w:val="pt-BR"/>
        </w:rPr>
      </w:pPr>
      <w:r>
        <w:rPr>
          <w:rFonts w:cs="Calibri"/>
          <w:b/>
          <w:lang w:val="pt-BR"/>
        </w:rPr>
      </w:r>
    </w:p>
    <w:p>
      <w:pPr>
        <w:pStyle w:val="Normal"/>
        <w:spacing w:lineRule="auto" w:line="300"/>
        <w:jc w:val="both"/>
        <w:rPr/>
      </w:pPr>
      <w:r>
        <w:rPr>
          <w:rFonts w:eastAsia="Times New Roman" w:cs="Calibri"/>
          <w:lang w:val="pt-BR" w:eastAsia="pt-BR"/>
        </w:rPr>
        <w:t xml:space="preserve">em face de </w:t>
      </w:r>
      <w:r>
        <w:rPr>
          <w:rFonts w:cs="Calibri"/>
          <w:b/>
          <w:lang w:val="pt-BR"/>
        </w:rPr>
        <w:t>{{REU_NOME}}</w:t>
      </w:r>
      <w:r>
        <w:rPr>
          <w:rFonts w:cs="Calibri"/>
          <w:lang w:val="pt-BR"/>
        </w:rPr>
        <w:t>, instituição financeira inscrita no CNPJ sob o nº {{REU_CNPJ}}, com sede à {{REU_ENDERECO}}, pelos fatos e fundamentos a seguir expostos:</w:t>
      </w:r>
    </w:p>
    <w:p>
      <w:pPr>
        <w:pStyle w:val="Normal"/>
        <w:spacing w:lineRule="auto" w:line="300"/>
        <w:jc w:val="both"/>
        <w:rPr>
          <w:rFonts w:eastAsia="Times New Roman" w:cs="Calibri"/>
          <w:lang w:val="pt-BR" w:eastAsia="pt-BR"/>
        </w:rPr>
      </w:pPr>
      <w:r>
        <w:rPr>
          <w:rFonts w:eastAsia="Times New Roman" w:cs="Calibri"/>
          <w:lang w:val="pt-BR" w:eastAsia="pt-BR"/>
        </w:rPr>
      </w:r>
    </w:p>
    <w:p>
      <w:pPr>
        <w:pStyle w:val="PargrafodaLista"/>
        <w:numPr>
          <w:ilvl w:val="0"/>
          <w:numId w:val="5"/>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hanging="142" w:start="142" w:end="0"/>
        <w:contextualSpacing/>
        <w:jc w:val="center"/>
        <w:rPr>
          <w:rFonts w:cs="Calibri"/>
          <w:b/>
        </w:rPr>
      </w:pPr>
      <w:r>
        <w:rPr>
          <w:rFonts w:cs="Calibri"/>
          <w:b/>
        </w:rPr>
        <w:t>– DOS REQUERIMENTOS PRÉVIOS</w:t>
      </w:r>
    </w:p>
    <w:p>
      <w:pPr>
        <w:pStyle w:val="Normal"/>
        <w:tabs>
          <w:tab w:val="clear" w:pos="720"/>
          <w:tab w:val="left" w:pos="2694" w:leader="none"/>
        </w:tabs>
        <w:spacing w:lineRule="auto" w:line="30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1.1 - DA CONCESSÃO DO BENEFÍCIO DA JUSTIÇA GRATUITA</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rFonts w:cs="Calibri"/>
          <w:b/>
          <w:bCs/>
          <w:sz w:val="20"/>
          <w:szCs w:val="20"/>
          <w:lang w:val="pt-BR"/>
        </w:rPr>
      </w:pPr>
      <w:r>
        <w:rPr>
          <w:rFonts w:cs="Calibri"/>
          <w:b/>
          <w:bCs/>
          <w:sz w:val="20"/>
          <w:szCs w:val="20"/>
          <w:lang w:val="pt-BR"/>
        </w:rPr>
        <w:t>CAPÍTULO III – DA DEFESA DO CONSUMIDOR</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b/>
          <w:bCs/>
          <w:sz w:val="20"/>
          <w:szCs w:val="20"/>
          <w:lang w:val="pt-BR"/>
        </w:rPr>
        <w:t>I – assistência jurídica, integral e gratuita para o consumidor</w:t>
      </w:r>
      <w:r>
        <w:rPr>
          <w:rFonts w:cs="Calibri"/>
          <w:sz w:val="20"/>
          <w:szCs w:val="20"/>
          <w:lang w:val="pt-BR"/>
        </w:rPr>
        <w:t>; (grifo nosso)</w:t>
      </w:r>
    </w:p>
    <w:p>
      <w:pPr>
        <w:pStyle w:val="Normal"/>
        <w:spacing w:lineRule="auto" w:line="300"/>
        <w:ind w:firstLine="1418" w:end="0"/>
        <w:jc w:val="both"/>
        <w:rPr>
          <w:rFonts w:cs="Calibri"/>
          <w:sz w:val="20"/>
          <w:szCs w:val="20"/>
          <w:lang w:val="pt-BR"/>
        </w:rPr>
      </w:pPr>
      <w:r>
        <w:rPr>
          <w:rFonts w:cs="Calibri"/>
          <w:sz w:val="20"/>
          <w:szCs w:val="20"/>
          <w:lang w:val="pt-BR"/>
        </w:rPr>
      </w:r>
    </w:p>
    <w:p>
      <w:pPr>
        <w:pStyle w:val="BlockQuote"/>
        <w:spacing w:lineRule="auto" w:line="300" w:before="0" w:after="0"/>
        <w:ind w:firstLine="1418" w:end="0"/>
        <w:jc w:val="both"/>
        <w:rPr>
          <w:rFonts w:eastAsia="Calibri" w:cs="Calibri"/>
          <w:bCs w:val="false"/>
          <w:sz w:val="22"/>
          <w:szCs w:val="22"/>
          <w:lang w:val="pt-BR"/>
        </w:rPr>
      </w:pPr>
      <w:r>
        <w:rPr>
          <w:rFonts w:eastAsia="Calibri" w:cs="Calibri"/>
          <w:bCs w:val="false"/>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pPr>
        <w:pStyle w:val="Normal"/>
        <w:spacing w:lineRule="auto" w:line="300"/>
        <w:rPr>
          <w:rFonts w:eastAsia="Calibri" w:cs="Calibri"/>
          <w:bCs/>
          <w:sz w:val="22"/>
          <w:szCs w:val="22"/>
          <w:lang w:val="pt-BR"/>
        </w:rPr>
      </w:pPr>
      <w:r>
        <w:rPr>
          <w:rFonts w:eastAsia="Calibri" w:cs="Calibri"/>
          <w:bCs/>
          <w:sz w:val="22"/>
          <w:szCs w:val="22"/>
          <w:lang w:val="pt-BR"/>
        </w:rPr>
      </w:r>
    </w:p>
    <w:p>
      <w:pPr>
        <w:pStyle w:val="Normal"/>
        <w:spacing w:lineRule="auto" w:line="300"/>
        <w:ind w:firstLine="1418" w:end="0"/>
        <w:jc w:val="both"/>
        <w:rPr/>
      </w:pPr>
      <w:r>
        <w:rPr>
          <w:rFonts w:cs="Calibri"/>
          <w:lang w:val="pt-BR"/>
        </w:rPr>
        <w:t>Ressalte-se, ainda, que o simples fato de a parte estar representada por advogado particular não afasta o direito à gratuidade (art. 99, §4º, do CPC), entendimento já pacificado na jurisprudência.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pPr>
        <w:pStyle w:val="Normal"/>
        <w:spacing w:lineRule="auto" w:line="300"/>
        <w:ind w:firstLine="198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1.2 - DA DECLARAÇÃO DE AUTENTICIDADE DOS DOCUMENTOS JUNTADOS</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1.3 – DA AUDIÊNCIA DE CONCILIAÇÃO E OPÇÃO PELO JUÍZO 100% DIGITAL</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Para o encaminhamento do link de acesso e comunicações operacionais, indica-se o e-mail: </w:t>
      </w:r>
      <w:hyperlink r:id="rId3">
        <w:r>
          <w:rPr>
            <w:rStyle w:val="Hyperlink"/>
            <w:rFonts w:cs="Calibri"/>
            <w:b/>
            <w:bCs/>
            <w:lang w:val="pt-BR"/>
          </w:rPr>
          <w:t>juridico@bentesramos.adv.br</w:t>
        </w:r>
      </w:hyperlink>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u w:val="single"/>
          <w:lang w:val="pt-BR"/>
        </w:rPr>
      </w:pPr>
      <w:r>
        <w:rPr>
          <w:rFonts w:cs="Calibri"/>
          <w:b/>
          <w:lang w:val="pt-BR"/>
        </w:rPr>
        <w:t>2 – DOS FATOS</w:t>
      </w:r>
    </w:p>
    <w:p>
      <w:pPr>
        <w:pStyle w:val="Padro"/>
        <w:tabs>
          <w:tab w:val="left" w:pos="0" w:leader="none"/>
          <w:tab w:val="left" w:pos="708" w:leader="none"/>
        </w:tabs>
        <w:spacing w:lineRule="auto" w:line="300" w:before="0" w:after="0"/>
        <w:ind w:firstLine="2835" w:end="0"/>
        <w:jc w:val="both"/>
        <w:rPr>
          <w:rFonts w:ascii="Calibri" w:hAnsi="Calibri" w:eastAsia="Verdana-Bold;Times New Roman" w:cs="Calibri"/>
          <w:b/>
          <w:color w:val="000000"/>
          <w:sz w:val="22"/>
          <w:szCs w:val="22"/>
          <w:u w:val="single"/>
          <w:lang w:val="pt-BR"/>
        </w:rPr>
      </w:pPr>
      <w:r>
        <w:rPr>
          <w:rFonts w:eastAsia="Verdana-Bold;Times New Roman" w:cs="Calibri" w:ascii="Calibri" w:hAnsi="Calibri"/>
          <w:b/>
          <w:color w:val="000000"/>
          <w:sz w:val="22"/>
          <w:szCs w:val="22"/>
          <w:u w:val="single"/>
          <w:lang w:val="pt-BR"/>
        </w:rPr>
      </w:r>
    </w:p>
    <w:p>
      <w:pPr>
        <w:pStyle w:val="Normal"/>
        <w:spacing w:lineRule="auto" w:line="300"/>
        <w:ind w:firstLine="1418" w:end="0"/>
        <w:jc w:val="both"/>
        <w:rPr>
          <w:rFonts w:cs="Calibri"/>
          <w:lang w:val="pt-BR"/>
        </w:rPr>
      </w:pPr>
      <w:r>
        <w:rPr>
          <w:rFonts w:eastAsia="Times New Roman" w:cs="Calibri"/>
          <w:lang w:val="pt-BR"/>
        </w:rPr>
        <w:t xml:space="preserve">A parte requerente, pessoa de parcos recursos e manifesta vulnerabilidade socioeconômica, celebrou com a instituição financeira requerida, em </w:t>
      </w:r>
      <w:r>
        <w:rPr>
          <w:rFonts w:eastAsia="Times New Roman" w:cs="Calibri"/>
          <w:b/>
          <w:bCs/>
          <w:lang w:val="pt-BR"/>
        </w:rPr>
        <w:t>25 de novembro de 2025</w:t>
      </w:r>
      <w:r>
        <w:rPr>
          <w:rFonts w:eastAsia="Times New Roman" w:cs="Calibri"/>
          <w:lang w:val="pt-BR"/>
        </w:rPr>
        <w:t xml:space="preserve">, contrato de empréstimo pessoal no valor de </w:t>
      </w:r>
      <w:r>
        <w:rPr>
          <w:rFonts w:eastAsia="Times New Roman" w:cs="Calibri"/>
          <w:b/>
          <w:bCs/>
          <w:lang w:val="pt-BR"/>
        </w:rPr>
        <w:t>R$ 859,87 (oitocentos e cinquenta e nove reais e oitenta e sete centavos)</w:t>
      </w:r>
      <w:r>
        <w:rPr>
          <w:rFonts w:eastAsia="Times New Roman" w:cs="Calibri"/>
          <w:lang w:val="pt-BR"/>
        </w:rPr>
        <w:t>, montante este que já compreendia a totalidade das despesas e encargos vinculados à concessão do crédito.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Nos termos do instrumento contratual, restou pactuado que a quitação do referido empréstimo se daria em </w:t>
      </w:r>
      <w:r>
        <w:rPr>
          <w:rFonts w:eastAsia="Times New Roman" w:cs="Calibri"/>
          <w:b/>
          <w:bCs/>
          <w:lang w:val="pt-BR"/>
        </w:rPr>
        <w:t>18 (dezoito) parcelas mensais e consecutivas</w:t>
      </w:r>
      <w:r>
        <w:rPr>
          <w:rFonts w:eastAsia="Times New Roman" w:cs="Calibri"/>
          <w:lang w:val="pt-BR"/>
        </w:rPr>
        <w:t xml:space="preserve">, cada qual no valor de </w:t>
      </w:r>
      <w:r>
        <w:rPr>
          <w:rFonts w:eastAsia="Times New Roman" w:cs="Calibri"/>
          <w:b/>
          <w:bCs/>
          <w:lang w:val="pt-BR"/>
        </w:rPr>
        <w:t>R$ 172,04 (cento e setenta e dois reais e quatro centavos)</w:t>
      </w:r>
      <w:r>
        <w:rPr>
          <w:rFonts w:eastAsia="Times New Roman" w:cs="Calibri"/>
          <w:lang w:val="pt-BR"/>
        </w:rPr>
        <w:t xml:space="preserve">, com vencimento da primeira parcela em </w:t>
      </w:r>
      <w:r>
        <w:rPr>
          <w:rFonts w:eastAsia="Times New Roman" w:cs="Calibri"/>
          <w:b/>
          <w:bCs/>
          <w:lang w:val="pt-BR"/>
        </w:rPr>
        <w:t>05/01/2026 e da última em 02/06/2027</w:t>
      </w:r>
      <w:r>
        <w:rPr>
          <w:rFonts w:eastAsia="Times New Roman" w:cs="Calibri"/>
          <w:lang w:val="pt-BR"/>
        </w:rPr>
        <w:t xml:space="preserve">, perfazendo um custo efetivo total de </w:t>
      </w:r>
      <w:r>
        <w:rPr>
          <w:rFonts w:eastAsia="Times New Roman" w:cs="Calibri"/>
          <w:b/>
          <w:bCs/>
          <w:lang w:val="pt-BR"/>
        </w:rPr>
        <w:t>R$ 3.096,72 (três mil, noventa e seis reais e setenta e dois centavos)</w:t>
      </w:r>
      <w:r>
        <w:rPr>
          <w:rFonts w:eastAsia="Times New Roman" w:cs="Calibri"/>
          <w:lang w:val="pt-BR"/>
        </w:rPr>
        <w:t>, conforme se extrai do contrato acostado aos autos.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Ocorre, Excelência, que o cerne da presente demanda reside na constatação de que a instituição financeira requerida, valendo-se de sua posição de supremacia contratual e da condição de hipossuficiência da consumidora, aplicou ao contrato em comento </w:t>
      </w:r>
      <w:r>
        <w:rPr>
          <w:rFonts w:eastAsia="Times New Roman" w:cs="Calibri"/>
          <w:b/>
          <w:bCs/>
          <w:lang w:val="pt-BR"/>
        </w:rPr>
        <w:t>taxa de juros remuneratórios flagrantemente abusiva</w:t>
      </w:r>
      <w:r>
        <w:rPr>
          <w:rFonts w:eastAsia="Times New Roman" w:cs="Calibri"/>
          <w:lang w:val="pt-BR"/>
        </w:rPr>
        <w:t>, dissociada por completo da realidade do mercado financeiro nacional, impondo à parte requerente encargos manifestamente excessivos, desproporcionais e onerosíssimos.</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lang w:val="pt-BR"/>
        </w:rPr>
      </w:pPr>
      <w:r>
        <w:rPr>
          <w:rFonts w:eastAsia="Verdana-Bold;Times New Roman" w:cs="Calibri" w:ascii="Calibri" w:hAnsi="Calibri"/>
          <w:color w:val="000000"/>
          <w:sz w:val="22"/>
          <w:szCs w:val="22"/>
          <w:lang w:val="pt-BR"/>
        </w:rPr>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rPr>
      </w:pPr>
      <w:r>
        <w:rPr>
          <w:rFonts w:eastAsia="Verdana-Bold;Times New Roman" w:cs="Calibri" w:ascii="Calibri" w:hAnsi="Calibri"/>
          <w:bCs/>
          <w:sz w:val="22"/>
          <w:szCs w:val="22"/>
        </w:rPr>
        <w:t xml:space="preserve">Ressalte-se, ainda, que uma simples consulta às tabelas oficiais divulgadas pelo </w:t>
      </w:r>
      <w:r>
        <w:rPr>
          <w:rFonts w:eastAsia="Verdana-Bold;Times New Roman" w:cs="Calibri" w:ascii="Calibri" w:hAnsi="Calibri"/>
          <w:b/>
          <w:bCs/>
          <w:sz w:val="22"/>
          <w:szCs w:val="22"/>
        </w:rPr>
        <w:t>Banco Central do Brasil</w:t>
      </w:r>
      <w:r>
        <w:rPr>
          <w:rFonts w:eastAsia="Verdana-Bold;Times New Roman" w:cs="Calibri" w:ascii="Calibri" w:hAnsi="Calibri"/>
          <w:bCs/>
          <w:sz w:val="22"/>
          <w:szCs w:val="22"/>
        </w:rPr>
        <w:t xml:space="preserve">, referentes à taxa média de juros praticada pelo mercado à época da contratação — </w:t>
      </w:r>
      <w:r>
        <w:rPr>
          <w:rFonts w:eastAsia="Verdana-Bold;Times New Roman" w:cs="Calibri" w:ascii="Calibri" w:hAnsi="Calibri"/>
          <w:b/>
          <w:bCs/>
          <w:sz w:val="22"/>
          <w:szCs w:val="22"/>
        </w:rPr>
        <w:t>novembro de 2025</w:t>
      </w:r>
      <w:r>
        <w:rPr>
          <w:rFonts w:eastAsia="Verdana-Bold;Times New Roman" w:cs="Calibri" w:ascii="Calibri" w:hAnsi="Calibri"/>
          <w:bCs/>
          <w:sz w:val="22"/>
          <w:szCs w:val="22"/>
        </w:rPr>
        <w:t xml:space="preserve"> — evidencia que, para a modalidade </w:t>
      </w:r>
      <w:r>
        <w:rPr>
          <w:rFonts w:eastAsia="Verdana-Bold;Times New Roman" w:cs="Calibri" w:ascii="Calibri" w:hAnsi="Calibri"/>
          <w:sz w:val="22"/>
          <w:szCs w:val="22"/>
        </w:rPr>
        <w:t>crédito pessoal</w:t>
      </w:r>
      <w:r>
        <w:rPr>
          <w:rFonts w:eastAsia="Verdana-Bold;Times New Roman" w:cs="Calibri" w:ascii="Calibri" w:hAnsi="Calibri"/>
          <w:bCs/>
          <w:sz w:val="22"/>
          <w:szCs w:val="22"/>
        </w:rPr>
        <w:t xml:space="preserve"> não consignado a taxa média era de </w:t>
      </w:r>
      <w:r>
        <w:rPr>
          <w:rFonts w:eastAsia="Verdana-Bold;Times New Roman" w:cs="Calibri" w:ascii="Calibri" w:hAnsi="Calibri"/>
          <w:b/>
          <w:bCs/>
          <w:sz w:val="22"/>
          <w:szCs w:val="22"/>
        </w:rPr>
        <w:t>6,44% ao mês</w:t>
      </w:r>
      <w:r>
        <w:rPr>
          <w:rFonts w:eastAsia="Verdana-Bold;Times New Roman" w:cs="Calibri" w:ascii="Calibri" w:hAnsi="Calibri"/>
          <w:bCs/>
          <w:sz w:val="22"/>
          <w:szCs w:val="22"/>
        </w:rPr>
        <w:t xml:space="preserve"> e </w:t>
      </w:r>
      <w:r>
        <w:rPr>
          <w:rFonts w:eastAsia="Verdana-Bold;Times New Roman" w:cs="Calibri" w:ascii="Calibri" w:hAnsi="Calibri"/>
          <w:b/>
          <w:sz w:val="22"/>
          <w:szCs w:val="22"/>
        </w:rPr>
        <w:t>111,49</w:t>
      </w:r>
      <w:r>
        <w:rPr>
          <w:rFonts w:eastAsia="Verdana-Bold;Times New Roman" w:cs="Calibri" w:ascii="Calibri" w:hAnsi="Calibri"/>
          <w:b/>
          <w:bCs/>
          <w:sz w:val="22"/>
          <w:szCs w:val="22"/>
        </w:rPr>
        <w:t>% ao ano</w:t>
      </w:r>
      <w:r>
        <w:rPr>
          <w:rFonts w:eastAsia="Verdana-Bold;Times New Roman" w:cs="Calibri" w:ascii="Calibri" w:hAnsi="Calibri"/>
          <w:bCs/>
          <w:sz w:val="22"/>
          <w:szCs w:val="22"/>
        </w:rPr>
        <w:t>, conforme documentos ora anexos.</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rPr>
      </w:pPr>
      <w:r>
        <w:rPr>
          <w:rFonts w:eastAsia="Verdana-Bold;Times New Roman" w:cs="Calibri" w:ascii="Calibri" w:hAnsi="Calibri"/>
          <w:color w:val="000000"/>
          <w:sz w:val="22"/>
          <w:szCs w:val="22"/>
        </w:rPr>
      </w:r>
    </w:p>
    <w:p>
      <w:pPr>
        <w:pStyle w:val="Padro"/>
        <w:tabs>
          <w:tab w:val="left" w:pos="0"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t xml:space="preserve">Para fins de comprovação, destaca-se que a taxa média de juros remuneratórios pode ser facilmente verificada no portal eletrônico do Banco Central do Brasil, mediante consulta aos seguintes códigos estatísticos: </w:t>
      </w:r>
      <w:r>
        <w:rPr>
          <w:rFonts w:cs="Calibri" w:ascii="Calibri" w:hAnsi="Calibri"/>
          <w:b/>
          <w:bCs/>
          <w:sz w:val="22"/>
          <w:szCs w:val="22"/>
        </w:rPr>
        <w:t>25464</w:t>
      </w:r>
      <w:r>
        <w:rPr>
          <w:rFonts w:cs="Calibri" w:ascii="Calibri" w:hAnsi="Calibri"/>
          <w:sz w:val="22"/>
          <w:szCs w:val="22"/>
        </w:rPr>
        <w:t xml:space="preserve">, para a taxa média mensal, e </w:t>
      </w:r>
      <w:r>
        <w:rPr>
          <w:rFonts w:cs="Calibri" w:ascii="Calibri" w:hAnsi="Calibri"/>
          <w:b/>
          <w:bCs/>
          <w:sz w:val="22"/>
          <w:szCs w:val="22"/>
        </w:rPr>
        <w:t>20742</w:t>
      </w:r>
      <w:r>
        <w:rPr>
          <w:rFonts w:cs="Calibri" w:ascii="Calibri" w:hAnsi="Calibri"/>
          <w:sz w:val="22"/>
          <w:szCs w:val="22"/>
        </w:rPr>
        <w:t xml:space="preserve">, para a taxa média anual, o que reforça a transparência e a objetividade das informações ora apresentadas. </w:t>
      </w:r>
    </w:p>
    <w:p>
      <w:pPr>
        <w:pStyle w:val="Padro"/>
        <w:tabs>
          <w:tab w:val="left" w:pos="0" w:leader="none"/>
          <w:tab w:val="left" w:pos="708" w:leader="none"/>
        </w:tabs>
        <w:spacing w:lineRule="auto" w:line="300" w:before="0" w:after="0"/>
        <w:jc w:val="both"/>
        <w:rPr>
          <w:rFonts w:ascii="Calibri" w:hAnsi="Calibri" w:cs="Calibri"/>
          <w:sz w:val="22"/>
          <w:szCs w:val="22"/>
        </w:rPr>
      </w:pPr>
      <w:r>
        <w:rPr>
          <w:rFonts w:cs="Calibri" w:ascii="Calibri" w:hAnsi="Calibri"/>
          <w:sz w:val="22"/>
          <w:szCs w:val="22"/>
        </w:rPr>
      </w:r>
    </w:p>
    <w:p>
      <w:pPr>
        <w:pStyle w:val="Padro"/>
        <w:tabs>
          <w:tab w:val="left" w:pos="0" w:leader="none"/>
          <w:tab w:val="left" w:pos="708" w:leader="none"/>
        </w:tabs>
        <w:spacing w:lineRule="auto" w:line="300" w:before="0" w:after="0"/>
        <w:jc w:val="center"/>
        <w:rPr>
          <w:rFonts w:ascii="Calibri" w:hAnsi="Calibri" w:cs="Calibri"/>
          <w:sz w:val="22"/>
          <w:szCs w:val="22"/>
        </w:rPr>
      </w:pPr>
      <w:r>
        <w:rPr>
          <w:rFonts w:cs="Calibri" w:ascii="Calibri" w:hAnsi="Calibri"/>
          <w:sz w:val="22"/>
          <w:szCs w:val="22"/>
          <w:lang w:val="en-US" w:eastAsia="en-US"/>
        </w:rPr>
        <w:drawing>
          <wp:inline distT="0" distB="0" distL="0" distR="0">
            <wp:extent cx="3861435" cy="2431415"/>
            <wp:effectExtent l="0" t="0" r="0" b="0"/>
            <wp:docPr id="1"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title=""/>
                    <pic:cNvPicPr>
                      <a:picLocks noChangeAspect="1" noChangeArrowheads="1"/>
                    </pic:cNvPicPr>
                  </pic:nvPicPr>
                  <pic:blipFill>
                    <a:blip r:embed="rId4"/>
                    <a:srcRect l="-5" t="-7" r="-5" b="-7"/>
                    <a:stretch>
                      <a:fillRect/>
                    </a:stretch>
                  </pic:blipFill>
                  <pic:spPr bwMode="auto">
                    <a:xfrm>
                      <a:off x="0" y="0"/>
                      <a:ext cx="3861435" cy="2431415"/>
                    </a:xfrm>
                    <a:prstGeom prst="rect">
                      <a:avLst/>
                    </a:prstGeom>
                  </pic:spPr>
                </pic:pic>
              </a:graphicData>
            </a:graphic>
          </wp:inline>
        </w:drawing>
      </w:r>
    </w:p>
    <w:p>
      <w:pPr>
        <w:pStyle w:val="Padro"/>
        <w:tabs>
          <w:tab w:val="left" w:pos="0" w:leader="none"/>
          <w:tab w:val="left" w:pos="708" w:leader="none"/>
        </w:tabs>
        <w:spacing w:lineRule="auto" w:line="300" w:before="0" w:after="0"/>
        <w:jc w:val="both"/>
        <w:rPr>
          <w:rFonts w:ascii="Calibri" w:hAnsi="Calibri" w:cs="Calibri"/>
          <w:sz w:val="22"/>
          <w:szCs w:val="22"/>
        </w:rPr>
      </w:pPr>
      <w:r>
        <w:rPr>
          <w:rFonts w:cs="Calibri" w:ascii="Calibri" w:hAnsi="Calibri"/>
          <w:sz w:val="22"/>
          <w:szCs w:val="22"/>
        </w:rPr>
      </w:r>
    </w:p>
    <w:p>
      <w:pPr>
        <w:pStyle w:val="Normal"/>
        <w:spacing w:lineRule="auto" w:line="300"/>
        <w:rPr>
          <w:rFonts w:cs="Calibri"/>
          <w:lang w:val="pt-BR"/>
        </w:rPr>
      </w:pPr>
      <w:r>
        <w:rPr>
          <w:rFonts w:eastAsia="Times New Roman" w:cs="Calibri"/>
          <w:b/>
          <w:bCs/>
          <w:lang w:val="pt-BR"/>
        </w:rPr>
        <w:t>2.1 – Da abusividade manifesta da taxa de juros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Com efeito, a análise pormenorizada do instrumento contratual revela, de forma inconteste, que foi estipulada taxa de juros remuneratórios de </w:t>
      </w:r>
      <w:r>
        <w:rPr>
          <w:rFonts w:eastAsia="Times New Roman" w:cs="Calibri"/>
          <w:b/>
          <w:bCs/>
          <w:lang w:val="pt-BR"/>
        </w:rPr>
        <w:t>19,15% ao mês</w:t>
      </w:r>
      <w:r>
        <w:rPr>
          <w:rFonts w:eastAsia="Times New Roman" w:cs="Calibri"/>
          <w:lang w:val="pt-BR"/>
        </w:rPr>
        <w:t xml:space="preserve"> </w:t>
      </w:r>
      <w:r>
        <w:rPr>
          <w:rFonts w:eastAsia="Times New Roman" w:cs="Calibri"/>
          <w:b/>
          <w:bCs/>
          <w:lang w:val="pt-BR"/>
        </w:rPr>
        <w:t>(dezenove vírgula quinze por cento)</w:t>
      </w:r>
      <w:r>
        <w:rPr>
          <w:rFonts w:eastAsia="Times New Roman" w:cs="Calibri"/>
          <w:lang w:val="pt-BR"/>
        </w:rPr>
        <w:t xml:space="preserve">, o que corresponde à </w:t>
      </w:r>
      <w:r>
        <w:rPr>
          <w:rFonts w:eastAsia="Times New Roman" w:cs="Calibri"/>
          <w:b/>
          <w:bCs/>
          <w:i/>
          <w:iCs/>
          <w:lang w:val="pt-BR"/>
        </w:rPr>
        <w:t>estarrecedora taxa anual de 718,71%</w:t>
      </w:r>
      <w:r>
        <w:rPr>
          <w:rFonts w:eastAsia="Times New Roman" w:cs="Calibri"/>
          <w:lang w:val="pt-BR"/>
        </w:rPr>
        <w:t xml:space="preserve"> </w:t>
      </w:r>
      <w:r>
        <w:rPr>
          <w:rFonts w:eastAsia="Times New Roman" w:cs="Calibri"/>
          <w:b/>
          <w:bCs/>
          <w:lang w:val="pt-BR"/>
        </w:rPr>
        <w:t>(setecentos e dezoito vírgula setenta e um por cento)</w:t>
      </w:r>
      <w:r>
        <w:rPr>
          <w:rFonts w:eastAsia="Times New Roman" w:cs="Calibri"/>
          <w:lang w:val="pt-BR"/>
        </w:rPr>
        <w:t>, conforme expressamente demonstrado no contrato anexado — dado que, por si só, já revela a dimensão da abusividade praticada pela instituição requerida.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Para que se tenha a exata noção da desproporcionalidade ora denunciada, cumpre registrar que a consulta às tabelas oficiais divulgadas pelo Banco Central do Brasil, referentes à taxa média de juros praticada pelo mercado financeiro no período da contratação — novembro de 2025 —, evidencia que, para a modalidade </w:t>
      </w:r>
      <w:r>
        <w:rPr>
          <w:rFonts w:eastAsia="Times New Roman" w:cs="Calibri"/>
          <w:i/>
          <w:iCs/>
          <w:lang w:val="pt-BR"/>
        </w:rPr>
        <w:t>crédito pessoal não consignado</w:t>
      </w:r>
      <w:r>
        <w:rPr>
          <w:rFonts w:eastAsia="Times New Roman" w:cs="Calibri"/>
          <w:lang w:val="pt-BR"/>
        </w:rPr>
        <w:t xml:space="preserve">, a taxa média praticada era de </w:t>
      </w:r>
      <w:r>
        <w:rPr>
          <w:rFonts w:eastAsia="Times New Roman" w:cs="Calibri"/>
          <w:b/>
          <w:bCs/>
          <w:lang w:val="pt-BR"/>
        </w:rPr>
        <w:t>6,44% ao mês</w:t>
      </w:r>
      <w:r>
        <w:rPr>
          <w:rFonts w:eastAsia="Times New Roman" w:cs="Calibri"/>
          <w:lang w:val="pt-BR"/>
        </w:rPr>
        <w:t xml:space="preserve"> e </w:t>
      </w:r>
      <w:r>
        <w:rPr>
          <w:rFonts w:eastAsia="Times New Roman" w:cs="Calibri"/>
          <w:b/>
          <w:bCs/>
          <w:lang w:val="pt-BR"/>
        </w:rPr>
        <w:t>111,49% ao ano</w:t>
      </w:r>
      <w:r>
        <w:rPr>
          <w:rFonts w:eastAsia="Times New Roman" w:cs="Calibri"/>
          <w:lang w:val="pt-BR"/>
        </w:rPr>
        <w:t>, consoante documentos comprobatórios ora acostados aos autos.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Para fins de absoluta comprovação e transparência, destaca-se que os referidos dados podem ser facilmente verificados no portal eletrônico do Banco Central do Brasil </w:t>
      </w:r>
      <w:r>
        <w:rPr>
          <w:rFonts w:eastAsia="Times New Roman" w:cs="Calibri"/>
          <w:i/>
          <w:iCs/>
          <w:lang w:val="pt-BR"/>
        </w:rPr>
        <w:t>(www.bcb.gov.br)</w:t>
      </w:r>
      <w:r>
        <w:rPr>
          <w:rFonts w:eastAsia="Times New Roman" w:cs="Calibri"/>
          <w:lang w:val="pt-BR"/>
        </w:rPr>
        <w:t xml:space="preserve">, mediante consulta aos códigos estatísticos </w:t>
      </w:r>
      <w:r>
        <w:rPr>
          <w:rFonts w:eastAsia="Times New Roman" w:cs="Calibri"/>
          <w:b/>
          <w:bCs/>
          <w:lang w:val="pt-BR"/>
        </w:rPr>
        <w:t>25464</w:t>
      </w:r>
      <w:r>
        <w:rPr>
          <w:rFonts w:eastAsia="Times New Roman" w:cs="Calibri"/>
          <w:lang w:val="pt-BR"/>
        </w:rPr>
        <w:t xml:space="preserve"> (taxa média mensal) e </w:t>
      </w:r>
      <w:r>
        <w:rPr>
          <w:rFonts w:eastAsia="Times New Roman" w:cs="Calibri"/>
          <w:b/>
          <w:bCs/>
          <w:lang w:val="pt-BR"/>
        </w:rPr>
        <w:t>20742</w:t>
      </w:r>
      <w:r>
        <w:rPr>
          <w:rFonts w:eastAsia="Times New Roman" w:cs="Calibri"/>
          <w:lang w:val="pt-BR"/>
        </w:rPr>
        <w:t xml:space="preserve"> (taxa média anual), tratando-se de dados públicos, oficiais e de acesso irrestrito, o que confere plena idoneidade e objetividade às informações ora apresentadas.</w:t>
      </w:r>
    </w:p>
    <w:p>
      <w:pPr>
        <w:pStyle w:val="Padro"/>
        <w:tabs>
          <w:tab w:val="left" w:pos="0" w:leader="none"/>
          <w:tab w:val="left" w:pos="708" w:leader="none"/>
        </w:tabs>
        <w:spacing w:lineRule="auto" w:line="300" w:before="0" w:after="0"/>
        <w:jc w:val="both"/>
        <w:rPr>
          <w:rFonts w:ascii="Calibri" w:hAnsi="Calibri" w:cs="Calibri"/>
          <w:sz w:val="22"/>
          <w:szCs w:val="22"/>
          <w:lang w:val="pt-BR"/>
        </w:rPr>
      </w:pPr>
      <w:r>
        <w:rPr>
          <w:rFonts w:cs="Calibri" w:ascii="Calibri" w:hAnsi="Calibri"/>
          <w:sz w:val="22"/>
          <w:szCs w:val="22"/>
          <w:lang w:val="pt-BR"/>
        </w:rPr>
      </w:r>
    </w:p>
    <w:p>
      <w:pPr>
        <w:pStyle w:val="Normal"/>
        <w:spacing w:lineRule="auto" w:line="300"/>
        <w:rPr>
          <w:rFonts w:cs="Calibri"/>
          <w:lang w:val="pt-BR"/>
        </w:rPr>
      </w:pPr>
      <w:r>
        <w:rPr>
          <w:rFonts w:eastAsia="Times New Roman" w:cs="Calibri"/>
          <w:b/>
          <w:bCs/>
          <w:lang w:val="pt-BR"/>
        </w:rPr>
        <w:t>2.2 – Do impacto concreto da abusividade no contrato</w:t>
      </w:r>
    </w:p>
    <w:p>
      <w:pPr>
        <w:pStyle w:val="Normal"/>
        <w:spacing w:lineRule="auto" w:line="300"/>
        <w:ind w:firstLine="720"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cs="Calibri"/>
          <w:lang w:val="pt-BR"/>
        </w:rPr>
      </w:pPr>
      <w:r>
        <w:rPr>
          <w:rFonts w:eastAsia="Times New Roman" w:cs="Calibri"/>
          <w:lang w:val="pt-BR"/>
        </w:rPr>
        <w:t>A magnitude da abusividade praticada pela requerida se revela de forma inequívoca quando se procede à comparação entre os valores efetivamente cobrados e aqueles que resultariam da aplicação da taxa média de mercado.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Com efeito, caso fosse aplicada ao contrato em questão a taxa média de </w:t>
      </w:r>
      <w:r>
        <w:rPr>
          <w:rFonts w:eastAsia="Times New Roman" w:cs="Calibri"/>
          <w:b/>
          <w:bCs/>
          <w:lang w:val="pt-BR"/>
        </w:rPr>
        <w:t>6,44% ao mês</w:t>
      </w:r>
      <w:r>
        <w:rPr>
          <w:rFonts w:eastAsia="Times New Roman" w:cs="Calibri"/>
          <w:lang w:val="pt-BR"/>
        </w:rPr>
        <w:t xml:space="preserve">, conforme parâmetro oficial do Banco Central do Brasil, o valor correto de cada parcela mensal corresponderia a </w:t>
      </w:r>
      <w:r>
        <w:rPr>
          <w:rFonts w:eastAsia="Times New Roman" w:cs="Calibri"/>
          <w:b/>
          <w:bCs/>
          <w:lang w:val="pt-BR"/>
        </w:rPr>
        <w:t>R$ 92,97 (noventa e dois reais e noventa e sete centavos)</w:t>
      </w:r>
      <w:r>
        <w:rPr>
          <w:rFonts w:eastAsia="Times New Roman" w:cs="Calibri"/>
          <w:lang w:val="pt-BR"/>
        </w:rPr>
        <w:t xml:space="preserve">, e o montante total a ser pago ao final do financiamento seria de </w:t>
      </w:r>
      <w:r>
        <w:rPr>
          <w:rFonts w:eastAsia="Times New Roman" w:cs="Calibri"/>
          <w:b/>
          <w:bCs/>
          <w:lang w:val="pt-BR"/>
        </w:rPr>
        <w:t>R$ 1.673,46</w:t>
      </w:r>
      <w:r>
        <w:rPr>
          <w:rFonts w:eastAsia="Times New Roman" w:cs="Calibri"/>
          <w:lang w:val="pt-BR"/>
        </w:rPr>
        <w:t xml:space="preserve"> </w:t>
      </w:r>
      <w:r>
        <w:rPr>
          <w:rFonts w:eastAsia="Times New Roman" w:cs="Calibri"/>
          <w:b/>
          <w:bCs/>
          <w:lang w:val="pt-BR"/>
        </w:rPr>
        <w:t>(um mil, seiscentos e setenta e três reais e quarenta e seis centavos)</w:t>
      </w:r>
      <w:r>
        <w:rPr>
          <w:rFonts w:eastAsia="Times New Roman" w:cs="Calibri"/>
          <w:lang w:val="pt-BR"/>
        </w:rPr>
        <w:t>, conforme demonstrado no parecer técnico e nos cálculos detalhados que instruem a presente.</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Todavia, em razão da taxa de juros abusiva imposta pela requerida, a parte autora está sendo compelida a desembolsar o valor total de </w:t>
      </w:r>
      <w:r>
        <w:rPr>
          <w:rFonts w:eastAsia="Times New Roman" w:cs="Calibri"/>
          <w:b/>
          <w:bCs/>
          <w:lang w:val="pt-BR"/>
        </w:rPr>
        <w:t>R$ 3.096,72</w:t>
      </w:r>
      <w:r>
        <w:rPr>
          <w:rFonts w:eastAsia="Times New Roman" w:cs="Calibri"/>
          <w:lang w:val="pt-BR"/>
        </w:rPr>
        <w:t xml:space="preserve">, importando em uma diferença de </w:t>
      </w:r>
      <w:r>
        <w:rPr>
          <w:rFonts w:eastAsia="Times New Roman" w:cs="Calibri"/>
          <w:b/>
          <w:bCs/>
          <w:lang w:val="pt-BR"/>
        </w:rPr>
        <w:t xml:space="preserve">R$ 1.423,26 (um mil, quatrocentos e vinte e três reais e vinte e seis centavos) </w:t>
      </w:r>
      <w:r>
        <w:rPr>
          <w:rFonts w:eastAsia="Times New Roman" w:cs="Calibri"/>
          <w:lang w:val="pt-BR"/>
        </w:rPr>
        <w:t xml:space="preserve">em desfavor da consumidora — quantia esta que representa </w:t>
      </w:r>
      <w:r>
        <w:rPr>
          <w:rFonts w:eastAsia="Times New Roman" w:cs="Calibri"/>
          <w:b/>
          <w:bCs/>
          <w:lang w:val="pt-BR"/>
        </w:rPr>
        <w:t>quase o dobro do valor efetivamente contratado</w:t>
      </w:r>
      <w:r>
        <w:rPr>
          <w:rFonts w:eastAsia="Times New Roman" w:cs="Calibri"/>
          <w:lang w:val="pt-BR"/>
        </w:rPr>
        <w:t xml:space="preserve"> e que se constitui em verdadeiro enriquecimento ilícito da instituição financeira.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Merece especial relevo o fato de que a taxa de juros aplicada pelo requerido </w:t>
      </w:r>
      <w:r>
        <w:rPr>
          <w:rFonts w:eastAsia="Times New Roman" w:cs="Calibri"/>
          <w:b/>
          <w:bCs/>
          <w:lang w:val="pt-BR"/>
        </w:rPr>
        <w:t>(19,15% a.m.)</w:t>
      </w:r>
      <w:r>
        <w:rPr>
          <w:rFonts w:eastAsia="Times New Roman" w:cs="Calibri"/>
          <w:lang w:val="pt-BR"/>
        </w:rPr>
        <w:t xml:space="preserve"> é aproximadamente </w:t>
      </w:r>
      <w:r>
        <w:rPr>
          <w:rFonts w:eastAsia="Times New Roman" w:cs="Calibri"/>
          <w:b/>
          <w:bCs/>
          <w:lang w:val="pt-BR"/>
        </w:rPr>
        <w:t>2,97 (dois virgula noventa e sete) vezes superior</w:t>
      </w:r>
      <w:r>
        <w:rPr>
          <w:rFonts w:eastAsia="Times New Roman" w:cs="Calibri"/>
          <w:lang w:val="pt-BR"/>
        </w:rPr>
        <w:t xml:space="preserve"> </w:t>
      </w:r>
      <w:r>
        <w:rPr>
          <w:rFonts w:eastAsia="Times New Roman" w:cs="Calibri"/>
          <w:b/>
          <w:bCs/>
          <w:lang w:val="pt-BR"/>
        </w:rPr>
        <w:t>à taxa média de mercado (6,44% a.m.)</w:t>
      </w:r>
      <w:r>
        <w:rPr>
          <w:rFonts w:eastAsia="Times New Roman" w:cs="Calibri"/>
          <w:lang w:val="pt-BR"/>
        </w:rPr>
        <w:t xml:space="preserve">, </w:t>
      </w:r>
      <w:r>
        <w:rPr>
          <w:rFonts w:eastAsia="Times New Roman" w:cs="Calibri"/>
          <w:b/>
          <w:bCs/>
          <w:lang w:val="pt-BR"/>
        </w:rPr>
        <w:t>representando uma diferença de 12,71 pontos percentuais</w:t>
      </w:r>
      <w:r>
        <w:rPr>
          <w:rFonts w:eastAsia="Times New Roman" w:cs="Calibri"/>
          <w:lang w:val="pt-BR"/>
        </w:rPr>
        <w:t>. Não se trata, portanto, de mera oscilação ou flutuação natural do mercado, mas de imposição unilateral de encargos que ultrapassam, em muito, qualquer parâmetro de razoabilidade, configurando abusividade que salta aos olhos e dispensa maiores esforços interpretativos.</w:t>
      </w:r>
    </w:p>
    <w:p>
      <w:pPr>
        <w:pStyle w:val="Normal"/>
        <w:spacing w:lineRule="auto" w:line="300"/>
        <w:rPr>
          <w:rFonts w:cs="Calibri"/>
          <w:lang w:val="pt-BR"/>
        </w:rPr>
      </w:pPr>
      <w:r>
        <w:rPr>
          <w:rFonts w:cs="Calibri"/>
          <w:lang w:val="pt-BR"/>
        </w:rPr>
      </w:r>
    </w:p>
    <w:p>
      <w:pPr>
        <w:pStyle w:val="Normal"/>
        <w:spacing w:lineRule="auto" w:line="300"/>
        <w:jc w:val="both"/>
        <w:rPr>
          <w:rFonts w:cs="Calibri"/>
          <w:lang w:val="pt-BR"/>
        </w:rPr>
      </w:pPr>
      <w:r>
        <w:rPr>
          <w:rFonts w:eastAsia="Times New Roman" w:cs="Calibri"/>
          <w:b/>
          <w:bCs/>
          <w:lang w:val="pt-BR"/>
        </w:rPr>
        <w:t>2.3 – Da violação aos princípios fundamentais do ordenamento jurídico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A conduta da instituição financeira requerida configura </w:t>
      </w:r>
      <w:r>
        <w:rPr>
          <w:rFonts w:eastAsia="Times New Roman" w:cs="Calibri"/>
          <w:b/>
          <w:bCs/>
          <w:lang w:val="pt-BR"/>
        </w:rPr>
        <w:t>flagrante violação ao princípio da boa-fé objetiva</w:t>
      </w:r>
      <w:r>
        <w:rPr>
          <w:rFonts w:eastAsia="Times New Roman" w:cs="Calibri"/>
          <w:lang w:val="pt-BR"/>
        </w:rPr>
        <w:t>, consagrado no art. 422 do Código Civil e elevado a princípio basilar das relações de consumo pelo art. 4º, inciso III, do Código de Defesa do Consumidor. A boa-fé objetiva impõe às partes contratantes deveres anexos de lealdade, transparência, informação e cooperação, que devem ser observados em todas as fases do negócio jurídico — desde as tratativas pré-contratuais até a execução e eventual extinção do contrato.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Ademais, a imposição de encargos manifestamente excessivos e desproporcionais desde a fase pré-contratual macula a própria essência do negócio jurídico, comprometendo sua </w:t>
      </w:r>
      <w:r>
        <w:rPr>
          <w:rFonts w:eastAsia="Times New Roman" w:cs="Calibri"/>
          <w:b/>
          <w:bCs/>
          <w:lang w:val="pt-BR"/>
        </w:rPr>
        <w:t>função social</w:t>
      </w:r>
      <w:r>
        <w:rPr>
          <w:rFonts w:eastAsia="Times New Roman" w:cs="Calibri"/>
          <w:lang w:val="pt-BR"/>
        </w:rPr>
        <w:t xml:space="preserve"> (art. 421 do Código Civil) e colocando a consumidora em situação de </w:t>
      </w:r>
      <w:r>
        <w:rPr>
          <w:rFonts w:eastAsia="Times New Roman" w:cs="Calibri"/>
          <w:b/>
          <w:bCs/>
          <w:lang w:val="pt-BR"/>
        </w:rPr>
        <w:t>manifesta desvantagem excessiva</w:t>
      </w:r>
      <w:r>
        <w:rPr>
          <w:rFonts w:eastAsia="Times New Roman" w:cs="Calibri"/>
          <w:lang w:val="pt-BR"/>
        </w:rPr>
        <w:t xml:space="preserve">, circunstância expressamente vedada pelo art. 51, inciso IV, do Código de Defesa do Consumidor, que comina de </w:t>
      </w:r>
      <w:r>
        <w:rPr>
          <w:rFonts w:eastAsia="Times New Roman" w:cs="Calibri"/>
          <w:b/>
          <w:bCs/>
          <w:lang w:val="pt-BR"/>
        </w:rPr>
        <w:t>nulidade de pleno direito</w:t>
      </w:r>
      <w:r>
        <w:rPr>
          <w:rFonts w:eastAsia="Times New Roman" w:cs="Calibri"/>
          <w:lang w:val="pt-BR"/>
        </w:rPr>
        <w:t xml:space="preserve"> as cláusulas contratuais que estabeleçam obrigações iníquas ou abusivas ao consumidor.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Igualmente, resta configurada a </w:t>
      </w:r>
      <w:r>
        <w:rPr>
          <w:rFonts w:eastAsia="Times New Roman" w:cs="Calibri"/>
          <w:b/>
          <w:bCs/>
          <w:lang w:val="pt-BR"/>
        </w:rPr>
        <w:t>vedação ao enriquecimento sem causa</w:t>
      </w:r>
      <w:r>
        <w:rPr>
          <w:rFonts w:eastAsia="Times New Roman" w:cs="Calibri"/>
          <w:lang w:val="pt-BR"/>
        </w:rPr>
        <w:t xml:space="preserve"> (art. 884 do Código Civil), na medida em que a instituição financeira, ao cobrar juros quase cinco vezes superiores à média de mercado, aufere vantagem patrimonial indevida e desproporcional à custa do empobrecimento da parte autora, sem qualquer justificativa econômica ou contratual legítima que ampare tão gravosa oneração.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Cumpre rememorar, outrossim, que o Colendo Superior Tribunal de Justiça, no julgamento dos Recursos Especiais nº 1.061.530/RS e 1.112.879/PR, sob a sistemática dos recursos repetitivos, firmou o entendimento de que, </w:t>
      </w:r>
      <w:r>
        <w:rPr>
          <w:rFonts w:eastAsia="Times New Roman" w:cs="Calibri"/>
          <w:i/>
          <w:iCs/>
          <w:lang w:val="pt-BR"/>
        </w:rPr>
        <w:t>embora as instituições financeiras não estejam sujeitas a limitação fixa de juros, a cobrança que se revele manifestamente abusiva, em patamar substancialmente superior à taxa média de mercado divulgada pelo Banco Central, pode e deve ser revisada pelo Poder Judiciário</w:t>
      </w:r>
      <w:r>
        <w:rPr>
          <w:rFonts w:eastAsia="Times New Roman" w:cs="Calibri"/>
          <w:lang w:val="pt-BR"/>
        </w:rPr>
        <w:t>, em atenção aos princípios da equidade, da proporcionalidade e da proteção ao consumidor.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No mesmo sentido, o entendimento consolidado na Súmula 382 do STJ, que preceitua que </w:t>
      </w:r>
      <w:r>
        <w:rPr>
          <w:rFonts w:eastAsia="Times New Roman" w:cs="Calibri"/>
          <w:i/>
          <w:iCs/>
          <w:lang w:val="pt-BR"/>
        </w:rPr>
        <w:t>“a estipulação de juros remuneratórios superiores a 12% ao ano, por si só, não indica abusividade”</w:t>
      </w:r>
      <w:r>
        <w:rPr>
          <w:rFonts w:eastAsia="Times New Roman" w:cs="Calibri"/>
          <w:lang w:val="pt-BR"/>
        </w:rPr>
        <w:t>, revela, por interpretação a contrário sensu, que a abusividade se configura quando os juros contratados se distanciam de forma substancial e injustificada da taxa média de mercado — exatamente o que se verifica na hipótese vertente, em que a taxa imposta supera a média em quase cinco vezes.</w:t>
      </w:r>
    </w:p>
    <w:p>
      <w:pPr>
        <w:pStyle w:val="Normal"/>
        <w:spacing w:lineRule="auto" w:line="300"/>
        <w:rPr>
          <w:rFonts w:cs="Calibri"/>
          <w:lang w:val="pt-BR"/>
        </w:rPr>
      </w:pPr>
      <w:r>
        <w:rPr>
          <w:rFonts w:cs="Calibri"/>
          <w:lang w:val="pt-BR"/>
        </w:rPr>
      </w:r>
    </w:p>
    <w:p>
      <w:pPr>
        <w:pStyle w:val="Normal"/>
        <w:spacing w:lineRule="auto" w:line="300"/>
        <w:rPr>
          <w:rFonts w:cs="Calibri"/>
          <w:lang w:val="pt-BR"/>
        </w:rPr>
      </w:pPr>
      <w:r>
        <w:rPr>
          <w:rFonts w:eastAsia="Times New Roman" w:cs="Calibri"/>
          <w:b/>
          <w:bCs/>
          <w:lang w:val="pt-BR"/>
        </w:rPr>
        <w:t>2.4 – Dos requerimentos decorrentes dos fatos narrados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Diante de todo o exposto, e considerando a robustez dos elementos probatórios que instruem a presente, requer a parte autora que Vossa Excelência determine a </w:t>
      </w:r>
      <w:r>
        <w:rPr>
          <w:rFonts w:eastAsia="Times New Roman" w:cs="Calibri"/>
          <w:b/>
          <w:bCs/>
          <w:lang w:val="pt-BR"/>
        </w:rPr>
        <w:t>imediata revisão da taxa de juros remuneratórios</w:t>
      </w:r>
      <w:r>
        <w:rPr>
          <w:rFonts w:eastAsia="Times New Roman" w:cs="Calibri"/>
          <w:lang w:val="pt-BR"/>
        </w:rPr>
        <w:t xml:space="preserve"> aplicada ao contrato de empréstimo pessoal objeto da presente demanda, </w:t>
      </w:r>
      <w:r>
        <w:rPr>
          <w:rFonts w:eastAsia="Times New Roman" w:cs="Calibri"/>
          <w:b/>
          <w:bCs/>
          <w:lang w:val="pt-BR"/>
        </w:rPr>
        <w:t>reduzindo-a ao patamar da taxa média de mercado</w:t>
      </w:r>
      <w:r>
        <w:rPr>
          <w:rFonts w:eastAsia="Times New Roman" w:cs="Calibri"/>
          <w:lang w:val="pt-BR"/>
        </w:rPr>
        <w:t xml:space="preserve"> </w:t>
      </w:r>
      <w:r>
        <w:rPr>
          <w:rFonts w:eastAsia="Times New Roman" w:cs="Calibri"/>
          <w:b/>
          <w:bCs/>
          <w:lang w:val="pt-BR"/>
        </w:rPr>
        <w:t>vigente à época da contratação</w:t>
      </w:r>
      <w:r>
        <w:rPr>
          <w:rFonts w:eastAsia="Times New Roman" w:cs="Calibri"/>
          <w:lang w:val="pt-BR"/>
        </w:rPr>
        <w:t xml:space="preserve">, qual seja, </w:t>
      </w:r>
      <w:r>
        <w:rPr>
          <w:rFonts w:eastAsia="Times New Roman" w:cs="Calibri"/>
          <w:b/>
          <w:bCs/>
          <w:lang w:val="pt-BR"/>
        </w:rPr>
        <w:t>6,44% ao mês e 111,49% ao ano</w:t>
      </w:r>
      <w:r>
        <w:rPr>
          <w:rFonts w:eastAsia="Times New Roman" w:cs="Calibri"/>
          <w:lang w:val="pt-BR"/>
        </w:rPr>
        <w:t xml:space="preserve">, valores incontroversos porquanto amparados em dados oficiais do Banco Central do Brasil, com </w:t>
      </w:r>
      <w:r>
        <w:rPr>
          <w:rFonts w:cs="Calibri"/>
          <w:lang w:val="pt-BR"/>
        </w:rPr>
        <w:t>o</w:t>
      </w:r>
      <w:r>
        <w:rPr>
          <w:rFonts w:eastAsia="Times New Roman" w:cs="Calibri"/>
          <w:lang w:val="pt-BR"/>
        </w:rPr>
        <w:t xml:space="preserve"> consequente recalculo de todas as parcelas vincendas e a devida adequação do custo efetivo total do contrato.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Requer, ainda, que tal providência tenha por finalidade precípua </w:t>
      </w:r>
      <w:r>
        <w:rPr>
          <w:rFonts w:eastAsia="Times New Roman" w:cs="Calibri"/>
          <w:b/>
          <w:bCs/>
          <w:lang w:val="pt-BR"/>
        </w:rPr>
        <w:t>s</w:t>
      </w:r>
      <w:r>
        <w:rPr>
          <w:rFonts w:eastAsia="Times New Roman" w:cs="Calibri"/>
          <w:lang w:val="pt-BR"/>
        </w:rPr>
        <w:t>anar o flagrante desequilíbrio contratual ocasionado por conduta exclusiva da instituição financeira requerida, adequando o contrato aos parâmetros legais e aos princípios constitucionais e infraconstitucionais que regem as relações de consumo, notadamente a boa-fé objetiva, a função social do contrato, a equidade e a vedação ao enriquecimento sem causa.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Por fim, cumpre informar que a parte requerente, em demonstração inequívoca de sua </w:t>
      </w:r>
      <w:r>
        <w:rPr>
          <w:rFonts w:eastAsia="Times New Roman" w:cs="Calibri"/>
          <w:b/>
          <w:bCs/>
          <w:lang w:val="pt-BR"/>
        </w:rPr>
        <w:t>boa-fé e lealdade processual</w:t>
      </w:r>
      <w:r>
        <w:rPr>
          <w:rFonts w:eastAsia="Times New Roman" w:cs="Calibri"/>
          <w:lang w:val="pt-BR"/>
        </w:rPr>
        <w:t xml:space="preserve">, continuará efetuando os pagamentos nos moldes atualmente exigidos pela instituição requerida, pugnando, contudo, ao final da presente demanda, pela </w:t>
      </w:r>
      <w:r>
        <w:rPr>
          <w:rFonts w:eastAsia="Times New Roman" w:cs="Calibri"/>
          <w:b/>
          <w:bCs/>
          <w:lang w:val="pt-BR"/>
        </w:rPr>
        <w:t>devolução simples dos valores pagos a maior</w:t>
      </w:r>
      <w:r>
        <w:rPr>
          <w:rFonts w:eastAsia="Times New Roman" w:cs="Calibri"/>
          <w:lang w:val="pt-BR"/>
        </w:rPr>
        <w:t>, devidamente corrigidos monetariamente pelo índice oficial aplicável e acrescidos de juros de mora desde cada desembolso indevido, após a devida apuração em fase de liquidação de sentença, nos termos do art. 509 e seguintes do Código de Processo Civil.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Ante o quadro fático-jurídico acima delineado, não restam dúvidas de que a </w:t>
      </w:r>
      <w:r>
        <w:rPr>
          <w:rFonts w:cs="Calibri"/>
          <w:lang w:val="pt-BR"/>
        </w:rPr>
        <w:t>pretensão</w:t>
      </w:r>
      <w:r>
        <w:rPr>
          <w:rFonts w:eastAsia="Times New Roman" w:cs="Calibri"/>
          <w:lang w:val="pt-BR"/>
        </w:rPr>
        <w:t xml:space="preserve"> revisional ora deduzida encontra amparo no ordenamento jurídico pátrio, na jurisprudência dominante dos Tribunais Superiores e nos dados oficiais do Banco Central do Brasil, razão pela qual a procedência dos pedidos é medida que se impõe como imperativo de justiça.</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lang w:val="pt-BR"/>
        </w:rPr>
      </w:pPr>
      <w:r>
        <w:rPr>
          <w:rFonts w:eastAsia="Verdana-Bold;Times New Roman" w:cs="Calibri" w:ascii="Calibri" w:hAnsi="Calibri"/>
          <w:color w:val="000000"/>
          <w:sz w:val="22"/>
          <w:szCs w:val="22"/>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3 – DO DIREITO</w:t>
      </w:r>
    </w:p>
    <w:p>
      <w:pPr>
        <w:pStyle w:val="Normal"/>
        <w:spacing w:lineRule="auto" w:line="300"/>
        <w:ind w:firstLine="2268" w:start="-567" w:end="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3.1 – DA RELAÇÃO DE CONSUMO E DA INCIDÊNCIA COGENTE DO CÓDIGO DE DEFESA DO CONSUMIDOR</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eastAsia="Times New Roman" w:cs="Calibri"/>
          <w:lang w:val="pt-BR"/>
        </w:rPr>
        <w:t xml:space="preserve">A presente demanda se insere, de forma inequívoca, no âmbito de uma </w:t>
      </w:r>
      <w:r>
        <w:rPr>
          <w:rFonts w:eastAsia="Times New Roman" w:cs="Calibri"/>
          <w:b/>
          <w:bCs/>
          <w:lang w:val="pt-BR"/>
        </w:rPr>
        <w:t>típica relação jurídica de consumo</w:t>
      </w:r>
      <w:r>
        <w:rPr>
          <w:rFonts w:eastAsia="Times New Roman" w:cs="Calibri"/>
          <w:lang w:val="pt-BR"/>
        </w:rPr>
        <w:t xml:space="preserve">, razão pela qual a incidência do Código de Defesa do Consumidor (Lei nº 8.078/90) não constitui mera faculdade interpretativa, mas </w:t>
      </w:r>
      <w:r>
        <w:rPr>
          <w:rFonts w:eastAsia="Times New Roman" w:cs="Calibri"/>
          <w:b/>
          <w:bCs/>
          <w:lang w:val="pt-BR"/>
        </w:rPr>
        <w:t>imperativo normativo de ordem pública e interesse social</w:t>
      </w:r>
      <w:r>
        <w:rPr>
          <w:rFonts w:eastAsia="Times New Roman" w:cs="Calibri"/>
          <w:lang w:val="pt-BR"/>
        </w:rPr>
        <w:t>, nos exatos termos do art. 1º do referido diploma legal, que dispõe expressamente sobre a natureza cogente de suas normas, cuja aplicação independe da vontade das partes contratantes.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Com efeito, a controvérsia sub judice tem origem em operação de crédito celebrada entre pessoa física, na condição de destinatária final do serviço, e instituição financeira que atua profissionalmente no mercado de intermediação de crédito, enquadrando-se, portanto, no conceito de </w:t>
      </w:r>
      <w:r>
        <w:rPr>
          <w:rFonts w:eastAsia="Times New Roman" w:cs="Calibri"/>
          <w:b/>
          <w:bCs/>
          <w:lang w:val="pt-BR"/>
        </w:rPr>
        <w:t>prestação de serviço de natureza bancária, financeira e de crédito</w:t>
      </w:r>
      <w:r>
        <w:rPr>
          <w:rFonts w:eastAsia="Times New Roman" w:cs="Calibri"/>
          <w:lang w:val="pt-BR"/>
        </w:rPr>
        <w:t>, expressamente previsto no art. 3º, §2º, do Código de Defesa do Consumidor — circunstância que atrai, de forma automática e inafastável, a incidência integral do microssistema consumerista.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A matéria, aliás, sequer comporta discussão, porquanto definitivamente pacificada pelo Colendo </w:t>
      </w:r>
      <w:r>
        <w:rPr>
          <w:rFonts w:eastAsia="Times New Roman" w:cs="Calibri"/>
          <w:b/>
          <w:bCs/>
          <w:lang w:val="pt-BR"/>
        </w:rPr>
        <w:t>Superior Tribunal de Justiça</w:t>
      </w:r>
      <w:r>
        <w:rPr>
          <w:rFonts w:eastAsia="Times New Roman" w:cs="Calibri"/>
          <w:lang w:val="pt-BR"/>
        </w:rPr>
        <w:t xml:space="preserve">, que, após reiterados pronunciamentos, consolidou o entendimento por meio da </w:t>
      </w:r>
      <w:r>
        <w:rPr>
          <w:rFonts w:eastAsia="Times New Roman" w:cs="Calibri"/>
          <w:b/>
          <w:bCs/>
          <w:lang w:val="pt-BR"/>
        </w:rPr>
        <w:t>Súmula nº 297</w:t>
      </w:r>
      <w:r>
        <w:rPr>
          <w:rFonts w:eastAsia="Times New Roman" w:cs="Calibri"/>
          <w:lang w:val="pt-BR"/>
        </w:rPr>
        <w:t>:</w:t>
      </w:r>
    </w:p>
    <w:p>
      <w:pPr>
        <w:pStyle w:val="Normal"/>
        <w:spacing w:lineRule="auto" w:line="300"/>
        <w:jc w:val="both"/>
        <w:rPr>
          <w:rFonts w:cs="Calibri"/>
          <w:bCs/>
          <w:lang w:val="pt-BR"/>
        </w:rPr>
      </w:pPr>
      <w:r>
        <w:rPr>
          <w:rFonts w:cs="Calibri"/>
          <w:bCs/>
          <w:lang w:val="pt-BR"/>
        </w:rPr>
      </w:r>
    </w:p>
    <w:p>
      <w:pPr>
        <w:pStyle w:val="Normal"/>
        <w:numPr>
          <w:ilvl w:val="0"/>
          <w:numId w:val="0"/>
        </w:numPr>
        <w:shd w:fill="FFFFFF" w:val="clear"/>
        <w:spacing w:lineRule="auto" w:line="240"/>
        <w:ind w:start="2268" w:end="0"/>
        <w:jc w:val="both"/>
        <w:outlineLvl w:val="0"/>
        <w:rPr>
          <w:rFonts w:cs="Calibri"/>
          <w:kern w:val="2"/>
          <w:sz w:val="20"/>
          <w:szCs w:val="20"/>
          <w:lang w:val="pt-BR"/>
        </w:rPr>
      </w:pPr>
      <w:r>
        <w:rPr>
          <w:rFonts w:cs="Calibri"/>
          <w:kern w:val="2"/>
          <w:sz w:val="20"/>
          <w:szCs w:val="20"/>
          <w:lang w:val="pt-BR"/>
        </w:rPr>
        <w:t xml:space="preserve">STJ - Súmula 297 </w:t>
      </w:r>
      <w:r>
        <w:rPr>
          <w:rFonts w:cs="Calibri"/>
          <w:sz w:val="20"/>
          <w:szCs w:val="20"/>
          <w:shd w:fill="FFFFFF" w:val="clear"/>
          <w:lang w:val="pt-BR"/>
        </w:rPr>
        <w:t>O Código de Defesa do Consumidor é aplicável as instituições financeiras.</w:t>
      </w:r>
    </w:p>
    <w:p>
      <w:pPr>
        <w:pStyle w:val="Normal"/>
        <w:spacing w:lineRule="auto" w:line="300"/>
        <w:jc w:val="both"/>
        <w:rPr>
          <w:rFonts w:cs="Calibri"/>
          <w:kern w:val="2"/>
          <w:sz w:val="20"/>
          <w:szCs w:val="20"/>
          <w:lang w:val="pt-BR"/>
        </w:rPr>
      </w:pPr>
      <w:r>
        <w:rPr>
          <w:rFonts w:cs="Calibri"/>
          <w:kern w:val="2"/>
          <w:sz w:val="20"/>
          <w:szCs w:val="20"/>
          <w:lang w:val="pt-BR"/>
        </w:rPr>
      </w:r>
    </w:p>
    <w:p>
      <w:pPr>
        <w:pStyle w:val="Normal"/>
        <w:spacing w:lineRule="auto" w:line="300"/>
        <w:ind w:firstLine="1418" w:end="0"/>
        <w:jc w:val="both"/>
        <w:rPr>
          <w:rFonts w:cs="Calibri"/>
          <w:lang w:val="pt-BR"/>
        </w:rPr>
      </w:pPr>
      <w:r>
        <w:rPr>
          <w:rFonts w:eastAsia="Times New Roman" w:cs="Calibri"/>
          <w:lang w:val="pt-BR"/>
        </w:rPr>
        <w:t xml:space="preserve">Estão presentes, no caso vertente, </w:t>
      </w:r>
      <w:r>
        <w:rPr>
          <w:rFonts w:eastAsia="Times New Roman" w:cs="Calibri"/>
          <w:b/>
          <w:bCs/>
          <w:lang w:val="pt-BR"/>
        </w:rPr>
        <w:t>todos os elementos essenciais</w:t>
      </w:r>
      <w:r>
        <w:rPr>
          <w:rFonts w:eastAsia="Times New Roman" w:cs="Calibri"/>
          <w:lang w:val="pt-BR"/>
        </w:rPr>
        <w:t xml:space="preserve"> que caracterizam a relação jurídica de consumo, a saber:</w:t>
      </w:r>
    </w:p>
    <w:p>
      <w:pPr>
        <w:pStyle w:val="Normal"/>
        <w:spacing w:lineRule="auto" w:line="300"/>
        <w:ind w:firstLine="720" w:end="0"/>
        <w:jc w:val="both"/>
        <w:rPr>
          <w:rFonts w:cs="Calibri"/>
          <w:b/>
          <w:bCs/>
          <w:lang w:val="pt-BR"/>
        </w:rPr>
      </w:pPr>
      <w:r>
        <w:rPr>
          <w:rFonts w:cs="Calibri"/>
          <w:b/>
          <w:bCs/>
          <w:lang w:val="pt-BR"/>
        </w:rPr>
      </w:r>
    </w:p>
    <w:p>
      <w:pPr>
        <w:pStyle w:val="Normal"/>
        <w:spacing w:lineRule="auto" w:line="300"/>
        <w:ind w:firstLine="1418" w:end="0"/>
        <w:jc w:val="both"/>
        <w:rPr>
          <w:rFonts w:cs="Calibri"/>
          <w:lang w:val="pt-BR"/>
        </w:rPr>
      </w:pPr>
      <w:r>
        <w:rPr>
          <w:rFonts w:eastAsia="Times New Roman" w:cs="Calibri"/>
          <w:b/>
          <w:bCs/>
          <w:lang w:val="pt-BR"/>
        </w:rPr>
        <w:t>a) Consumidor</w:t>
      </w:r>
      <w:r>
        <w:rPr>
          <w:rFonts w:eastAsia="Times New Roman" w:cs="Calibri"/>
          <w:lang w:val="pt-BR"/>
        </w:rPr>
        <w:t xml:space="preserve"> – A parte requerente se qualifica como consumidora na acepção do art. 2º do CDC, na medida em que contratou o empréstimo pessoal como destinatária final fática e econômica do serviço financeiro, sem qualquer intuito de repasse ou intermediação, utilizando o crédito para satisfação de necessidade pessoal. Nos termos do referido dispositivo:</w:t>
      </w:r>
    </w:p>
    <w:p>
      <w:pPr>
        <w:pStyle w:val="Normal"/>
        <w:spacing w:lineRule="auto" w:line="300"/>
        <w:ind w:start="2268" w:end="0"/>
        <w:jc w:val="both"/>
        <w:rPr>
          <w:rFonts w:cs="Calibri"/>
          <w:b/>
          <w:bCs/>
          <w:i/>
          <w:i/>
          <w:iCs/>
          <w:lang w:val="pt-BR"/>
        </w:rPr>
      </w:pPr>
      <w:r>
        <w:rPr>
          <w:rFonts w:cs="Calibri"/>
          <w:b/>
          <w:bCs/>
          <w:i/>
          <w:iCs/>
          <w:lang w:val="pt-BR"/>
        </w:rPr>
      </w:r>
    </w:p>
    <w:p>
      <w:pPr>
        <w:pStyle w:val="Normal"/>
        <w:spacing w:lineRule="auto" w:line="240"/>
        <w:ind w:start="2268" w:end="0"/>
        <w:jc w:val="both"/>
        <w:rPr>
          <w:rFonts w:cs="Calibri"/>
          <w:sz w:val="20"/>
          <w:szCs w:val="20"/>
          <w:lang w:val="pt-BR"/>
        </w:rPr>
      </w:pPr>
      <w:r>
        <w:rPr>
          <w:rFonts w:eastAsia="Times New Roman" w:cs="Calibri"/>
          <w:b/>
          <w:bCs/>
          <w:sz w:val="20"/>
          <w:szCs w:val="20"/>
          <w:lang w:val="pt-BR"/>
        </w:rPr>
        <w:t>“Art. 2º. Consumidor é toda pessoa física ou jurídica que adquire ou utiliza produto ou serviço como destinatário final.”</w:t>
      </w:r>
    </w:p>
    <w:p>
      <w:pPr>
        <w:pStyle w:val="Normal"/>
        <w:spacing w:lineRule="auto" w:line="300"/>
        <w:ind w:firstLine="720" w:end="0"/>
        <w:jc w:val="both"/>
        <w:rPr>
          <w:rFonts w:cs="Calibri"/>
          <w:b/>
          <w:bCs/>
          <w:sz w:val="20"/>
          <w:szCs w:val="20"/>
          <w:lang w:val="pt-BR"/>
        </w:rPr>
      </w:pPr>
      <w:r>
        <w:rPr>
          <w:rFonts w:cs="Calibri"/>
          <w:b/>
          <w:bCs/>
          <w:sz w:val="20"/>
          <w:szCs w:val="20"/>
          <w:lang w:val="pt-BR"/>
        </w:rPr>
      </w:r>
    </w:p>
    <w:p>
      <w:pPr>
        <w:pStyle w:val="Normal"/>
        <w:spacing w:lineRule="auto" w:line="300"/>
        <w:ind w:firstLine="1418" w:end="0"/>
        <w:jc w:val="both"/>
        <w:rPr>
          <w:rFonts w:cs="Calibri"/>
          <w:lang w:val="pt-BR"/>
        </w:rPr>
      </w:pPr>
      <w:r>
        <w:rPr>
          <w:rFonts w:eastAsia="Times New Roman" w:cs="Calibri"/>
          <w:b/>
          <w:bCs/>
          <w:lang w:val="pt-BR"/>
        </w:rPr>
        <w:t>b) Fornecedor</w:t>
      </w:r>
      <w:r>
        <w:rPr>
          <w:rFonts w:eastAsia="Times New Roman" w:cs="Calibri"/>
          <w:lang w:val="pt-BR"/>
        </w:rPr>
        <w:t xml:space="preserve"> – O banco requerido se enquadra, sem margem para dúvida, no conceito de fornecedor estampado no art. 3º, caput, do CDC, porquanto desenvolve, de forma habitual, profissional e mediante remuneração, atividade de concessão de crédito e intermediação financeira no mercado de consumo:</w:t>
      </w:r>
    </w:p>
    <w:p>
      <w:pPr>
        <w:pStyle w:val="Normal"/>
        <w:spacing w:lineRule="auto" w:line="300"/>
        <w:ind w:start="2268" w:end="0"/>
        <w:jc w:val="both"/>
        <w:rPr>
          <w:rFonts w:cs="Calibri"/>
          <w:i/>
          <w:i/>
          <w:iCs/>
          <w:lang w:val="pt-BR"/>
        </w:rPr>
      </w:pPr>
      <w:r>
        <w:rPr>
          <w:rFonts w:cs="Calibri"/>
          <w:i/>
          <w:iCs/>
          <w:lang w:val="pt-BR"/>
        </w:rPr>
      </w:r>
    </w:p>
    <w:p>
      <w:pPr>
        <w:pStyle w:val="Normal"/>
        <w:spacing w:lineRule="auto" w:line="240"/>
        <w:ind w:start="2268" w:end="0"/>
        <w:jc w:val="both"/>
        <w:rPr>
          <w:rFonts w:cs="Calibri"/>
          <w:sz w:val="20"/>
          <w:szCs w:val="20"/>
          <w:lang w:val="pt-BR"/>
        </w:rPr>
      </w:pPr>
      <w:r>
        <w:rPr>
          <w:rFonts w:eastAsia="Times New Roman" w:cs="Calibri"/>
          <w:sz w:val="20"/>
          <w:szCs w:val="20"/>
          <w:lang w:val="pt-BR"/>
        </w:rPr>
        <w:t>“Art. 3º.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pPr>
        <w:pStyle w:val="Normal"/>
        <w:spacing w:lineRule="auto" w:line="300"/>
        <w:ind w:firstLine="720" w:end="0"/>
        <w:jc w:val="both"/>
        <w:rPr>
          <w:rFonts w:cs="Calibri"/>
          <w:b/>
          <w:bCs/>
          <w:sz w:val="20"/>
          <w:szCs w:val="20"/>
          <w:lang w:val="pt-BR"/>
        </w:rPr>
      </w:pPr>
      <w:r>
        <w:rPr>
          <w:rFonts w:cs="Calibri"/>
          <w:b/>
          <w:bCs/>
          <w:sz w:val="20"/>
          <w:szCs w:val="20"/>
          <w:lang w:val="pt-BR"/>
        </w:rPr>
      </w:r>
    </w:p>
    <w:p>
      <w:pPr>
        <w:pStyle w:val="Normal"/>
        <w:spacing w:lineRule="auto" w:line="300"/>
        <w:ind w:firstLine="1418" w:end="0"/>
        <w:jc w:val="both"/>
        <w:rPr>
          <w:rFonts w:cs="Calibri"/>
          <w:lang w:val="pt-BR"/>
        </w:rPr>
      </w:pPr>
      <w:r>
        <w:rPr>
          <w:rFonts w:eastAsia="Times New Roman" w:cs="Calibri"/>
          <w:b/>
          <w:bCs/>
          <w:lang w:val="pt-BR"/>
        </w:rPr>
        <w:t>c) Serviço de natureza financeira</w:t>
      </w:r>
      <w:r>
        <w:rPr>
          <w:rFonts w:eastAsia="Times New Roman" w:cs="Calibri"/>
          <w:lang w:val="pt-BR"/>
        </w:rPr>
        <w:t xml:space="preserve"> – O próprio legislador, antevendo eventuais resistências do setor bancário, fez questão de incluir, de forma expressa e taxativa, as atividades bancárias, financeiras, de crédito e securitárias no conceito de serviço, nos termos do art. 3º, §2º, do CDC:</w:t>
      </w:r>
    </w:p>
    <w:p>
      <w:pPr>
        <w:pStyle w:val="Normal"/>
        <w:spacing w:lineRule="auto" w:line="300"/>
        <w:ind w:start="2268" w:end="0"/>
        <w:jc w:val="both"/>
        <w:rPr>
          <w:rFonts w:cs="Calibri"/>
          <w:i/>
          <w:i/>
          <w:iCs/>
          <w:lang w:val="pt-BR"/>
        </w:rPr>
      </w:pPr>
      <w:r>
        <w:rPr>
          <w:rFonts w:cs="Calibri"/>
          <w:i/>
          <w:iCs/>
          <w:lang w:val="pt-BR"/>
        </w:rPr>
      </w:r>
    </w:p>
    <w:p>
      <w:pPr>
        <w:pStyle w:val="Normal"/>
        <w:spacing w:lineRule="auto" w:line="240"/>
        <w:ind w:start="2268" w:end="0"/>
        <w:jc w:val="both"/>
        <w:rPr>
          <w:rFonts w:cs="Calibri"/>
          <w:sz w:val="20"/>
          <w:szCs w:val="20"/>
          <w:lang w:val="pt-BR"/>
        </w:rPr>
      </w:pPr>
      <w:r>
        <w:rPr>
          <w:rFonts w:eastAsia="Times New Roman" w:cs="Calibri"/>
          <w:sz w:val="20"/>
          <w:szCs w:val="20"/>
          <w:lang w:val="pt-BR"/>
        </w:rPr>
        <w:t xml:space="preserve">“§2º. Serviço é qualquer atividade fornecida no mercado de consumo, mediante remuneração, </w:t>
      </w:r>
      <w:r>
        <w:rPr>
          <w:rFonts w:eastAsia="Times New Roman" w:cs="Calibri"/>
          <w:b/>
          <w:bCs/>
          <w:sz w:val="20"/>
          <w:szCs w:val="20"/>
          <w:lang w:val="pt-BR"/>
        </w:rPr>
        <w:t>inclusive as de natureza bancária, financeira, de crédito e securitária</w:t>
      </w:r>
      <w:r>
        <w:rPr>
          <w:rFonts w:eastAsia="Times New Roman" w:cs="Calibri"/>
          <w:sz w:val="20"/>
          <w:szCs w:val="20"/>
          <w:lang w:val="pt-BR"/>
        </w:rPr>
        <w:t>, salvo as decorrentes das relações de caráter trabalhista.” (grifo nosso)</w:t>
      </w:r>
    </w:p>
    <w:p>
      <w:pPr>
        <w:pStyle w:val="Normal"/>
        <w:spacing w:lineRule="auto" w:line="300"/>
        <w:ind w:firstLine="720" w:end="0"/>
        <w:jc w:val="both"/>
        <w:rPr>
          <w:rFonts w:cs="Calibri"/>
          <w:b/>
          <w:bCs/>
          <w:sz w:val="20"/>
          <w:szCs w:val="20"/>
          <w:lang w:val="pt-BR"/>
        </w:rPr>
      </w:pPr>
      <w:r>
        <w:rPr>
          <w:rFonts w:cs="Calibri"/>
          <w:b/>
          <w:bCs/>
          <w:sz w:val="20"/>
          <w:szCs w:val="20"/>
          <w:lang w:val="pt-BR"/>
        </w:rPr>
      </w:r>
    </w:p>
    <w:p>
      <w:pPr>
        <w:pStyle w:val="Normal"/>
        <w:spacing w:lineRule="auto" w:line="300"/>
        <w:ind w:firstLine="1418" w:end="0"/>
        <w:jc w:val="both"/>
        <w:rPr>
          <w:rFonts w:cs="Calibri"/>
          <w:lang w:val="pt-BR"/>
        </w:rPr>
      </w:pPr>
      <w:r>
        <w:rPr>
          <w:rFonts w:eastAsia="Times New Roman" w:cs="Calibri"/>
          <w:b/>
          <w:bCs/>
          <w:lang w:val="pt-BR"/>
        </w:rPr>
        <w:t>d) Vulnerabilidade</w:t>
      </w:r>
      <w:r>
        <w:rPr>
          <w:rFonts w:eastAsia="Times New Roman" w:cs="Calibri"/>
          <w:lang w:val="pt-BR"/>
        </w:rPr>
        <w:t xml:space="preserve"> – Elemento de especial relevância no caso concreto, a vulnerabilidade da parte requerente se manifesta em suas múltiplas dimensões: </w:t>
      </w:r>
      <w:r>
        <w:rPr>
          <w:rFonts w:eastAsia="Times New Roman" w:cs="Calibri"/>
          <w:i/>
          <w:iCs/>
          <w:lang w:val="pt-BR"/>
        </w:rPr>
        <w:t>técnica</w:t>
      </w:r>
      <w:r>
        <w:rPr>
          <w:rFonts w:eastAsia="Times New Roman" w:cs="Calibri"/>
          <w:lang w:val="pt-BR"/>
        </w:rPr>
        <w:t xml:space="preserve">, na medida em que não detém conhecimentos especializados sobre operações financeiras e taxas de juros; </w:t>
      </w:r>
      <w:r>
        <w:rPr>
          <w:rFonts w:eastAsia="Times New Roman" w:cs="Calibri"/>
          <w:i/>
          <w:iCs/>
          <w:lang w:val="pt-BR"/>
        </w:rPr>
        <w:t>jurídica</w:t>
      </w:r>
      <w:r>
        <w:rPr>
          <w:rFonts w:eastAsia="Times New Roman" w:cs="Calibri"/>
          <w:lang w:val="pt-BR"/>
        </w:rPr>
        <w:t xml:space="preserve">, porquanto aderiu a contrato pré-redigido unilateralmente pela instituição financeira, sem qualquer possibilidade de negociação de cláusulas; </w:t>
      </w:r>
      <w:r>
        <w:rPr>
          <w:rFonts w:eastAsia="Times New Roman" w:cs="Calibri"/>
          <w:i/>
          <w:iCs/>
          <w:lang w:val="pt-BR"/>
        </w:rPr>
        <w:t>econômica</w:t>
      </w:r>
      <w:r>
        <w:rPr>
          <w:rFonts w:eastAsia="Times New Roman" w:cs="Calibri"/>
          <w:lang w:val="pt-BR"/>
        </w:rPr>
        <w:t xml:space="preserve">, diante da manifesta disparidade de forças entre a consumidora e a instituição bancária; e </w:t>
      </w:r>
      <w:r>
        <w:rPr>
          <w:rFonts w:eastAsia="Times New Roman" w:cs="Calibri"/>
          <w:i/>
          <w:iCs/>
          <w:lang w:val="pt-BR"/>
        </w:rPr>
        <w:t>informacional</w:t>
      </w:r>
      <w:r>
        <w:rPr>
          <w:rFonts w:eastAsia="Times New Roman" w:cs="Calibri"/>
          <w:lang w:val="pt-BR"/>
        </w:rPr>
        <w:t>, haja vista a assimetria de informações inerente à relação entre consumidor e agente financeiro.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eastAsia="Times New Roman" w:cs="Calibri"/>
          <w:lang w:val="pt-BR"/>
        </w:rPr>
      </w:pPr>
      <w:r>
        <w:rPr>
          <w:rFonts w:eastAsia="Times New Roman" w:cs="Calibri"/>
          <w:lang w:val="pt-BR"/>
        </w:rPr>
        <w:t xml:space="preserve">A doutrina especializada corrobora, de forma unânime, o enquadramento ora sustentado. Nesse sentido, é oportuna a lição de </w:t>
      </w:r>
      <w:r>
        <w:rPr>
          <w:rFonts w:eastAsia="Times New Roman" w:cs="Calibri"/>
          <w:b/>
          <w:bCs/>
          <w:lang w:val="pt-BR"/>
        </w:rPr>
        <w:t>Rizzatto Nunes</w:t>
      </w:r>
      <w:r>
        <w:rPr>
          <w:rFonts w:eastAsia="Times New Roman" w:cs="Calibri"/>
          <w:lang w:val="pt-BR"/>
        </w:rPr>
        <w:t>, ao abordar a amplitude do conceito de fornecedor no âmbito das relações de consumo:</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240"/>
        <w:ind w:start="2268" w:end="0"/>
        <w:jc w:val="both"/>
        <w:rPr>
          <w:rFonts w:cs="Calibri"/>
          <w:sz w:val="20"/>
          <w:szCs w:val="20"/>
          <w:lang w:val="pt-BR"/>
        </w:rPr>
      </w:pPr>
      <w:r>
        <w:rPr>
          <w:rFonts w:eastAsia="Times New Roman" w:cs="Calibri"/>
          <w:sz w:val="20"/>
          <w:szCs w:val="20"/>
          <w:lang w:val="pt-BR"/>
        </w:rPr>
        <w:t>“São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 (NUNES, Rizzatto. Curso de Direito do Consumidor. 3ª ed. São Paulo: Saraiva, 2008, p. 86)</w:t>
      </w:r>
    </w:p>
    <w:p>
      <w:pPr>
        <w:pStyle w:val="Normal"/>
        <w:spacing w:lineRule="auto" w:line="300"/>
        <w:ind w:firstLine="1418"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eastAsia="Times New Roman" w:cs="Calibri"/>
          <w:lang w:val="pt-BR"/>
        </w:rPr>
        <w:t xml:space="preserve">Na mesma linha, a eminente Cláudia Lima Marques, uma das maiores autoridades brasileiras em Direito do Consumidor, destaca que a vulnerabilidade é o pilar fundamental que justifica a existência de um sistema de proteção diferenciado, sendo a presunção de vulnerabilidade do consumidor </w:t>
      </w:r>
      <w:r>
        <w:rPr>
          <w:rFonts w:eastAsia="Times New Roman" w:cs="Calibri"/>
          <w:i/>
          <w:iCs/>
          <w:lang w:val="pt-BR"/>
        </w:rPr>
        <w:t>absoluta</w:t>
      </w:r>
      <w:r>
        <w:rPr>
          <w:rFonts w:eastAsia="Times New Roman" w:cs="Calibri"/>
          <w:lang w:val="pt-BR"/>
        </w:rPr>
        <w:t xml:space="preserve"> no caso de pessoa física, conforme amplamente reconhecido pela jurisprudência dos Tribunais Superiores.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Reconhecida a relação de consumo, impõe-se ao requerido, na condição de fornecedor de serviços bancários, a </w:t>
      </w:r>
      <w:r>
        <w:rPr>
          <w:rFonts w:eastAsia="Times New Roman" w:cs="Calibri"/>
          <w:b/>
          <w:bCs/>
          <w:lang w:val="pt-BR"/>
        </w:rPr>
        <w:t>responsabilidade civil objetiva</w:t>
      </w:r>
      <w:r>
        <w:rPr>
          <w:rFonts w:eastAsia="Times New Roman" w:cs="Calibri"/>
          <w:lang w:val="pt-BR"/>
        </w:rPr>
        <w:t xml:space="preserve"> pelos danos causados à parte requerente, nos termos dos arts. 12 e 14 do Código de Defesa do Consumidor, prescindindo-se, portanto, da demonstração de culpa para a configuração do dever de indenizar e de reparar o desequilíbrio contratual.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Ademais, a aplicação do CDC ao caso concreto viabiliza a </w:t>
      </w:r>
      <w:r>
        <w:rPr>
          <w:rFonts w:eastAsia="Times New Roman" w:cs="Calibri"/>
          <w:b/>
          <w:bCs/>
          <w:lang w:val="pt-BR"/>
        </w:rPr>
        <w:t>inversão do ônus da prova</w:t>
      </w:r>
      <w:r>
        <w:rPr>
          <w:rFonts w:eastAsia="Times New Roman" w:cs="Calibri"/>
          <w:lang w:val="pt-BR"/>
        </w:rPr>
        <w:t>, prevista no art. 6º, inciso VIII, do referido diploma, instrumento processual de fundamental importância para a efetiva tutela dos direitos da consumidora, na medida em que transfere ao fornecedor o encargo de demonstrar a regularidade e a licitude de sua conduta contratual — o que, data vênia, afigura-se impossível diante dos fatos narrados.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Outrossim, merece destaque a incidência do art. 51, inciso IV, do CDC, que comina de </w:t>
      </w:r>
      <w:r>
        <w:rPr>
          <w:rFonts w:eastAsia="Times New Roman" w:cs="Calibri"/>
          <w:b/>
          <w:bCs/>
          <w:lang w:val="pt-BR"/>
        </w:rPr>
        <w:t>nulidade absoluta</w:t>
      </w:r>
      <w:r>
        <w:rPr>
          <w:rFonts w:eastAsia="Times New Roman" w:cs="Calibri"/>
          <w:lang w:val="pt-BR"/>
        </w:rPr>
        <w:t xml:space="preserve"> as cláusulas contratuais que “estabeleçam obrigações consideradas iníquas, abusivas, que coloquem o consumidor em desvantagem exagerada, ou sejam incompatíveis com a boa-fé ou a equidade” — hipótese que se amolda com precisão cirúrgica ao caso sub judice, em que a taxa de juros imposta supera em quase cinco vezes a média praticada pelo mercado.</w:t>
      </w:r>
    </w:p>
    <w:p>
      <w:pPr>
        <w:pStyle w:val="Normal"/>
        <w:spacing w:lineRule="auto" w:line="300"/>
        <w:ind w:firstLine="1418" w:end="0"/>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Destarte, à luz da legislação vigente, da jurisprudência consolidada do Superior Tribunal de Justiça e do Supremo Tribunal Federal, e da doutrina especializada, </w:t>
      </w:r>
      <w:r>
        <w:rPr>
          <w:rFonts w:eastAsia="Times New Roman" w:cs="Calibri"/>
          <w:b/>
          <w:bCs/>
          <w:lang w:val="pt-BR"/>
        </w:rPr>
        <w:t>não subsiste qualquer dúvida quanto à plena aplicabilidade do Código de Defesa do Consumidor ao caso vertente</w:t>
      </w:r>
      <w:r>
        <w:rPr>
          <w:rFonts w:eastAsia="Times New Roman" w:cs="Calibri"/>
          <w:lang w:val="pt-BR"/>
        </w:rPr>
        <w:t>, devendo a instituição financeira requerida suportar todos os ônus decorrentes das práticas abusivas por ela perpetradas, respondendo objetivamente pelos prejuízos causados à parte autora e submetendo-se ao regime de proteção integral que o ordenamento jurídico confere ao consumidor vulnerável.</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3.2 - DA RESPONSABILIDADE OBJETIVA DO FORNECEDOR DE SERVIÇOS (ART. 14 DO CDC)</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eastAsia="Times New Roman" w:cs="Calibri"/>
          <w:lang w:val="pt-BR"/>
        </w:rPr>
        <w:t xml:space="preserve">Conforme demonstrado no tópico precedente, a relação jurídica entre as partes se reveste de inequívoca natureza consumerista, circunstância que impõe ao banco requerido, na condição de </w:t>
      </w:r>
      <w:r>
        <w:rPr>
          <w:rFonts w:eastAsia="Times New Roman" w:cs="Calibri"/>
          <w:b/>
          <w:bCs/>
          <w:lang w:val="pt-BR"/>
        </w:rPr>
        <w:t>fornecedor de serviços bancários e de intermediação financeira</w:t>
      </w:r>
      <w:r>
        <w:rPr>
          <w:rFonts w:eastAsia="Times New Roman" w:cs="Calibri"/>
          <w:lang w:val="pt-BR"/>
        </w:rPr>
        <w:t xml:space="preserve">, o regime da </w:t>
      </w:r>
      <w:r>
        <w:rPr>
          <w:rFonts w:eastAsia="Times New Roman" w:cs="Calibri"/>
          <w:b/>
          <w:bCs/>
          <w:lang w:val="pt-BR"/>
        </w:rPr>
        <w:t>responsabilidade civil objetiva</w:t>
      </w:r>
      <w:r>
        <w:rPr>
          <w:rFonts w:eastAsia="Times New Roman" w:cs="Calibri"/>
          <w:lang w:val="pt-BR"/>
        </w:rPr>
        <w:t xml:space="preserve"> pelos danos causados à parte requerente, nos exatos termos do art. 14 do Código de Defesa do Consumidor — dispositivo que representa verdadeira opção político-legislativa do constituinte derivado em favor da máxima proteção do consumidor, dispensando-se qualquer perquirição acerca do elemento subjetivo (culpa) do fornecedor.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O art. 14, </w:t>
      </w:r>
      <w:r>
        <w:rPr>
          <w:rFonts w:eastAsia="Times New Roman" w:cs="Calibri"/>
          <w:i/>
          <w:iCs/>
          <w:lang w:val="pt-BR"/>
        </w:rPr>
        <w:t>caput</w:t>
      </w:r>
      <w:r>
        <w:rPr>
          <w:rFonts w:eastAsia="Times New Roman" w:cs="Calibri"/>
          <w:lang w:val="pt-BR"/>
        </w:rPr>
        <w:t xml:space="preserve">, do Código de Defesa do Consumidor consagra, em termos inequívocos, a teoria do </w:t>
      </w:r>
      <w:r>
        <w:rPr>
          <w:rFonts w:eastAsia="Times New Roman" w:cs="Calibri"/>
          <w:b/>
          <w:bCs/>
          <w:lang w:val="pt-BR"/>
        </w:rPr>
        <w:t>risco da atividade</w:t>
      </w:r>
      <w:r>
        <w:rPr>
          <w:rFonts w:eastAsia="Times New Roman" w:cs="Calibri"/>
          <w:lang w:val="pt-BR"/>
        </w:rPr>
        <w:t xml:space="preserve"> (também denominada </w:t>
      </w:r>
      <w:r>
        <w:rPr>
          <w:rFonts w:eastAsia="Times New Roman" w:cs="Calibri"/>
          <w:i/>
          <w:iCs/>
          <w:lang w:val="pt-BR"/>
        </w:rPr>
        <w:t>risco-proveito</w:t>
      </w:r>
      <w:r>
        <w:rPr>
          <w:rFonts w:eastAsia="Times New Roman" w:cs="Calibri"/>
          <w:lang w:val="pt-BR"/>
        </w:rPr>
        <w:t xml:space="preserve">), segundo a qual aquele que aufere proveito econômico da atividade empresarial deve, como natural contrapartida, suportar os riscos e os danos dela decorrentes. Dispõe o referido dispositivo legal, </w:t>
      </w:r>
      <w:r>
        <w:rPr>
          <w:rFonts w:eastAsia="Times New Roman" w:cs="Calibri"/>
          <w:i/>
          <w:iCs/>
          <w:lang w:val="pt-BR"/>
        </w:rPr>
        <w:t>in verbis</w:t>
      </w:r>
      <w:r>
        <w:rPr>
          <w:rFonts w:eastAsia="Times New Roman" w:cs="Calibri"/>
          <w:lang w:val="pt-BR"/>
        </w:rPr>
        <w:t>:</w:t>
      </w:r>
    </w:p>
    <w:p>
      <w:pPr>
        <w:pStyle w:val="Normal"/>
        <w:spacing w:lineRule="auto" w:line="300"/>
        <w:ind w:firstLine="2268" w:start="-567" w:end="0"/>
        <w:jc w:val="both"/>
        <w:rPr>
          <w:rFonts w:cs="Calibri"/>
          <w:lang w:val="pt-BR"/>
        </w:rPr>
      </w:pPr>
      <w:r>
        <w:rPr>
          <w:rFonts w:cs="Calibri"/>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§1º - O serviço é defeituoso quando não fornece a segurança que o consumidor dele pode esperar, levando-se em consideração as circunstâncias relevantes, entre as quais:</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I - o modo de seu fornecimento; (...) </w:t>
      </w:r>
    </w:p>
    <w:p>
      <w:pPr>
        <w:pStyle w:val="Normal"/>
        <w:spacing w:lineRule="auto" w:line="300"/>
        <w:ind w:firstLine="2268" w:start="-567"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eastAsia="Times New Roman" w:cs="Calibri"/>
          <w:lang w:val="pt-BR"/>
        </w:rPr>
        <w:t xml:space="preserve">Da exegese sistemática do dispositivo transcrito, extrai-se que o legislador consumerista estabeleceu um regime de responsabilização rigoroso e amplo, no qual a reparação dos danos causados ao consumidor </w:t>
      </w:r>
      <w:r>
        <w:rPr>
          <w:rFonts w:eastAsia="Times New Roman" w:cs="Calibri"/>
          <w:b/>
          <w:bCs/>
          <w:lang w:val="pt-BR"/>
        </w:rPr>
        <w:t>independe absolutamente da comprovação de culpa</w:t>
      </w:r>
      <w:r>
        <w:rPr>
          <w:rFonts w:eastAsia="Times New Roman" w:cs="Calibri"/>
          <w:lang w:val="pt-BR"/>
        </w:rPr>
        <w:t xml:space="preserve">, bastando, para a configuração do dever de indenizar e reparar, a demonstração concomitante de três elementos: </w:t>
      </w:r>
      <w:r>
        <w:rPr>
          <w:rFonts w:eastAsia="Times New Roman" w:cs="Calibri"/>
          <w:b/>
          <w:bCs/>
          <w:lang w:val="pt-BR"/>
        </w:rPr>
        <w:t>(i)</w:t>
      </w:r>
      <w:r>
        <w:rPr>
          <w:rFonts w:eastAsia="Times New Roman" w:cs="Calibri"/>
          <w:lang w:val="pt-BR"/>
        </w:rPr>
        <w:t xml:space="preserve"> o defeito do serviço prestado; </w:t>
      </w:r>
      <w:r>
        <w:rPr>
          <w:rFonts w:eastAsia="Times New Roman" w:cs="Calibri"/>
          <w:b/>
          <w:bCs/>
          <w:lang w:val="pt-BR"/>
        </w:rPr>
        <w:t>(ii)</w:t>
      </w:r>
      <w:r>
        <w:rPr>
          <w:rFonts w:eastAsia="Times New Roman" w:cs="Calibri"/>
          <w:lang w:val="pt-BR"/>
        </w:rPr>
        <w:t xml:space="preserve"> o dano experimentado pelo consumidor; e </w:t>
      </w:r>
      <w:r>
        <w:rPr>
          <w:rFonts w:eastAsia="Times New Roman" w:cs="Calibri"/>
          <w:b/>
          <w:bCs/>
          <w:lang w:val="pt-BR"/>
        </w:rPr>
        <w:t>(iii)</w:t>
      </w:r>
      <w:r>
        <w:rPr>
          <w:rFonts w:eastAsia="Times New Roman" w:cs="Calibri"/>
          <w:lang w:val="pt-BR"/>
        </w:rPr>
        <w:t xml:space="preserve"> o nexo de causalidade entre o defeito e o dano.</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eastAsia="Times New Roman" w:cs="Calibri"/>
          <w:lang w:val="pt-BR"/>
        </w:rPr>
      </w:pPr>
      <w:r>
        <w:rPr>
          <w:rFonts w:eastAsia="Times New Roman" w:cs="Calibri"/>
          <w:lang w:val="pt-BR"/>
        </w:rPr>
        <w:t xml:space="preserve">Cumpre destacar que o conceito de </w:t>
      </w:r>
      <w:r>
        <w:rPr>
          <w:rFonts w:eastAsia="Times New Roman" w:cs="Calibri"/>
          <w:b/>
          <w:bCs/>
          <w:lang w:val="pt-BR"/>
        </w:rPr>
        <w:t>defeito do serviço</w:t>
      </w:r>
      <w:r>
        <w:rPr>
          <w:rFonts w:eastAsia="Times New Roman" w:cs="Calibri"/>
          <w:lang w:val="pt-BR"/>
        </w:rPr>
        <w:t xml:space="preserve">, para fins de incidência do art. 14 do CDC, não se restringe a falhas operacionais ou técnicas, mas abrange toda e qualquer situação em que o serviço não oferece ao consumidor a </w:t>
      </w:r>
      <w:r>
        <w:rPr>
          <w:rFonts w:eastAsia="Times New Roman" w:cs="Calibri"/>
          <w:b/>
          <w:bCs/>
          <w:lang w:val="pt-BR"/>
        </w:rPr>
        <w:t>segurança e a confiabilidade legitimamente esperadas</w:t>
      </w:r>
      <w:r>
        <w:rPr>
          <w:rFonts w:eastAsia="Times New Roman" w:cs="Calibri"/>
          <w:lang w:val="pt-BR"/>
        </w:rPr>
        <w:t>. A noção de defeito, portanto, deve ser interpretada de forma ampla e teleológica, alcançando tanto a deficiência na prestação material do serviço quanto a imposição de condições contratuais abusivas, a ausência de informações adequadas e a cobrança de encargos manifestamente excessivos e desproporcionais.</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cs="Calibri"/>
          <w:lang w:val="pt-BR"/>
        </w:rPr>
      </w:pPr>
      <w:r>
        <w:rPr>
          <w:rFonts w:eastAsia="Times New Roman" w:cs="Calibri"/>
          <w:lang w:val="pt-BR"/>
        </w:rPr>
        <w:t xml:space="preserve">Aplicando-se tais premissas normativas ao caso sub judice, a configuração do </w:t>
      </w:r>
      <w:r>
        <w:rPr>
          <w:rFonts w:eastAsia="Times New Roman" w:cs="Calibri"/>
          <w:b/>
          <w:bCs/>
          <w:lang w:val="pt-BR"/>
        </w:rPr>
        <w:t>defeito na prestação do serviço bancário</w:t>
      </w:r>
      <w:r>
        <w:rPr>
          <w:rFonts w:eastAsia="Times New Roman" w:cs="Calibri"/>
          <w:lang w:val="pt-BR"/>
        </w:rPr>
        <w:t xml:space="preserve"> se revela de forma inconteste e multifacetada, manifestando-se, ao menos, sob três perspectivas complementares:</w:t>
      </w:r>
    </w:p>
    <w:p>
      <w:pPr>
        <w:pStyle w:val="Normal"/>
        <w:spacing w:lineRule="auto" w:line="300"/>
        <w:ind w:firstLine="1418" w:end="0"/>
        <w:jc w:val="both"/>
        <w:rPr>
          <w:rFonts w:eastAsia="Times New Roman" w:cs="Calibri"/>
          <w:b/>
          <w:bCs/>
          <w:lang w:val="pt-BR"/>
        </w:rPr>
      </w:pPr>
      <w:r>
        <w:rPr>
          <w:rFonts w:eastAsia="Times New Roman" w:cs="Calibri"/>
          <w:b/>
          <w:bCs/>
          <w:lang w:val="pt-BR"/>
        </w:rPr>
      </w:r>
    </w:p>
    <w:p>
      <w:pPr>
        <w:pStyle w:val="Normal"/>
        <w:spacing w:lineRule="auto" w:line="300"/>
        <w:ind w:firstLine="1418" w:end="0"/>
        <w:jc w:val="both"/>
        <w:rPr>
          <w:rFonts w:cs="Calibri"/>
          <w:lang w:val="pt-BR"/>
        </w:rPr>
      </w:pPr>
      <w:r>
        <w:rPr>
          <w:rFonts w:eastAsia="Times New Roman" w:cs="Calibri"/>
          <w:b/>
          <w:bCs/>
          <w:lang w:val="pt-BR"/>
        </w:rPr>
        <w:t>a) Quanto ao modo de fornecimento do serviço</w:t>
      </w:r>
      <w:r>
        <w:rPr>
          <w:rFonts w:eastAsia="Times New Roman" w:cs="Calibri"/>
          <w:lang w:val="pt-BR"/>
        </w:rPr>
        <w:t xml:space="preserve"> (art. 14, §1º, inciso I, do CDC) – O banco requerido, ao disponibilizar o crédito à parte requerente, o fez mediante a aplicação de </w:t>
      </w:r>
      <w:r>
        <w:rPr>
          <w:rFonts w:eastAsia="Times New Roman" w:cs="Calibri"/>
          <w:b/>
          <w:bCs/>
          <w:lang w:val="pt-BR"/>
        </w:rPr>
        <w:t>taxa de juros remuneratórios de 19,15% ao mês (718,71% ao ano)</w:t>
      </w:r>
      <w:r>
        <w:rPr>
          <w:rFonts w:eastAsia="Times New Roman" w:cs="Calibri"/>
          <w:lang w:val="pt-BR"/>
        </w:rPr>
        <w:t xml:space="preserve">, patamar que, conforme exaustivamente demonstrado no tópico dos fatos, é aproximadamente </w:t>
      </w:r>
      <w:r>
        <w:rPr>
          <w:rFonts w:eastAsia="Times New Roman" w:cs="Calibri"/>
          <w:b/>
          <w:bCs/>
          <w:lang w:val="pt-BR"/>
        </w:rPr>
        <w:t>2,97 vezes superior à taxa média de mercado</w:t>
      </w:r>
      <w:r>
        <w:rPr>
          <w:rFonts w:eastAsia="Times New Roman" w:cs="Calibri"/>
          <w:lang w:val="pt-BR"/>
        </w:rPr>
        <w:t xml:space="preserve"> divulgada pelo Banco Central do Brasil para a mesma modalidade e período. A imposição de encargos nessa magnitude desfigura por completo o modo de fornecimento do serviço, tornando-o manifestamente inseguro e predatório.</w:t>
      </w:r>
    </w:p>
    <w:p>
      <w:pPr>
        <w:pStyle w:val="Normal"/>
        <w:spacing w:lineRule="auto" w:line="300"/>
        <w:ind w:firstLine="1418" w:end="0"/>
        <w:jc w:val="both"/>
        <w:rPr>
          <w:rFonts w:eastAsia="Times New Roman" w:cs="Calibri"/>
          <w:b/>
          <w:bCs/>
          <w:lang w:val="pt-BR"/>
        </w:rPr>
      </w:pPr>
      <w:r>
        <w:rPr>
          <w:rFonts w:eastAsia="Times New Roman" w:cs="Calibri"/>
          <w:b/>
          <w:bCs/>
          <w:lang w:val="pt-BR"/>
        </w:rPr>
      </w:r>
    </w:p>
    <w:p>
      <w:pPr>
        <w:pStyle w:val="Normal"/>
        <w:spacing w:lineRule="auto" w:line="300"/>
        <w:ind w:firstLine="1418" w:end="0"/>
        <w:jc w:val="both"/>
        <w:rPr>
          <w:rFonts w:cs="Calibri"/>
          <w:lang w:val="pt-BR"/>
        </w:rPr>
      </w:pPr>
      <w:r>
        <w:rPr>
          <w:rFonts w:eastAsia="Times New Roman" w:cs="Calibri"/>
          <w:b/>
          <w:bCs/>
          <w:lang w:val="pt-BR"/>
        </w:rPr>
        <w:t>b) Quanto ao resultado e aos riscos razoavelmente esperados</w:t>
      </w:r>
      <w:r>
        <w:rPr>
          <w:rFonts w:eastAsia="Times New Roman" w:cs="Calibri"/>
          <w:lang w:val="pt-BR"/>
        </w:rPr>
        <w:t xml:space="preserve"> (art. 14, §1º, inciso II, do CDC) – O consumidor que contrata empréstimo pessoal junto a instituição financeira tem a legítima expectativa de que os encargos pactuados guardarão razoável correspondência com os parâmetros praticados pelo mercado. No caso vertente, a consumidora contratou crédito no valor de R$ 859,87 e está sendo compelida a pagar </w:t>
      </w:r>
      <w:r>
        <w:rPr>
          <w:rFonts w:eastAsia="Times New Roman" w:cs="Calibri"/>
          <w:b/>
          <w:bCs/>
          <w:lang w:val="pt-BR"/>
        </w:rPr>
        <w:t>R$ 3.096,72</w:t>
      </w:r>
      <w:r>
        <w:rPr>
          <w:rFonts w:eastAsia="Times New Roman" w:cs="Calibri"/>
          <w:lang w:val="pt-BR"/>
        </w:rPr>
        <w:t xml:space="preserve"> — valor que corresponde a mais de </w:t>
      </w:r>
      <w:r>
        <w:rPr>
          <w:rFonts w:eastAsia="Times New Roman" w:cs="Calibri"/>
          <w:b/>
          <w:bCs/>
          <w:i/>
          <w:iCs/>
          <w:lang w:val="pt-BR"/>
        </w:rPr>
        <w:t>3,6 vezes o montante originalmente contratado</w:t>
      </w:r>
      <w:r>
        <w:rPr>
          <w:rFonts w:eastAsia="Times New Roman" w:cs="Calibri"/>
          <w:lang w:val="pt-BR"/>
        </w:rPr>
        <w:t>. Tal resultado ultrapassa, em muito, qualquer expectativa razoável de custo financeiro, configurando risco excessivo e imprevisível que o consumidor não tinha condições de antecipar ou dimensionar adequadamente.</w:t>
      </w:r>
    </w:p>
    <w:p>
      <w:pPr>
        <w:pStyle w:val="Normal"/>
        <w:spacing w:lineRule="auto" w:line="300"/>
        <w:ind w:firstLine="1418" w:end="0"/>
        <w:jc w:val="both"/>
        <w:rPr>
          <w:rFonts w:eastAsia="Times New Roman" w:cs="Calibri"/>
          <w:b/>
          <w:bCs/>
          <w:lang w:val="pt-BR"/>
        </w:rPr>
      </w:pPr>
      <w:r>
        <w:rPr>
          <w:rFonts w:eastAsia="Times New Roman" w:cs="Calibri"/>
          <w:b/>
          <w:bCs/>
          <w:lang w:val="pt-BR"/>
        </w:rPr>
      </w:r>
    </w:p>
    <w:p>
      <w:pPr>
        <w:pStyle w:val="Normal"/>
        <w:spacing w:lineRule="auto" w:line="300"/>
        <w:ind w:firstLine="1418" w:end="0"/>
        <w:jc w:val="both"/>
        <w:rPr>
          <w:rFonts w:eastAsia="Times New Roman" w:cs="Calibri"/>
          <w:lang w:val="pt-BR"/>
        </w:rPr>
      </w:pPr>
      <w:r>
        <w:rPr>
          <w:rFonts w:eastAsia="Times New Roman" w:cs="Calibri"/>
          <w:b/>
          <w:bCs/>
          <w:lang w:val="pt-BR"/>
        </w:rPr>
        <w:t>c) Quanto à insuficiência informacional</w:t>
      </w:r>
      <w:r>
        <w:rPr>
          <w:rFonts w:eastAsia="Times New Roman" w:cs="Calibri"/>
          <w:lang w:val="pt-BR"/>
        </w:rPr>
        <w:t xml:space="preserve"> (art. 14, </w:t>
      </w:r>
      <w:r>
        <w:rPr>
          <w:rFonts w:eastAsia="Times New Roman" w:cs="Calibri"/>
          <w:i/>
          <w:iCs/>
          <w:lang w:val="pt-BR"/>
        </w:rPr>
        <w:t>caput</w:t>
      </w:r>
      <w:r>
        <w:rPr>
          <w:rFonts w:eastAsia="Times New Roman" w:cs="Calibri"/>
          <w:lang w:val="pt-BR"/>
        </w:rPr>
        <w:t xml:space="preserve">, parte final) – A própria desproporção entre a taxa contratada e a média de mercado evidencia que a instituição financeira não cumpriu adequadamente o </w:t>
      </w:r>
      <w:r>
        <w:rPr>
          <w:rFonts w:eastAsia="Times New Roman" w:cs="Calibri"/>
          <w:b/>
          <w:bCs/>
          <w:lang w:val="pt-BR"/>
        </w:rPr>
        <w:t>dever de informação</w:t>
      </w:r>
      <w:r>
        <w:rPr>
          <w:rFonts w:eastAsia="Times New Roman" w:cs="Calibri"/>
          <w:lang w:val="pt-BR"/>
        </w:rPr>
        <w:t xml:space="preserve"> que lhe é imposto pelo art. 6º, inciso III, do CDC. Com efeito, o consumidor tem o direito fundamental de receber </w:t>
      </w:r>
      <w:r>
        <w:rPr>
          <w:rFonts w:eastAsia="Times New Roman" w:cs="Calibri"/>
          <w:i/>
          <w:iCs/>
          <w:lang w:val="pt-BR"/>
        </w:rPr>
        <w:t>informação adequada e clara sobre os diferentes produtos e serviços, com especificação correta de quantidade, características, composição, qualidade, tributos incidentes e preço</w:t>
      </w:r>
      <w:r>
        <w:rPr>
          <w:rFonts w:eastAsia="Times New Roman" w:cs="Calibri"/>
          <w:lang w:val="pt-BR"/>
        </w:rPr>
        <w:t>. A omissão ou insuficiência de informações que permitissem à consumidora comparar os encargos contratados com os parâmetros de mercado constitui, por si só, defeito do serviço passível de responsabilização objetiva.</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cs="Calibri"/>
          <w:lang w:val="pt-BR"/>
        </w:rPr>
      </w:pPr>
      <w:r>
        <w:rPr>
          <w:rFonts w:eastAsia="Times New Roman" w:cs="Calibri"/>
          <w:lang w:val="pt-BR"/>
        </w:rPr>
        <w:t xml:space="preserve">O fundamento teleológico da responsabilidade objetiva reside na </w:t>
      </w:r>
      <w:r>
        <w:rPr>
          <w:rFonts w:eastAsia="Times New Roman" w:cs="Calibri"/>
          <w:b/>
          <w:bCs/>
          <w:lang w:val="pt-BR"/>
        </w:rPr>
        <w:t>teoria do risco da atividade</w:t>
      </w:r>
      <w:r>
        <w:rPr>
          <w:rFonts w:eastAsia="Times New Roman" w:cs="Calibri"/>
          <w:lang w:val="pt-BR"/>
        </w:rPr>
        <w:t>: quem se propõe a exercer atividade econômica no mercado de consumo, auferindo lucro com essa prática, deve assumir integralmente os riscos inerentes ao empreendimento, respondendo pelos danos que cause, independentemente de culpa. A atividade bancária, reconhecidamente de alto proveito econômico, não pode servir de instrumento para a imposição de encargos usurários que comprometam a subsistência do consumidor.</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eastAsia="Times New Roman" w:cs="Calibri"/>
          <w:lang w:val="pt-BR"/>
        </w:rPr>
      </w:pPr>
      <w:r>
        <w:rPr>
          <w:rFonts w:eastAsia="Times New Roman" w:cs="Calibri"/>
          <w:lang w:val="pt-BR"/>
        </w:rPr>
        <w:t xml:space="preserve">Nesse sentido, é absolutamente pertinente a lição do eminente </w:t>
      </w:r>
      <w:r>
        <w:rPr>
          <w:rFonts w:eastAsia="Times New Roman" w:cs="Calibri"/>
          <w:b/>
          <w:bCs/>
          <w:lang w:val="pt-BR"/>
        </w:rPr>
        <w:t>Sílvio de Salvo Venosa</w:t>
      </w:r>
      <w:r>
        <w:rPr>
          <w:rFonts w:eastAsia="Times New Roman" w:cs="Calibri"/>
          <w:lang w:val="pt-BR"/>
        </w:rPr>
        <w:t>, ao tratar da responsabilidade civil nas relações de consumo:</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ind w:firstLine="1418" w:end="0"/>
        <w:rPr>
          <w:rFonts w:cs="Calibri"/>
          <w:lang w:val="pt-BR"/>
        </w:rPr>
      </w:pPr>
      <w:r>
        <w:rPr>
          <w:rFonts w:cs="Calibri"/>
          <w:lang w:val="pt-BR"/>
        </w:rPr>
        <w:t xml:space="preserve"> </w:t>
      </w:r>
    </w:p>
    <w:p>
      <w:pPr>
        <w:pStyle w:val="Normal"/>
        <w:spacing w:lineRule="auto" w:line="300"/>
        <w:ind w:firstLine="1418" w:end="0"/>
        <w:jc w:val="both"/>
        <w:rPr>
          <w:rFonts w:cs="Calibri"/>
          <w:lang w:val="pt-BR"/>
        </w:rPr>
      </w:pPr>
      <w:r>
        <w:rPr>
          <w:rFonts w:eastAsia="Times New Roman" w:cs="Calibri"/>
          <w:lang w:val="pt-BR"/>
        </w:rPr>
        <w:t xml:space="preserve">No mesmo diapasão, </w:t>
      </w:r>
      <w:r>
        <w:rPr>
          <w:rFonts w:eastAsia="Times New Roman" w:cs="Calibri"/>
          <w:b/>
          <w:bCs/>
          <w:lang w:val="pt-BR"/>
        </w:rPr>
        <w:t>Sérgio Cavalieri Filho</w:t>
      </w:r>
      <w:r>
        <w:rPr>
          <w:rFonts w:eastAsia="Times New Roman" w:cs="Calibri"/>
          <w:lang w:val="pt-BR"/>
        </w:rPr>
        <w:t>, ao discorrer sobre o tema, leciona que a responsabilidade do fornecedor de serviços no âmbito do CDC é de natureza objetiva fundada no defeito do serviço, bastando ao consumidor a demonstração do defeito, do dano e do nexo causal. O fornecedor somente se exonera nas hipóteses taxativamente previstas no §3º do art. 14, a saber: inexistência do defeito, culpa exclusiva do consumidor ou de terceiro — nenhuma das quais se faz presente no caso em tela.</w:t>
      </w:r>
    </w:p>
    <w:p>
      <w:pPr>
        <w:pStyle w:val="Normal"/>
        <w:spacing w:lineRule="auto" w:line="300"/>
        <w:ind w:firstLine="1418" w:end="0"/>
        <w:jc w:val="both"/>
        <w:rPr>
          <w:rFonts w:cs="Calibri"/>
          <w:shd w:fill="FFFFFF" w:val="clear"/>
          <w:lang w:val="pt-BR"/>
        </w:rPr>
      </w:pPr>
      <w:r>
        <w:rPr>
          <w:rFonts w:cs="Calibri"/>
          <w:shd w:fill="FFFFFF" w:val="clear"/>
          <w:lang w:val="pt-BR"/>
        </w:rPr>
      </w:r>
    </w:p>
    <w:p>
      <w:pPr>
        <w:pStyle w:val="Normal"/>
        <w:spacing w:lineRule="auto" w:line="300"/>
        <w:ind w:firstLine="1418" w:end="0"/>
        <w:jc w:val="both"/>
        <w:rPr>
          <w:rFonts w:cs="Calibri"/>
          <w:lang w:val="pt-BR"/>
        </w:rPr>
      </w:pPr>
      <w:r>
        <w:rPr>
          <w:rFonts w:eastAsia="Times New Roman" w:cs="Calibri"/>
          <w:lang w:val="pt-BR"/>
        </w:rPr>
        <w:t xml:space="preserve">Merece relevo o fato de que o art. 14, §3º, do CDC estabelece, em rol </w:t>
      </w:r>
      <w:r>
        <w:rPr>
          <w:rFonts w:eastAsia="Times New Roman" w:cs="Calibri"/>
          <w:i/>
          <w:iCs/>
          <w:lang w:val="pt-BR"/>
        </w:rPr>
        <w:t>numerus clausus</w:t>
      </w:r>
      <w:r>
        <w:rPr>
          <w:rFonts w:eastAsia="Times New Roman" w:cs="Calibri"/>
          <w:lang w:val="pt-BR"/>
        </w:rPr>
        <w:t xml:space="preserve">, as únicas hipóteses em que o fornecedor de serviços poderá se eximir da responsabilidade, a saber: </w:t>
      </w:r>
      <w:r>
        <w:rPr>
          <w:rFonts w:eastAsia="Times New Roman" w:cs="Calibri"/>
          <w:b/>
          <w:bCs/>
          <w:lang w:val="pt-BR"/>
        </w:rPr>
        <w:t>(i)</w:t>
      </w:r>
      <w:r>
        <w:rPr>
          <w:rFonts w:eastAsia="Times New Roman" w:cs="Calibri"/>
          <w:lang w:val="pt-BR"/>
        </w:rPr>
        <w:t xml:space="preserve"> provando que o defeito inexiste; </w:t>
      </w:r>
      <w:r>
        <w:rPr>
          <w:rFonts w:eastAsia="Times New Roman" w:cs="Calibri"/>
          <w:b/>
          <w:bCs/>
          <w:lang w:val="pt-BR"/>
        </w:rPr>
        <w:t>(ii)</w:t>
      </w:r>
      <w:r>
        <w:rPr>
          <w:rFonts w:eastAsia="Times New Roman" w:cs="Calibri"/>
          <w:lang w:val="pt-BR"/>
        </w:rPr>
        <w:t xml:space="preserve"> provando a culpa exclusiva do consumidor ou de terceiro. Trata-se de rol taxativo e de interpretação restritiva, cabendo ao fornecedor o ônus de demonstrar a ocorrência de qualquer dessas hipóteses.</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cs="Calibri"/>
          <w:lang w:val="pt-BR"/>
        </w:rPr>
      </w:pPr>
      <w:r>
        <w:rPr>
          <w:rFonts w:eastAsia="Times New Roman" w:cs="Calibri"/>
          <w:lang w:val="pt-BR"/>
        </w:rPr>
        <w:t xml:space="preserve">No caso vertente, </w:t>
      </w:r>
      <w:r>
        <w:rPr>
          <w:rFonts w:eastAsia="Times New Roman" w:cs="Calibri"/>
          <w:b/>
          <w:bCs/>
          <w:lang w:val="pt-BR"/>
        </w:rPr>
        <w:t>nenhuma das excludentes legais se faz presente</w:t>
      </w:r>
      <w:r>
        <w:rPr>
          <w:rFonts w:eastAsia="Times New Roman" w:cs="Calibri"/>
          <w:lang w:val="pt-BR"/>
        </w:rPr>
        <w:t>. O defeito do serviço está cabalmente demonstrado pela imposição de taxa de juros 2,97 vezes superior à média de mercado; não há qualquer indício de culpa exclusiva da consumidora, que se limitou a aderir ao contrato nos termos impostos unilateralmente pelo banco; e, evidentemente, não se cogita de fato de terceiro, porquanto a fixação da taxa de juros é ato privativo e exclusivo da instituição financeira.</w:t>
      </w:r>
    </w:p>
    <w:p>
      <w:pPr>
        <w:pStyle w:val="Normal"/>
        <w:spacing w:lineRule="auto" w:line="300"/>
        <w:ind w:firstLine="1418" w:end="0"/>
        <w:jc w:val="both"/>
        <w:rPr>
          <w:rFonts w:cs="Calibri"/>
          <w:shd w:fill="FFFFFF" w:val="clear"/>
          <w:lang w:val="pt-BR"/>
        </w:rPr>
      </w:pPr>
      <w:r>
        <w:rPr>
          <w:rFonts w:cs="Calibri"/>
          <w:shd w:fill="FFFFFF" w:val="clear"/>
          <w:lang w:val="pt-BR"/>
        </w:rPr>
      </w:r>
    </w:p>
    <w:p>
      <w:pPr>
        <w:pStyle w:val="Normal"/>
        <w:spacing w:lineRule="auto" w:line="300"/>
        <w:ind w:firstLine="1418" w:end="0"/>
        <w:jc w:val="both"/>
        <w:rPr>
          <w:rFonts w:eastAsia="Times New Roman" w:cs="Calibri"/>
          <w:lang w:val="pt-BR"/>
        </w:rPr>
      </w:pPr>
      <w:r>
        <w:rPr>
          <w:rFonts w:eastAsia="Times New Roman" w:cs="Calibri"/>
          <w:lang w:val="pt-BR"/>
        </w:rPr>
        <w:t xml:space="preserve">A conduta da instituição financeira requerida não se limita a uma mera </w:t>
      </w:r>
      <w:r>
        <w:rPr>
          <w:rFonts w:eastAsia="Times New Roman" w:cs="Calibri"/>
          <w:i/>
          <w:iCs/>
          <w:lang w:val="pt-BR"/>
        </w:rPr>
        <w:t>deficiência</w:t>
      </w:r>
      <w:r>
        <w:rPr>
          <w:rFonts w:eastAsia="Times New Roman" w:cs="Calibri"/>
          <w:lang w:val="pt-BR"/>
        </w:rPr>
        <w:t xml:space="preserve"> na prestação do serviço, mas configura verdadeira </w:t>
      </w:r>
      <w:r>
        <w:rPr>
          <w:rFonts w:eastAsia="Times New Roman" w:cs="Calibri"/>
          <w:b/>
          <w:bCs/>
          <w:lang w:val="pt-BR"/>
        </w:rPr>
        <w:t>extrapolação dos limites do exercício regular de direito</w:t>
      </w:r>
      <w:r>
        <w:rPr>
          <w:rFonts w:eastAsia="Times New Roman" w:cs="Calibri"/>
          <w:lang w:val="pt-BR"/>
        </w:rPr>
        <w:t xml:space="preserve"> (art. 187 do Código Civil), na medida em que a cobrança de juros em patamar quase cinco vezes superior à média de mercado transcende qualquer noção de razoabilidade e proporcionalidade, caracterizando conduta que tangencia o próprio conceito de </w:t>
      </w:r>
      <w:r>
        <w:rPr>
          <w:rFonts w:eastAsia="Times New Roman" w:cs="Calibri"/>
          <w:b/>
          <w:bCs/>
          <w:lang w:val="pt-BR"/>
        </w:rPr>
        <w:t>usura</w:t>
      </w:r>
      <w:r>
        <w:rPr>
          <w:rFonts w:eastAsia="Times New Roman" w:cs="Calibri"/>
          <w:lang w:val="pt-BR"/>
        </w:rPr>
        <w:t>, repudiada pelo ordenamento jurídico pátrio.</w:t>
      </w:r>
    </w:p>
    <w:p>
      <w:pPr>
        <w:pStyle w:val="Normal"/>
        <w:spacing w:lineRule="auto" w:line="300"/>
        <w:ind w:firstLine="1418" w:end="0"/>
        <w:jc w:val="both"/>
        <w:rPr>
          <w:rFonts w:eastAsia="Times New Roman" w:cs="Calibri"/>
          <w:lang w:val="pt-BR"/>
        </w:rPr>
      </w:pPr>
      <w:r>
        <w:rPr>
          <w:rFonts w:eastAsia="Times New Roman" w:cs="Calibri"/>
          <w:lang w:val="pt-BR"/>
        </w:rPr>
      </w:r>
    </w:p>
    <w:p>
      <w:pPr>
        <w:pStyle w:val="Normal"/>
        <w:spacing w:lineRule="auto" w:line="300"/>
        <w:ind w:firstLine="1418" w:end="0"/>
        <w:jc w:val="both"/>
        <w:rPr>
          <w:rFonts w:cs="Calibri"/>
          <w:lang w:val="pt-BR"/>
        </w:rPr>
      </w:pPr>
      <w:r>
        <w:rPr>
          <w:rFonts w:eastAsia="Times New Roman" w:cs="Calibri"/>
          <w:lang w:val="pt-BR"/>
        </w:rPr>
        <w:t xml:space="preserve">Tal prática viola frontalmente os princípios da </w:t>
      </w:r>
      <w:r>
        <w:rPr>
          <w:rFonts w:eastAsia="Times New Roman" w:cs="Calibri"/>
          <w:b/>
          <w:bCs/>
          <w:lang w:val="pt-BR"/>
        </w:rPr>
        <w:t>boa-fé objetiva</w:t>
      </w:r>
      <w:r>
        <w:rPr>
          <w:rFonts w:eastAsia="Times New Roman" w:cs="Calibri"/>
          <w:lang w:val="pt-BR"/>
        </w:rPr>
        <w:t xml:space="preserve"> (art. 422 do CC e art. 4º, III, do CDC), da </w:t>
      </w:r>
      <w:r>
        <w:rPr>
          <w:rFonts w:eastAsia="Times New Roman" w:cs="Calibri"/>
          <w:b/>
          <w:bCs/>
          <w:lang w:val="pt-BR"/>
        </w:rPr>
        <w:t>equidade contratual</w:t>
      </w:r>
      <w:r>
        <w:rPr>
          <w:rFonts w:eastAsia="Times New Roman" w:cs="Calibri"/>
          <w:lang w:val="pt-BR"/>
        </w:rPr>
        <w:t xml:space="preserve">, da </w:t>
      </w:r>
      <w:r>
        <w:rPr>
          <w:rFonts w:eastAsia="Times New Roman" w:cs="Calibri"/>
          <w:b/>
          <w:bCs/>
          <w:lang w:val="pt-BR"/>
        </w:rPr>
        <w:t>função social do contrato</w:t>
      </w:r>
      <w:r>
        <w:rPr>
          <w:rFonts w:eastAsia="Times New Roman" w:cs="Calibri"/>
          <w:lang w:val="pt-BR"/>
        </w:rPr>
        <w:t xml:space="preserve"> (art. 421 do CC) e da </w:t>
      </w:r>
      <w:r>
        <w:rPr>
          <w:rFonts w:eastAsia="Times New Roman" w:cs="Calibri"/>
          <w:b/>
          <w:bCs/>
          <w:lang w:val="pt-BR"/>
        </w:rPr>
        <w:t>vedação ao enriquecimento sem causa</w:t>
      </w:r>
      <w:r>
        <w:rPr>
          <w:rFonts w:eastAsia="Times New Roman" w:cs="Calibri"/>
          <w:lang w:val="pt-BR"/>
        </w:rPr>
        <w:t xml:space="preserve"> (art. 884 do CC), configurando, de forma cumulativa, tanto o </w:t>
      </w:r>
      <w:r>
        <w:rPr>
          <w:rFonts w:eastAsia="Times New Roman" w:cs="Calibri"/>
          <w:i/>
          <w:iCs/>
          <w:lang w:val="pt-BR"/>
        </w:rPr>
        <w:t>defeito do serviço</w:t>
      </w:r>
      <w:r>
        <w:rPr>
          <w:rFonts w:eastAsia="Times New Roman" w:cs="Calibri"/>
          <w:lang w:val="pt-BR"/>
        </w:rPr>
        <w:t xml:space="preserve"> para fins do art. 14 do CDC quanto o </w:t>
      </w:r>
      <w:r>
        <w:rPr>
          <w:rFonts w:eastAsia="Times New Roman" w:cs="Calibri"/>
          <w:i/>
          <w:iCs/>
          <w:lang w:val="pt-BR"/>
        </w:rPr>
        <w:t>abuso de direito</w:t>
      </w:r>
      <w:r>
        <w:rPr>
          <w:rFonts w:eastAsia="Times New Roman" w:cs="Calibri"/>
          <w:lang w:val="pt-BR"/>
        </w:rPr>
        <w:t xml:space="preserve"> para fins do art. 187 do Código Civil — ambos geradores do dever de reparar.</w:t>
      </w:r>
    </w:p>
    <w:p>
      <w:pPr>
        <w:pStyle w:val="Normal"/>
        <w:spacing w:lineRule="auto" w:line="300"/>
        <w:ind w:firstLine="1418" w:end="0"/>
        <w:rPr>
          <w:rFonts w:cs="Calibri"/>
          <w:lang w:val="pt-BR"/>
        </w:rPr>
      </w:pPr>
      <w:r>
        <w:rPr>
          <w:rFonts w:cs="Calibri"/>
          <w:lang w:val="pt-BR"/>
        </w:rPr>
      </w:r>
    </w:p>
    <w:p>
      <w:pPr>
        <w:pStyle w:val="Normal"/>
        <w:spacing w:lineRule="auto" w:line="300"/>
        <w:ind w:firstLine="1418" w:end="0"/>
        <w:jc w:val="both"/>
        <w:rPr>
          <w:rFonts w:cs="Calibri"/>
          <w:lang w:val="pt-BR"/>
        </w:rPr>
      </w:pPr>
      <w:r>
        <w:rPr>
          <w:rFonts w:eastAsia="Times New Roman" w:cs="Calibri"/>
          <w:lang w:val="pt-BR"/>
        </w:rPr>
        <w:t xml:space="preserve">Diante de todo o exposto, </w:t>
      </w:r>
      <w:r>
        <w:rPr>
          <w:rFonts w:eastAsia="Times New Roman" w:cs="Calibri"/>
          <w:b/>
          <w:bCs/>
          <w:lang w:val="pt-BR"/>
        </w:rPr>
        <w:t>emerge de forma irrefutável a responsabilidade objetiva da instituição financeira requerida</w:t>
      </w:r>
      <w:r>
        <w:rPr>
          <w:rFonts w:eastAsia="Times New Roman" w:cs="Calibri"/>
          <w:lang w:val="pt-BR"/>
        </w:rPr>
        <w:t xml:space="preserve"> pelos danos causados à parte autora, estando plenamente configurados todos os pressupostos legais exigidos pelo art. 14 do Código de Defesa do Consumidor: </w:t>
      </w:r>
      <w:r>
        <w:rPr>
          <w:rFonts w:eastAsia="Times New Roman" w:cs="Calibri"/>
          <w:b/>
          <w:bCs/>
          <w:lang w:val="pt-BR"/>
        </w:rPr>
        <w:t xml:space="preserve">(i) </w:t>
      </w:r>
      <w:r>
        <w:rPr>
          <w:rFonts w:eastAsia="Times New Roman" w:cs="Calibri"/>
          <w:lang w:val="pt-BR"/>
        </w:rPr>
        <w:t xml:space="preserve">o defeito do serviço, materializado na imposição de taxa de juros flagrantemente abusiva; </w:t>
      </w:r>
      <w:r>
        <w:rPr>
          <w:rFonts w:eastAsia="Times New Roman" w:cs="Calibri"/>
          <w:b/>
          <w:bCs/>
          <w:lang w:val="pt-BR"/>
        </w:rPr>
        <w:t>(ii)</w:t>
      </w:r>
      <w:r>
        <w:rPr>
          <w:rFonts w:eastAsia="Times New Roman" w:cs="Calibri"/>
          <w:lang w:val="pt-BR"/>
        </w:rPr>
        <w:t xml:space="preserve"> o dano patrimonial concreto, consubstanciado na cobrança de R$ 3.096,72 quando o valor correto, pela taxa média de mercado, corresponderia a R$ 1.673,46; e </w:t>
      </w:r>
      <w:r>
        <w:rPr>
          <w:rFonts w:eastAsia="Times New Roman" w:cs="Calibri"/>
          <w:b/>
          <w:bCs/>
          <w:lang w:val="pt-BR"/>
        </w:rPr>
        <w:t>(iii)</w:t>
      </w:r>
      <w:r>
        <w:rPr>
          <w:rFonts w:eastAsia="Times New Roman" w:cs="Calibri"/>
          <w:lang w:val="pt-BR"/>
        </w:rPr>
        <w:t xml:space="preserve"> o nexo de causalidade direto e imediato entre a conduta do banco e o prejuízo suportado pela consumidora. Impõe-se, portanto, a </w:t>
      </w:r>
      <w:r>
        <w:rPr>
          <w:rFonts w:eastAsia="Times New Roman" w:cs="Calibri"/>
          <w:b/>
          <w:bCs/>
          <w:lang w:val="pt-BR"/>
        </w:rPr>
        <w:t>revisão contratual</w:t>
      </w:r>
      <w:r>
        <w:rPr>
          <w:rFonts w:eastAsia="Times New Roman" w:cs="Calibri"/>
          <w:lang w:val="pt-BR"/>
        </w:rPr>
        <w:t xml:space="preserve"> e a consequente </w:t>
      </w:r>
      <w:r>
        <w:rPr>
          <w:rFonts w:eastAsia="Times New Roman" w:cs="Calibri"/>
          <w:b/>
          <w:bCs/>
          <w:lang w:val="pt-BR"/>
        </w:rPr>
        <w:t>reparação integral dos prejuízos</w:t>
      </w:r>
      <w:r>
        <w:rPr>
          <w:rFonts w:eastAsia="Times New Roman" w:cs="Calibri"/>
          <w:lang w:val="pt-BR"/>
        </w:rPr>
        <w:t>, como medida de elementar justiça e de fiel observância ao sistema de proteção ao consumidor instituído pela Constituição Federal e pelo Código de Defesa do Consumidor.</w:t>
      </w:r>
    </w:p>
    <w:p>
      <w:pPr>
        <w:pStyle w:val="Normal"/>
        <w:spacing w:lineRule="auto" w:line="300"/>
        <w:ind w:firstLine="1418" w:end="0"/>
        <w:jc w:val="both"/>
        <w:rPr>
          <w:rFonts w:cs="Calibri"/>
          <w:lang w:val="pt-BR"/>
        </w:rPr>
      </w:pPr>
      <w:r>
        <w:rPr>
          <w:rFonts w:cs="Calibri"/>
          <w:lang w:val="pt-BR"/>
        </w:rPr>
      </w:r>
    </w:p>
    <w:p>
      <w:pPr>
        <w:pStyle w:val="PargrafodaLista"/>
        <w:numPr>
          <w:ilvl w:val="1"/>
          <w:numId w:val="2"/>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contextualSpacing/>
        <w:jc w:val="both"/>
        <w:rPr>
          <w:rFonts w:cs="Calibri"/>
          <w:color w:val="000000"/>
        </w:rPr>
      </w:pPr>
      <w:r>
        <w:rPr>
          <w:rFonts w:cs="Calibri"/>
          <w:b/>
          <w:color w:val="000000"/>
        </w:rPr>
        <w:t xml:space="preserve">- DA RELATIVIZAÇÃO DO PRÍNCIPIO “PACTA SUN SERVANDA” </w:t>
      </w:r>
    </w:p>
    <w:p>
      <w:pPr>
        <w:pStyle w:val="Normal"/>
        <w:spacing w:lineRule="auto" w:line="300"/>
        <w:ind w:firstLine="1985"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 xml:space="preserve">O Código Civil de 2002 promoveu relevantes inovações no ordenamento jurídico brasileiro ao </w:t>
      </w:r>
      <w:r>
        <w:rPr>
          <w:rFonts w:cs="Calibri"/>
          <w:b/>
          <w:bCs/>
          <w:color w:val="000000"/>
          <w:lang w:val="pt-BR"/>
        </w:rPr>
        <w:t>reformular a teoria geral dos contratos</w:t>
      </w:r>
      <w:r>
        <w:rPr>
          <w:rFonts w:cs="Calibri"/>
          <w:color w:val="000000"/>
          <w:lang w:val="pt-BR"/>
        </w:rPr>
        <w:t xml:space="preserve">, incorporando princípios que limitam a autonomia privada e afastam a rigidez absoluta do princípio do </w:t>
      </w:r>
      <w:r>
        <w:rPr>
          <w:rFonts w:cs="Calibri"/>
          <w:i/>
          <w:iCs/>
          <w:color w:val="000000"/>
          <w:lang w:val="pt-BR"/>
        </w:rPr>
        <w:t>pacta sunt servanda</w:t>
      </w:r>
      <w:r>
        <w:rPr>
          <w:rFonts w:cs="Calibri"/>
          <w:color w:val="000000"/>
          <w:lang w:val="pt-BR"/>
        </w:rPr>
        <w:t xml:space="preserve">, notadamente os princípios da </w:t>
      </w:r>
      <w:r>
        <w:rPr>
          <w:rFonts w:cs="Calibri"/>
          <w:b/>
          <w:bCs/>
          <w:color w:val="000000"/>
          <w:lang w:val="pt-BR"/>
        </w:rPr>
        <w:t>função social do contrato</w:t>
      </w:r>
      <w:r>
        <w:rPr>
          <w:rFonts w:cs="Calibri"/>
          <w:color w:val="000000"/>
          <w:lang w:val="pt-BR"/>
        </w:rPr>
        <w:t xml:space="preserve"> e da </w:t>
      </w:r>
      <w:r>
        <w:rPr>
          <w:rFonts w:cs="Calibri"/>
          <w:b/>
          <w:bCs/>
          <w:color w:val="000000"/>
          <w:lang w:val="pt-BR"/>
        </w:rPr>
        <w:t>boa-fé objetiva</w:t>
      </w:r>
      <w:r>
        <w:rPr>
          <w:rFonts w:cs="Calibri"/>
          <w:color w:val="000000"/>
          <w:lang w:val="pt-BR"/>
        </w:rPr>
        <w:t>, positivados nos arts. 421 e 422 do referido diploma legal.</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Dispõem os mencionados dispositivos:</w:t>
      </w:r>
    </w:p>
    <w:p>
      <w:pPr>
        <w:pStyle w:val="Normal"/>
        <w:spacing w:lineRule="auto" w:line="300"/>
        <w:ind w:firstLine="1985" w:end="0"/>
        <w:jc w:val="both"/>
        <w:rPr>
          <w:rFonts w:cs="Calibri"/>
          <w:color w:val="000000"/>
          <w:lang w:val="pt-BR"/>
        </w:rPr>
      </w:pPr>
      <w:r>
        <w:rPr>
          <w:rFonts w:cs="Calibri"/>
          <w:color w:val="000000"/>
          <w:lang w:val="pt-BR"/>
        </w:rPr>
      </w:r>
    </w:p>
    <w:p>
      <w:pPr>
        <w:pStyle w:val="Normal"/>
        <w:spacing w:lineRule="auto" w:line="240"/>
        <w:ind w:start="2268" w:end="0"/>
        <w:jc w:val="both"/>
        <w:rPr>
          <w:rFonts w:cs="Calibri"/>
          <w:iCs/>
          <w:sz w:val="20"/>
          <w:szCs w:val="20"/>
          <w:lang w:val="pt-BR"/>
        </w:rPr>
      </w:pPr>
      <w:r>
        <w:rPr>
          <w:rFonts w:cs="Calibri"/>
          <w:bCs/>
          <w:iCs/>
          <w:spacing w:val="3"/>
          <w:sz w:val="20"/>
          <w:szCs w:val="20"/>
          <w:shd w:fill="FFFFFF" w:val="clear"/>
          <w:lang w:val="pt-BR"/>
        </w:rPr>
        <w:t>Art. 421</w:t>
      </w:r>
      <w:r>
        <w:rPr>
          <w:rFonts w:cs="Calibri"/>
          <w:iCs/>
          <w:spacing w:val="3"/>
          <w:sz w:val="20"/>
          <w:szCs w:val="20"/>
          <w:shd w:fill="FFFFFF" w:val="clear"/>
          <w:lang w:val="pt-BR"/>
        </w:rPr>
        <w:t>. A liberdade de contratar será exercida em razão e nos limites da função social do contrato.</w:t>
      </w:r>
    </w:p>
    <w:p>
      <w:pPr>
        <w:pStyle w:val="Normal"/>
        <w:spacing w:lineRule="auto" w:line="240"/>
        <w:ind w:start="2268" w:end="0"/>
        <w:jc w:val="both"/>
        <w:rPr>
          <w:rFonts w:cs="Calibri"/>
          <w:iCs/>
          <w:sz w:val="20"/>
          <w:szCs w:val="20"/>
          <w:lang w:val="pt-BR"/>
        </w:rPr>
      </w:pPr>
      <w:r>
        <w:rPr>
          <w:rFonts w:cs="Calibri"/>
          <w:iCs/>
          <w:sz w:val="20"/>
          <w:szCs w:val="20"/>
          <w:lang w:val="pt-BR"/>
        </w:rPr>
      </w:r>
    </w:p>
    <w:p>
      <w:pPr>
        <w:pStyle w:val="Normal"/>
        <w:spacing w:lineRule="auto" w:line="240"/>
        <w:ind w:start="2268" w:end="0"/>
        <w:jc w:val="both"/>
        <w:rPr>
          <w:rFonts w:cs="Calibri"/>
          <w:iCs/>
          <w:sz w:val="20"/>
          <w:szCs w:val="20"/>
          <w:lang w:val="pt-BR"/>
        </w:rPr>
      </w:pPr>
      <w:r>
        <w:rPr>
          <w:rFonts w:cs="Calibri"/>
          <w:iCs/>
          <w:sz w:val="20"/>
          <w:szCs w:val="20"/>
          <w:shd w:fill="FFFFFF" w:val="clear"/>
          <w:lang w:val="pt-BR"/>
        </w:rPr>
        <w:t>Art. 422. Os contratantes são obrigados a guardar, assim na conclusão do contrato, como em sua execução, os princípios de probidade e boa-fé.</w:t>
      </w:r>
    </w:p>
    <w:p>
      <w:pPr>
        <w:pStyle w:val="Normal"/>
        <w:spacing w:lineRule="auto" w:line="300"/>
        <w:ind w:start="2268" w:end="0"/>
        <w:jc w:val="both"/>
        <w:rPr>
          <w:rFonts w:cs="Calibri"/>
          <w:i/>
          <w:i/>
          <w:iCs/>
          <w:sz w:val="20"/>
          <w:szCs w:val="20"/>
          <w:lang w:val="pt-BR"/>
        </w:rPr>
      </w:pPr>
      <w:r>
        <w:rPr>
          <w:rFonts w:cs="Calibri"/>
          <w:i/>
          <w:iCs/>
          <w:sz w:val="20"/>
          <w:szCs w:val="20"/>
          <w:lang w:val="pt-BR"/>
        </w:rPr>
      </w:r>
    </w:p>
    <w:p>
      <w:pPr>
        <w:pStyle w:val="Normal"/>
        <w:spacing w:lineRule="auto" w:line="300"/>
        <w:ind w:firstLine="1418" w:end="0"/>
        <w:jc w:val="both"/>
        <w:rPr/>
      </w:pPr>
      <w:r>
        <w:rPr>
          <w:rFonts w:cs="Calibri"/>
          <w:color w:val="000000"/>
          <w:lang w:val="pt-BR"/>
        </w:rPr>
        <w:t xml:space="preserve">A partir desse novo paradigma, é possível afirmar que o princípio do </w:t>
      </w:r>
      <w:r>
        <w:rPr>
          <w:rFonts w:cs="Calibri"/>
          <w:i/>
          <w:iCs/>
          <w:color w:val="000000"/>
          <w:lang w:val="pt-BR"/>
        </w:rPr>
        <w:t>pacta sunt servanda</w:t>
      </w:r>
      <w:r>
        <w:rPr>
          <w:rFonts w:cs="Calibri"/>
          <w:color w:val="000000"/>
          <w:lang w:val="pt-BR"/>
        </w:rPr>
        <w:t xml:space="preserve"> </w:t>
      </w:r>
      <w:r>
        <w:rPr>
          <w:rFonts w:cs="Calibri"/>
          <w:b/>
          <w:bCs/>
          <w:color w:val="000000"/>
          <w:lang w:val="pt-BR"/>
        </w:rPr>
        <w:t>não foi abolido</w:t>
      </w:r>
      <w:r>
        <w:rPr>
          <w:rFonts w:cs="Calibri"/>
          <w:color w:val="000000"/>
          <w:lang w:val="pt-BR"/>
        </w:rPr>
        <w:t xml:space="preserve">, porém </w:t>
      </w:r>
      <w:r>
        <w:rPr>
          <w:rFonts w:cs="Calibri"/>
          <w:b/>
          <w:bCs/>
          <w:color w:val="000000"/>
          <w:lang w:val="pt-BR"/>
        </w:rPr>
        <w:t>teve seu alcance significativamente relativizado</w:t>
      </w:r>
      <w:r>
        <w:rPr>
          <w:rFonts w:cs="Calibri"/>
          <w:color w:val="000000"/>
          <w:lang w:val="pt-BR"/>
        </w:rPr>
        <w:t>, deixando de ostentar caráter absoluto, sobretudo quando verificada a existência de cláusulas abusivas, prestações excessivamente onerosas ou violação aos deveres anexos de lealdade, transparência e cooperação.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Tal compreensão encontra respaldo na doutrina e foi expressamente consagrada na </w:t>
      </w:r>
      <w:r>
        <w:rPr>
          <w:rFonts w:cs="Calibri"/>
          <w:b/>
          <w:bCs/>
          <w:color w:val="000000"/>
          <w:lang w:val="pt-BR"/>
        </w:rPr>
        <w:t>I Jornada de Direito Civil</w:t>
      </w:r>
      <w:r>
        <w:rPr>
          <w:rFonts w:cs="Calibri"/>
          <w:color w:val="000000"/>
          <w:lang w:val="pt-BR"/>
        </w:rPr>
        <w:t xml:space="preserve">, por meio do </w:t>
      </w:r>
      <w:r>
        <w:rPr>
          <w:rFonts w:cs="Calibri"/>
          <w:b/>
          <w:bCs/>
          <w:color w:val="000000"/>
          <w:lang w:val="pt-BR"/>
        </w:rPr>
        <w:t>Enunciado nº 23</w:t>
      </w:r>
      <w:r>
        <w:rPr>
          <w:rFonts w:cs="Calibri"/>
          <w:color w:val="000000"/>
          <w:lang w:val="pt-BR"/>
        </w:rPr>
        <w:t>, que assim dispõe:</w:t>
      </w:r>
    </w:p>
    <w:p>
      <w:pPr>
        <w:pStyle w:val="Normal"/>
        <w:spacing w:lineRule="auto" w:line="300"/>
        <w:ind w:start="2268" w:end="0"/>
        <w:jc w:val="both"/>
        <w:rPr>
          <w:rFonts w:cs="Calibri"/>
          <w:i/>
          <w:i/>
          <w:color w:val="000000"/>
          <w:shd w:fill="FFFFFF" w:val="clear"/>
          <w:lang w:val="pt-BR"/>
        </w:rPr>
      </w:pPr>
      <w:r>
        <w:rPr>
          <w:rFonts w:cs="Calibri"/>
          <w:i/>
          <w:color w:val="000000"/>
          <w:shd w:fill="FFFFFF" w:val="clear"/>
          <w:lang w:val="pt-BR"/>
        </w:rPr>
      </w:r>
    </w:p>
    <w:p>
      <w:pPr>
        <w:pStyle w:val="Normal"/>
        <w:spacing w:lineRule="auto" w:line="240"/>
        <w:ind w:start="2268" w:end="0"/>
        <w:jc w:val="both"/>
        <w:rPr>
          <w:rFonts w:cs="Calibri"/>
          <w:iCs/>
          <w:sz w:val="20"/>
          <w:szCs w:val="20"/>
          <w:shd w:fill="FFFFFF" w:val="clear"/>
          <w:lang w:val="pt-BR"/>
        </w:rPr>
      </w:pPr>
      <w:r>
        <w:rPr>
          <w:rFonts w:cs="Calibri"/>
          <w:iCs/>
          <w:sz w:val="20"/>
          <w:szCs w:val="20"/>
          <w:shd w:fill="FFFFFF" w:val="clear"/>
          <w:lang w:val="pt-BR"/>
        </w:rPr>
        <w:t>A função social do contrato, prevista no art. 421 do novo Código Civil, não elimina o princípio da autonomia contratual, mas atenua ou reduz o alcance desse princípio quando presentes interesses metaindividuais ou interesse individual relativo à dignidade da pessoa humana.</w:t>
      </w:r>
    </w:p>
    <w:p>
      <w:pPr>
        <w:pStyle w:val="Normal"/>
        <w:spacing w:lineRule="auto" w:line="300"/>
        <w:ind w:start="2268" w:end="0"/>
        <w:jc w:val="both"/>
        <w:rPr>
          <w:rFonts w:cs="Calibri"/>
          <w:i/>
          <w:i/>
          <w:iCs/>
          <w:sz w:val="20"/>
          <w:szCs w:val="20"/>
          <w:shd w:fill="FFFFFF" w:val="clear"/>
          <w:lang w:val="pt-BR"/>
        </w:rPr>
      </w:pPr>
      <w:r>
        <w:rPr>
          <w:rFonts w:cs="Calibri"/>
          <w:i/>
          <w:iCs/>
          <w:sz w:val="20"/>
          <w:szCs w:val="20"/>
          <w:shd w:fill="FFFFFF" w:val="clear"/>
          <w:lang w:val="pt-BR"/>
        </w:rPr>
      </w:r>
    </w:p>
    <w:p>
      <w:pPr>
        <w:pStyle w:val="Normal"/>
        <w:spacing w:lineRule="auto" w:line="300"/>
        <w:ind w:firstLine="1418" w:end="0"/>
        <w:jc w:val="both"/>
        <w:rPr/>
      </w:pPr>
      <w:r>
        <w:rPr>
          <w:rFonts w:cs="Calibri"/>
          <w:shd w:fill="FFFFFF" w:val="clear"/>
          <w:lang w:val="pt-BR"/>
        </w:rPr>
        <w:t xml:space="preserve">Desse modo, resta claro que a liberdade contratual não pode ser exercida de forma irrestrita, devendo observar os </w:t>
      </w:r>
      <w:r>
        <w:rPr>
          <w:rFonts w:cs="Calibri"/>
          <w:b/>
          <w:bCs/>
          <w:shd w:fill="FFFFFF" w:val="clear"/>
          <w:lang w:val="pt-BR"/>
        </w:rPr>
        <w:t>limites legais impostos pela função social do contrato e pela boa-fé objetiva</w:t>
      </w:r>
      <w:r>
        <w:rPr>
          <w:rFonts w:cs="Calibri"/>
          <w:shd w:fill="FFFFFF" w:val="clear"/>
          <w:lang w:val="pt-BR"/>
        </w:rPr>
        <w:t>, sob pena de se legitimar práticas abusivas e de se perpetuar desequilíbrios contratuais incompatíveis com o sistema jurídico vigente.</w:t>
      </w:r>
    </w:p>
    <w:p>
      <w:pPr>
        <w:pStyle w:val="Normal"/>
        <w:spacing w:lineRule="auto" w:line="300"/>
        <w:ind w:firstLine="1418" w:end="0"/>
        <w:jc w:val="both"/>
        <w:rPr>
          <w:rFonts w:cs="Calibri"/>
          <w:shd w:fill="FFFFFF" w:val="clear"/>
          <w:lang w:val="pt-BR"/>
        </w:rPr>
      </w:pPr>
      <w:r>
        <w:rPr>
          <w:rFonts w:cs="Calibri"/>
          <w:shd w:fill="FFFFFF" w:val="clear"/>
          <w:lang w:val="pt-BR"/>
        </w:rPr>
      </w:r>
    </w:p>
    <w:p>
      <w:pPr>
        <w:pStyle w:val="Normal"/>
        <w:spacing w:lineRule="auto" w:line="300"/>
        <w:ind w:firstLine="1418" w:end="0"/>
        <w:jc w:val="both"/>
        <w:rPr/>
      </w:pPr>
      <w:r>
        <w:rPr>
          <w:rFonts w:cs="Calibri"/>
          <w:shd w:fill="FFFFFF" w:val="clear"/>
          <w:lang w:val="pt-BR"/>
        </w:rPr>
        <w:t xml:space="preserve">No mesmo sentido, o </w:t>
      </w:r>
      <w:r>
        <w:rPr>
          <w:rFonts w:cs="Calibri"/>
          <w:b/>
          <w:bCs/>
          <w:shd w:fill="FFFFFF" w:val="clear"/>
          <w:lang w:val="pt-BR"/>
        </w:rPr>
        <w:t>Superior Tribunal de Justiça</w:t>
      </w:r>
      <w:r>
        <w:rPr>
          <w:rFonts w:cs="Calibri"/>
          <w:shd w:fill="FFFFFF" w:val="clear"/>
          <w:lang w:val="pt-BR"/>
        </w:rPr>
        <w:t xml:space="preserve"> consolidou entendimento quanto à possibilidade de revisão de contratos bancários, mesmo após renegociação ou confissão de dívida, conforme dispõe a </w:t>
      </w:r>
      <w:r>
        <w:rPr>
          <w:rFonts w:cs="Calibri"/>
          <w:b/>
          <w:bCs/>
          <w:shd w:fill="FFFFFF" w:val="clear"/>
          <w:lang w:val="pt-BR"/>
        </w:rPr>
        <w:t>Súmula nº 286</w:t>
      </w:r>
      <w:r>
        <w:rPr>
          <w:rFonts w:cs="Calibri"/>
          <w:shd w:fill="FFFFFF" w:val="clear"/>
          <w:lang w:val="pt-BR"/>
        </w:rPr>
        <w:t xml:space="preserve">, </w:t>
      </w:r>
      <w:r>
        <w:rPr>
          <w:rFonts w:cs="Calibri"/>
          <w:i/>
          <w:iCs/>
          <w:shd w:fill="FFFFFF" w:val="clear"/>
          <w:lang w:val="pt-BR"/>
        </w:rPr>
        <w:t>in verbis</w:t>
      </w:r>
      <w:r>
        <w:rPr>
          <w:rFonts w:cs="Calibri"/>
          <w:shd w:fill="FFFFFF" w:val="clear"/>
          <w:lang w:val="pt-BR"/>
        </w:rPr>
        <w:t>:</w:t>
      </w:r>
    </w:p>
    <w:p>
      <w:pPr>
        <w:pStyle w:val="Normal"/>
        <w:spacing w:lineRule="auto" w:line="300"/>
        <w:ind w:firstLine="1418" w:end="0"/>
        <w:jc w:val="both"/>
        <w:rPr>
          <w:rFonts w:cs="Calibri"/>
          <w:shd w:fill="FFFFFF" w:val="clear"/>
          <w:lang w:val="pt-BR"/>
        </w:rPr>
      </w:pPr>
      <w:r>
        <w:rPr>
          <w:rFonts w:cs="Calibri"/>
          <w:shd w:fill="FFFFFF" w:val="clear"/>
          <w:lang w:val="pt-BR"/>
        </w:rPr>
      </w:r>
    </w:p>
    <w:p>
      <w:pPr>
        <w:pStyle w:val="Normal"/>
        <w:spacing w:lineRule="auto" w:line="240"/>
        <w:ind w:start="2268" w:end="0"/>
        <w:jc w:val="both"/>
        <w:rPr>
          <w:rFonts w:cs="Calibri"/>
          <w:lang w:val="pt-BR"/>
        </w:rPr>
      </w:pPr>
      <w:r>
        <w:rPr>
          <w:rFonts w:cs="Calibri"/>
          <w:sz w:val="20"/>
          <w:szCs w:val="20"/>
          <w:lang w:val="pt-BR"/>
        </w:rPr>
        <w:t xml:space="preserve">“a renegociação de contrato bancário ou a confissão da dívida não impede a possibilidade de discussão sobre eventuais ilegalidades dos contratos anteriores”. </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 possibilidade de revisão judicial das cláusulas contratuais, portanto, representa manifestação legítima da relativização do princípio do </w:t>
      </w:r>
      <w:r>
        <w:rPr>
          <w:rFonts w:cs="Calibri"/>
          <w:i/>
          <w:iCs/>
          <w:lang w:val="pt-BR"/>
        </w:rPr>
        <w:t>pacta sunt servanda</w:t>
      </w:r>
      <w:r>
        <w:rPr>
          <w:rFonts w:cs="Calibri"/>
          <w:lang w:val="pt-BR"/>
        </w:rPr>
        <w:t xml:space="preserve">, </w:t>
      </w:r>
      <w:r>
        <w:rPr>
          <w:rFonts w:cs="Calibri"/>
          <w:b/>
          <w:bCs/>
          <w:lang w:val="pt-BR"/>
        </w:rPr>
        <w:t>não com o intuito de desconstituir a relação jurídica</w:t>
      </w:r>
      <w:r>
        <w:rPr>
          <w:rFonts w:cs="Calibri"/>
          <w:lang w:val="pt-BR"/>
        </w:rPr>
        <w:t xml:space="preserve">, mas sim de </w:t>
      </w:r>
      <w:r>
        <w:rPr>
          <w:rFonts w:cs="Calibri"/>
          <w:b/>
          <w:bCs/>
          <w:lang w:val="pt-BR"/>
        </w:rPr>
        <w:t>afastar ilegalidades, reprimir abusos e restabelecer o equilíbrio contratual</w:t>
      </w:r>
      <w:r>
        <w:rPr>
          <w:rFonts w:cs="Calibri"/>
          <w:lang w:val="pt-BR"/>
        </w:rPr>
        <w:t>, preservando-se, sempre que possível, a continuidade do vínculo obrigacional.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No âmbito das relações de consumo, tal prerrogativa encontra respaldo direto no </w:t>
      </w:r>
      <w:r>
        <w:rPr>
          <w:rFonts w:cs="Calibri"/>
          <w:b/>
          <w:bCs/>
          <w:lang w:val="pt-BR"/>
        </w:rPr>
        <w:t>art. 6º, inciso V, do Código de Defesa do Consumidor</w:t>
      </w:r>
      <w:r>
        <w:rPr>
          <w:rFonts w:cs="Calibri"/>
          <w:lang w:val="pt-BR"/>
        </w:rPr>
        <w:t>, que assegura como direito básico do consumidor:</w:t>
      </w:r>
    </w:p>
    <w:p>
      <w:pPr>
        <w:pStyle w:val="Normal"/>
        <w:spacing w:lineRule="auto" w:line="300"/>
        <w:ind w:start="2268" w:end="0"/>
        <w:jc w:val="both"/>
        <w:rPr>
          <w:rFonts w:cs="Calibri"/>
          <w:i/>
          <w:i/>
          <w:iCs/>
          <w:lang w:val="pt-BR"/>
        </w:rPr>
      </w:pPr>
      <w:r>
        <w:rPr>
          <w:rFonts w:cs="Calibri"/>
          <w:i/>
          <w:iCs/>
          <w:lang w:val="pt-BR"/>
        </w:rPr>
      </w:r>
    </w:p>
    <w:p>
      <w:pPr>
        <w:pStyle w:val="Normal"/>
        <w:spacing w:lineRule="auto" w:line="240"/>
        <w:ind w:start="2268" w:end="0"/>
        <w:jc w:val="both"/>
        <w:rPr>
          <w:rFonts w:cs="Calibri"/>
          <w:sz w:val="20"/>
          <w:szCs w:val="20"/>
          <w:lang w:val="pt-BR"/>
        </w:rPr>
      </w:pPr>
      <w:r>
        <w:rPr>
          <w:rFonts w:cs="Calibri"/>
          <w:sz w:val="20"/>
          <w:szCs w:val="20"/>
          <w:lang w:val="pt-BR"/>
        </w:rPr>
        <w:t>Art. 6º São direitos básicos do consumidor:</w:t>
      </w:r>
    </w:p>
    <w:p>
      <w:pPr>
        <w:pStyle w:val="Normal"/>
        <w:spacing w:lineRule="auto" w:line="240"/>
        <w:ind w:start="2268" w:end="0"/>
        <w:jc w:val="both"/>
        <w:rPr>
          <w:rFonts w:cs="Calibri"/>
          <w:sz w:val="20"/>
          <w:szCs w:val="20"/>
          <w:lang w:val="pt-BR"/>
        </w:rPr>
      </w:pP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V - a modificação das cláusulas contratuais que estabeleçam prestações desproporcionais ou sua revisão em razão de fatos supervenientes que as tornem excessivamente onerosas;”</w:t>
      </w:r>
    </w:p>
    <w:p>
      <w:pPr>
        <w:pStyle w:val="Normal"/>
        <w:spacing w:lineRule="auto" w:line="300"/>
        <w:ind w:firstLine="1985" w:end="0"/>
        <w:jc w:val="both"/>
        <w:rPr>
          <w:rFonts w:cs="Calibri"/>
          <w:b/>
          <w:sz w:val="20"/>
          <w:szCs w:val="20"/>
          <w:u w:val="single"/>
          <w:shd w:fill="FFFFFF" w:val="clear"/>
          <w:lang w:val="pt-BR"/>
        </w:rPr>
      </w:pPr>
      <w:r>
        <w:rPr>
          <w:rFonts w:cs="Calibri"/>
          <w:b/>
          <w:sz w:val="20"/>
          <w:szCs w:val="20"/>
          <w:u w:val="single"/>
          <w:shd w:fill="FFFFFF" w:val="clear"/>
          <w:lang w:val="pt-BR"/>
        </w:rPr>
      </w:r>
    </w:p>
    <w:p>
      <w:pPr>
        <w:pStyle w:val="Normal"/>
        <w:spacing w:lineRule="auto" w:line="300"/>
        <w:ind w:firstLine="1418" w:end="0"/>
        <w:jc w:val="both"/>
        <w:rPr/>
      </w:pPr>
      <w:r>
        <w:rPr>
          <w:rFonts w:cs="Calibri"/>
          <w:lang w:val="pt-BR"/>
        </w:rPr>
        <w:t xml:space="preserve">Assim, é plenamente admissível, no ordenamento jurídico pátrio, a </w:t>
      </w:r>
      <w:r>
        <w:rPr>
          <w:rFonts w:cs="Calibri"/>
          <w:b/>
          <w:bCs/>
          <w:lang w:val="pt-BR"/>
        </w:rPr>
        <w:t>revisão de contratos quando constatada a existência de cláusulas abusivas</w:t>
      </w:r>
      <w:r>
        <w:rPr>
          <w:rFonts w:cs="Calibri"/>
          <w:lang w:val="pt-BR"/>
        </w:rPr>
        <w:t>, sobretudo em se tratando de relação de consumo, como ocorre no caso em exame, em que restou demonstrada a imposição de encargos manifestamente excessivos e dissociados da realidade do mercado.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Importante salientar que a pretendida revisão contratual </w:t>
      </w:r>
      <w:r>
        <w:rPr>
          <w:rFonts w:cs="Calibri"/>
          <w:b/>
          <w:bCs/>
          <w:lang w:val="pt-BR"/>
        </w:rPr>
        <w:t>não configura violação ao ato jurídico perfeito</w:t>
      </w:r>
      <w:r>
        <w:rPr>
          <w:rFonts w:cs="Calibri"/>
          <w:lang w:val="pt-BR"/>
        </w:rPr>
        <w:t xml:space="preserve">, uma vez que não objetiva invalidar o contrato em sua essência, mas tão somente </w:t>
      </w:r>
      <w:r>
        <w:rPr>
          <w:rFonts w:cs="Calibri"/>
          <w:b/>
          <w:bCs/>
          <w:lang w:val="pt-BR"/>
        </w:rPr>
        <w:t>expurgar cláusulas ilegais ou abusivas</w:t>
      </w:r>
      <w:r>
        <w:rPr>
          <w:rFonts w:cs="Calibri"/>
          <w:lang w:val="pt-BR"/>
        </w:rPr>
        <w:t>, adequando-o aos parâmetros legais e aos princípios que regem as relações contratuais contemporâneas.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Dessa forma, mostra-se plenamente legítima e juridicamente adequada a presente ação revisional, destinada a restaurar o equilíbrio contratual e a assegurar a efetiva tutela dos direitos da parte consumidora.</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lang w:val="pt-BR"/>
        </w:rPr>
      </w:pPr>
      <w:r>
        <w:rPr>
          <w:rFonts w:cs="Calibri"/>
          <w:b/>
          <w:lang w:val="pt-BR"/>
        </w:rPr>
        <w:t>3.4 – DA TAXA DE JUROS REMUNERATÓRIOS – LIMITAÇÃO À TAXA MÉDIA DE MERCADO – PARÂMETRO DO BANCO CENTRAL DO BRASIL (BACEN) – ABUSIVIDADE CONFIGURADA – POSSIBILIDADE DE REVISÃO À LUZ DO REsp 1.061.530/RS (STJ)</w:t>
      </w:r>
    </w:p>
    <w:p>
      <w:pPr>
        <w:pStyle w:val="Padro"/>
        <w:tabs>
          <w:tab w:val="left" w:pos="0" w:leader="none"/>
          <w:tab w:val="left" w:pos="708" w:leader="none"/>
        </w:tabs>
        <w:spacing w:lineRule="auto" w:line="300" w:before="0" w:after="0"/>
        <w:ind w:firstLine="1418" w:end="0"/>
        <w:jc w:val="both"/>
        <w:rPr>
          <w:rFonts w:ascii="Calibri" w:hAnsi="Calibri" w:cs="Calibri"/>
          <w:sz w:val="22"/>
          <w:szCs w:val="22"/>
          <w:lang w:val="pt-BR"/>
        </w:rPr>
      </w:pPr>
      <w:r>
        <w:rPr>
          <w:rFonts w:cs="Calibri" w:ascii="Calibri" w:hAnsi="Calibri"/>
          <w:sz w:val="22"/>
          <w:szCs w:val="22"/>
          <w:lang w:val="pt-BR"/>
        </w:rPr>
      </w:r>
    </w:p>
    <w:p>
      <w:pPr>
        <w:pStyle w:val="Padro"/>
        <w:tabs>
          <w:tab w:val="left" w:pos="0"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t xml:space="preserve">Conforme amplamente demonstrado no capítulo fático, o banco requerido, no contrato objeto da presente demanda, </w:t>
      </w:r>
      <w:r>
        <w:rPr>
          <w:rFonts w:cs="Calibri" w:ascii="Calibri" w:hAnsi="Calibri"/>
          <w:b/>
          <w:bCs/>
          <w:sz w:val="22"/>
          <w:szCs w:val="22"/>
        </w:rPr>
        <w:t>aplicou taxa de juros remuneratórios manifestamente exorbitante</w:t>
      </w:r>
      <w:r>
        <w:rPr>
          <w:rFonts w:cs="Calibri" w:ascii="Calibri" w:hAnsi="Calibri"/>
          <w:sz w:val="22"/>
          <w:szCs w:val="22"/>
        </w:rPr>
        <w:t>, em total descompasso com a taxa média praticada pelo mercado financeiro, caracterizando prática abusiva vedada pelo ordenamento jurídico consumerista.</w:t>
      </w:r>
    </w:p>
    <w:p>
      <w:pPr>
        <w:pStyle w:val="Padro"/>
        <w:tabs>
          <w:tab w:val="left" w:pos="0"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
          <w:color w:val="000000"/>
          <w:sz w:val="22"/>
          <w:szCs w:val="22"/>
        </w:rPr>
      </w:pPr>
      <w:r>
        <w:rPr>
          <w:rFonts w:eastAsia="Verdana-Bold;Times New Roman" w:cs="Calibri" w:ascii="Calibri" w:hAnsi="Calibri"/>
          <w:b/>
          <w:color w:val="000000"/>
          <w:sz w:val="22"/>
          <w:szCs w:val="22"/>
        </w:rPr>
        <w:t xml:space="preserve">No caso concreto, verifica-se que a taxa de juros pactuada foi de </w:t>
      </w:r>
      <w:r>
        <w:rPr>
          <w:rFonts w:eastAsia="Verdana-Bold;Times New Roman" w:cs="Calibri" w:ascii="Calibri" w:hAnsi="Calibri"/>
          <w:b/>
          <w:bCs/>
          <w:color w:val="000000"/>
          <w:sz w:val="22"/>
          <w:szCs w:val="22"/>
        </w:rPr>
        <w:t>19,15% ao mês</w:t>
      </w:r>
      <w:r>
        <w:rPr>
          <w:rFonts w:eastAsia="Verdana-Bold;Times New Roman" w:cs="Calibri" w:ascii="Calibri" w:hAnsi="Calibri"/>
          <w:b/>
          <w:color w:val="000000"/>
          <w:sz w:val="22"/>
          <w:szCs w:val="22"/>
        </w:rPr>
        <w:t xml:space="preserve">, o que corresponde à </w:t>
      </w:r>
      <w:r>
        <w:rPr>
          <w:rFonts w:eastAsia="Verdana-Bold;Times New Roman" w:cs="Calibri" w:ascii="Calibri" w:hAnsi="Calibri"/>
          <w:b/>
          <w:bCs/>
          <w:color w:val="000000"/>
          <w:sz w:val="22"/>
          <w:szCs w:val="22"/>
        </w:rPr>
        <w:t>absurda taxa anual de 718,71%</w:t>
      </w:r>
      <w:r>
        <w:rPr>
          <w:rFonts w:eastAsia="Verdana-Bold;Times New Roman" w:cs="Calibri" w:ascii="Calibri" w:hAnsi="Calibri"/>
          <w:b/>
          <w:color w:val="000000"/>
          <w:sz w:val="22"/>
          <w:szCs w:val="22"/>
        </w:rPr>
        <w:t>, conforme se extrai do próprio instrumento contratual anexado aos autos.</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
          <w:color w:val="000000"/>
          <w:sz w:val="22"/>
          <w:szCs w:val="22"/>
        </w:rPr>
      </w:pPr>
      <w:r>
        <w:rPr>
          <w:rFonts w:eastAsia="Verdana-Bold;Times New Roman" w:cs="Calibri" w:ascii="Calibri" w:hAnsi="Calibri"/>
          <w:b/>
          <w:color w:val="000000"/>
          <w:sz w:val="22"/>
          <w:szCs w:val="22"/>
        </w:rPr>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rPr>
      </w:pPr>
      <w:r>
        <w:rPr>
          <w:rFonts w:eastAsia="Verdana-Bold;Times New Roman" w:cs="Calibri" w:ascii="Calibri" w:hAnsi="Calibri"/>
          <w:color w:val="000000"/>
          <w:sz w:val="22"/>
          <w:szCs w:val="22"/>
        </w:rPr>
        <w:t xml:space="preserve">Entretanto, ao se proceder à simples análise da tabela oficial divulgada pelo Banco Central do Brasil, constata-se que, no mês de </w:t>
      </w:r>
      <w:r>
        <w:rPr>
          <w:rFonts w:eastAsia="Verdana-Bold;Times New Roman" w:cs="Calibri" w:ascii="Calibri" w:hAnsi="Calibri"/>
          <w:b/>
          <w:bCs/>
          <w:color w:val="000000"/>
          <w:sz w:val="22"/>
          <w:szCs w:val="22"/>
        </w:rPr>
        <w:t>novembro de 2025</w:t>
      </w:r>
      <w:r>
        <w:rPr>
          <w:rFonts w:eastAsia="Verdana-Bold;Times New Roman" w:cs="Calibri" w:ascii="Calibri" w:hAnsi="Calibri"/>
          <w:color w:val="000000"/>
          <w:sz w:val="22"/>
          <w:szCs w:val="22"/>
        </w:rPr>
        <w:t xml:space="preserve"> — período da contratação — a </w:t>
      </w:r>
      <w:r>
        <w:rPr>
          <w:rFonts w:eastAsia="Verdana-Bold;Times New Roman" w:cs="Calibri" w:ascii="Calibri" w:hAnsi="Calibri"/>
          <w:b/>
          <w:bCs/>
          <w:color w:val="000000"/>
          <w:sz w:val="22"/>
          <w:szCs w:val="22"/>
        </w:rPr>
        <w:t xml:space="preserve">taxa média de juros praticada pelo mercado </w:t>
      </w:r>
      <w:r>
        <w:rPr>
          <w:rFonts w:eastAsia="Verdana-Bold;Times New Roman" w:cs="Calibri" w:ascii="Calibri" w:hAnsi="Calibri"/>
          <w:color w:val="000000"/>
          <w:sz w:val="22"/>
          <w:szCs w:val="22"/>
        </w:rPr>
        <w:t xml:space="preserve">era de </w:t>
      </w:r>
      <w:r>
        <w:rPr>
          <w:rFonts w:eastAsia="Verdana-Bold;Times New Roman" w:cs="Calibri" w:ascii="Calibri" w:hAnsi="Calibri"/>
          <w:b/>
          <w:bCs/>
          <w:color w:val="000000"/>
          <w:sz w:val="22"/>
          <w:szCs w:val="22"/>
        </w:rPr>
        <w:t>6,44% ao mês</w:t>
      </w:r>
      <w:r>
        <w:rPr>
          <w:rFonts w:eastAsia="Verdana-Bold;Times New Roman" w:cs="Calibri" w:ascii="Calibri" w:hAnsi="Calibri"/>
          <w:color w:val="000000"/>
          <w:sz w:val="22"/>
          <w:szCs w:val="22"/>
        </w:rPr>
        <w:t xml:space="preserve"> e </w:t>
      </w:r>
      <w:r>
        <w:rPr>
          <w:rFonts w:eastAsia="Verdana-Bold;Times New Roman" w:cs="Calibri" w:ascii="Calibri" w:hAnsi="Calibri"/>
          <w:b/>
          <w:bCs/>
          <w:color w:val="000000"/>
          <w:sz w:val="22"/>
          <w:szCs w:val="22"/>
        </w:rPr>
        <w:t>111,49% ao ano</w:t>
      </w:r>
      <w:r>
        <w:rPr>
          <w:rFonts w:eastAsia="Verdana-Bold;Times New Roman" w:cs="Calibri" w:ascii="Calibri" w:hAnsi="Calibri"/>
          <w:color w:val="000000"/>
          <w:sz w:val="22"/>
          <w:szCs w:val="22"/>
        </w:rPr>
        <w:t xml:space="preserve">, ou seja, </w:t>
      </w:r>
      <w:r>
        <w:rPr>
          <w:rFonts w:eastAsia="Verdana-Bold;Times New Roman" w:cs="Calibri" w:ascii="Calibri" w:hAnsi="Calibri"/>
          <w:b/>
          <w:bCs/>
          <w:color w:val="000000"/>
          <w:sz w:val="22"/>
          <w:szCs w:val="22"/>
        </w:rPr>
        <w:t>substancialmente inferior</w:t>
      </w:r>
      <w:r>
        <w:rPr>
          <w:rFonts w:eastAsia="Verdana-Bold;Times New Roman" w:cs="Calibri" w:ascii="Calibri" w:hAnsi="Calibri"/>
          <w:color w:val="000000"/>
          <w:sz w:val="22"/>
          <w:szCs w:val="22"/>
        </w:rPr>
        <w:t xml:space="preserve"> àquela imposta pelo banco requerido.</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color w:val="000000"/>
          <w:sz w:val="22"/>
          <w:szCs w:val="22"/>
        </w:rPr>
      </w:pPr>
      <w:r>
        <w:rPr>
          <w:rFonts w:eastAsia="Verdana-Bold;Times New Roman" w:cs="Calibri" w:ascii="Calibri" w:hAnsi="Calibri"/>
          <w:color w:val="000000"/>
          <w:sz w:val="22"/>
          <w:szCs w:val="22"/>
        </w:rPr>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
          <w:color w:val="000000"/>
          <w:sz w:val="22"/>
          <w:szCs w:val="22"/>
          <w:u w:val="single"/>
        </w:rPr>
      </w:pPr>
      <w:r>
        <w:rPr>
          <w:rFonts w:eastAsia="Verdana-Bold;Times New Roman" w:cs="Calibri" w:ascii="Calibri" w:hAnsi="Calibri"/>
          <w:color w:val="000000"/>
          <w:sz w:val="22"/>
          <w:szCs w:val="22"/>
        </w:rPr>
        <w:t xml:space="preserve">Desse modo, resta evidenciada a </w:t>
      </w:r>
      <w:r>
        <w:rPr>
          <w:rFonts w:eastAsia="Verdana-Bold;Times New Roman" w:cs="Calibri" w:ascii="Calibri" w:hAnsi="Calibri"/>
          <w:b/>
          <w:bCs/>
          <w:color w:val="000000"/>
          <w:sz w:val="22"/>
          <w:szCs w:val="22"/>
        </w:rPr>
        <w:t>flagrante discrepância entre a taxa contratada e a taxa média de mercado</w:t>
      </w:r>
      <w:r>
        <w:rPr>
          <w:rFonts w:eastAsia="Verdana-Bold;Times New Roman" w:cs="Calibri" w:ascii="Calibri" w:hAnsi="Calibri"/>
          <w:color w:val="000000"/>
          <w:sz w:val="22"/>
          <w:szCs w:val="22"/>
        </w:rPr>
        <w:t xml:space="preserve">, sendo a taxa aplicada pelo requerido </w:t>
      </w:r>
      <w:r>
        <w:rPr>
          <w:rFonts w:eastAsia="Verdana-Bold;Times New Roman" w:cs="Calibri" w:ascii="Calibri" w:hAnsi="Calibri"/>
          <w:b/>
          <w:bCs/>
          <w:color w:val="000000"/>
          <w:sz w:val="22"/>
          <w:szCs w:val="22"/>
        </w:rPr>
        <w:t>é aproximadamente 2,97 vezes superior à taxa média de mercado (6,44% a.m.), representando uma diferença de 12,71 pontos percentuais, o que evidência, de forma inconteste, a exorbitância e abusividade dos juros remuneratórios cobrados,</w:t>
      </w:r>
      <w:r>
        <w:rPr>
          <w:rFonts w:eastAsia="Verdana-Bold;Times New Roman" w:cs="Calibri" w:ascii="Calibri" w:hAnsi="Calibri"/>
          <w:color w:val="000000"/>
          <w:sz w:val="22"/>
          <w:szCs w:val="22"/>
        </w:rPr>
        <w:t xml:space="preserve"> revelando situação de </w:t>
      </w:r>
      <w:r>
        <w:rPr>
          <w:rFonts w:eastAsia="Verdana-Bold;Times New Roman" w:cs="Calibri" w:ascii="Calibri" w:hAnsi="Calibri"/>
          <w:b/>
          <w:bCs/>
          <w:color w:val="000000"/>
          <w:sz w:val="22"/>
          <w:szCs w:val="22"/>
        </w:rPr>
        <w:t>desvantagem exagerada ao consumidor</w:t>
      </w:r>
      <w:r>
        <w:rPr>
          <w:rFonts w:eastAsia="Verdana-Bold;Times New Roman" w:cs="Calibri" w:ascii="Calibri" w:hAnsi="Calibri"/>
          <w:color w:val="000000"/>
          <w:sz w:val="22"/>
          <w:szCs w:val="22"/>
        </w:rPr>
        <w:t>, nos termos do art. 51, §1º, do Código de Defesa do Consumidor.</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
          <w:color w:val="000000"/>
          <w:sz w:val="22"/>
          <w:szCs w:val="22"/>
          <w:u w:val="single"/>
        </w:rPr>
      </w:pPr>
      <w:r>
        <w:rPr>
          <w:rFonts w:eastAsia="Verdana-Bold;Times New Roman" w:cs="Calibri" w:ascii="Calibri" w:hAnsi="Calibri"/>
          <w:b/>
          <w:color w:val="000000"/>
          <w:sz w:val="22"/>
          <w:szCs w:val="22"/>
          <w:u w:val="single"/>
        </w:rPr>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Cs/>
          <w:color w:val="000000"/>
          <w:sz w:val="22"/>
          <w:szCs w:val="22"/>
        </w:rPr>
      </w:pPr>
      <w:r>
        <w:rPr>
          <w:rFonts w:eastAsia="Verdana-Bold;Times New Roman" w:cs="Calibri" w:ascii="Calibri" w:hAnsi="Calibri"/>
          <w:bCs/>
          <w:color w:val="000000"/>
          <w:sz w:val="22"/>
          <w:szCs w:val="22"/>
        </w:rPr>
        <w:t xml:space="preserve">Tal conduta configura prática abusiva, por afrontar os princípios da </w:t>
      </w:r>
      <w:r>
        <w:rPr>
          <w:rFonts w:eastAsia="Verdana-Bold;Times New Roman" w:cs="Calibri" w:ascii="Calibri" w:hAnsi="Calibri"/>
          <w:b/>
          <w:bCs/>
          <w:color w:val="000000"/>
          <w:sz w:val="22"/>
          <w:szCs w:val="22"/>
        </w:rPr>
        <w:t>boa-fé objetiva</w:t>
      </w:r>
      <w:r>
        <w:rPr>
          <w:rFonts w:eastAsia="Verdana-Bold;Times New Roman" w:cs="Calibri" w:ascii="Calibri" w:hAnsi="Calibri"/>
          <w:bCs/>
          <w:color w:val="000000"/>
          <w:sz w:val="22"/>
          <w:szCs w:val="22"/>
        </w:rPr>
        <w:t xml:space="preserve">, da </w:t>
      </w:r>
      <w:r>
        <w:rPr>
          <w:rFonts w:eastAsia="Verdana-Bold;Times New Roman" w:cs="Calibri" w:ascii="Calibri" w:hAnsi="Calibri"/>
          <w:b/>
          <w:bCs/>
          <w:color w:val="000000"/>
          <w:sz w:val="22"/>
          <w:szCs w:val="22"/>
        </w:rPr>
        <w:t>equidade contratual</w:t>
      </w:r>
      <w:r>
        <w:rPr>
          <w:rFonts w:eastAsia="Verdana-Bold;Times New Roman" w:cs="Calibri" w:ascii="Calibri" w:hAnsi="Calibri"/>
          <w:bCs/>
          <w:color w:val="000000"/>
          <w:sz w:val="22"/>
          <w:szCs w:val="22"/>
        </w:rPr>
        <w:t xml:space="preserve"> e da </w:t>
      </w:r>
      <w:r>
        <w:rPr>
          <w:rFonts w:eastAsia="Verdana-Bold;Times New Roman" w:cs="Calibri" w:ascii="Calibri" w:hAnsi="Calibri"/>
          <w:b/>
          <w:bCs/>
          <w:color w:val="000000"/>
          <w:sz w:val="22"/>
          <w:szCs w:val="22"/>
        </w:rPr>
        <w:t>função social do contrato</w:t>
      </w:r>
      <w:r>
        <w:rPr>
          <w:rFonts w:eastAsia="Verdana-Bold;Times New Roman" w:cs="Calibri" w:ascii="Calibri" w:hAnsi="Calibri"/>
          <w:bCs/>
          <w:color w:val="000000"/>
          <w:sz w:val="22"/>
          <w:szCs w:val="22"/>
        </w:rPr>
        <w:t>, além de gerar prejuízos financeiros expressivos à parte requerente, que se viu compelida a assumir obrigação excessivamente onerosa e incompatível com a realidade do mercado.</w:t>
      </w:r>
    </w:p>
    <w:p>
      <w:pPr>
        <w:pStyle w:val="Padro"/>
        <w:tabs>
          <w:tab w:val="left" w:pos="0" w:leader="none"/>
          <w:tab w:val="left" w:pos="708" w:leader="none"/>
        </w:tabs>
        <w:spacing w:lineRule="auto" w:line="300" w:before="0" w:after="0"/>
        <w:ind w:firstLine="1418" w:end="0"/>
        <w:jc w:val="both"/>
        <w:rPr>
          <w:rFonts w:ascii="Calibri" w:hAnsi="Calibri" w:eastAsia="Verdana-Bold;Times New Roman" w:cs="Calibri"/>
          <w:bCs/>
          <w:color w:val="000000"/>
          <w:sz w:val="22"/>
          <w:szCs w:val="22"/>
        </w:rPr>
      </w:pPr>
      <w:r>
        <w:rPr>
          <w:rFonts w:eastAsia="Verdana-Bold;Times New Roman" w:cs="Calibri" w:ascii="Calibri" w:hAnsi="Calibri"/>
          <w:bCs/>
          <w:color w:val="000000"/>
          <w:sz w:val="22"/>
          <w:szCs w:val="22"/>
        </w:rPr>
      </w:r>
    </w:p>
    <w:p>
      <w:pPr>
        <w:pStyle w:val="Padro"/>
        <w:tabs>
          <w:tab w:val="left" w:pos="0" w:leader="none"/>
          <w:tab w:val="left" w:pos="708" w:leader="none"/>
        </w:tabs>
        <w:spacing w:lineRule="auto" w:line="300" w:before="0" w:after="0"/>
        <w:ind w:firstLine="1418" w:end="0"/>
        <w:jc w:val="both"/>
        <w:rPr>
          <w:rFonts w:ascii="Calibri" w:hAnsi="Calibri" w:cs="Calibri"/>
          <w:bCs/>
          <w:sz w:val="22"/>
          <w:szCs w:val="22"/>
        </w:rPr>
      </w:pPr>
      <w:r>
        <w:rPr>
          <w:rFonts w:eastAsia="Verdana-Bold;Times New Roman" w:cs="Calibri" w:ascii="Calibri" w:hAnsi="Calibri"/>
          <w:color w:val="000000"/>
          <w:sz w:val="22"/>
          <w:szCs w:val="22"/>
        </w:rPr>
        <w:t xml:space="preserve">A possibilidade de </w:t>
      </w:r>
      <w:r>
        <w:rPr>
          <w:rFonts w:eastAsia="Verdana-Bold;Times New Roman" w:cs="Calibri" w:ascii="Calibri" w:hAnsi="Calibri"/>
          <w:b/>
          <w:bCs/>
          <w:color w:val="000000"/>
          <w:sz w:val="22"/>
          <w:szCs w:val="22"/>
        </w:rPr>
        <w:t>revisão dos juros remuneratórios em situações excepcionais de abusividade</w:t>
      </w:r>
      <w:r>
        <w:rPr>
          <w:rFonts w:eastAsia="Verdana-Bold;Times New Roman" w:cs="Calibri" w:ascii="Calibri" w:hAnsi="Calibri"/>
          <w:color w:val="000000"/>
          <w:sz w:val="22"/>
          <w:szCs w:val="22"/>
        </w:rPr>
        <w:t xml:space="preserve"> encontra-se pacificada na jurisprudência do Superior Tribunal de Justiça, especialmente a partir do julgamento do </w:t>
      </w:r>
      <w:r>
        <w:rPr>
          <w:rFonts w:eastAsia="Verdana-Bold;Times New Roman" w:cs="Calibri" w:ascii="Calibri" w:hAnsi="Calibri"/>
          <w:b/>
          <w:bCs/>
          <w:color w:val="000000"/>
          <w:sz w:val="22"/>
          <w:szCs w:val="22"/>
        </w:rPr>
        <w:t>Recurso Especial nº 1.061.530/RS</w:t>
      </w:r>
      <w:r>
        <w:rPr>
          <w:rFonts w:eastAsia="Verdana-Bold;Times New Roman" w:cs="Calibri" w:ascii="Calibri" w:hAnsi="Calibri"/>
          <w:color w:val="000000"/>
          <w:sz w:val="22"/>
          <w:szCs w:val="22"/>
        </w:rPr>
        <w:t>, submetido ao rito dos recursos repetitivos, cuja orientação firmada assim dispõe:</w:t>
      </w:r>
    </w:p>
    <w:p>
      <w:pPr>
        <w:pStyle w:val="Normal"/>
        <w:spacing w:lineRule="auto" w:line="300"/>
        <w:ind w:firstLine="1418" w:end="0"/>
        <w:jc w:val="both"/>
        <w:rPr>
          <w:rFonts w:ascii="Calibri" w:hAnsi="Calibri" w:cs="Calibri"/>
          <w:bCs/>
          <w:sz w:val="22"/>
          <w:szCs w:val="22"/>
          <w:lang w:val="pt-BR"/>
        </w:rPr>
      </w:pPr>
      <w:r>
        <w:rPr>
          <w:rFonts w:cs="Calibri"/>
          <w:bCs/>
          <w:sz w:val="22"/>
          <w:szCs w:val="22"/>
          <w:lang w:val="pt-BR"/>
        </w:rPr>
      </w:r>
    </w:p>
    <w:p>
      <w:pPr>
        <w:pStyle w:val="Normal"/>
        <w:spacing w:lineRule="auto" w:line="240"/>
        <w:ind w:start="2268" w:end="0"/>
        <w:jc w:val="both"/>
        <w:rPr>
          <w:rFonts w:cs="Calibri"/>
          <w:sz w:val="20"/>
          <w:szCs w:val="20"/>
          <w:lang w:val="pt-BR"/>
        </w:rPr>
      </w:pPr>
      <w:r>
        <w:rPr>
          <w:rFonts w:cs="Calibri"/>
          <w:sz w:val="20"/>
          <w:szCs w:val="20"/>
          <w:lang w:val="pt-BR"/>
        </w:rPr>
        <w:t>ORIENTAÇÃO 1 - JUROS REMUNERATÓRIOS</w:t>
      </w:r>
    </w:p>
    <w:p>
      <w:pPr>
        <w:pStyle w:val="Normal"/>
        <w:spacing w:lineRule="auto" w:line="240"/>
        <w:ind w:start="2268" w:end="0"/>
        <w:jc w:val="both"/>
        <w:rPr>
          <w:rFonts w:cs="Calibri"/>
          <w:bCs/>
          <w:sz w:val="20"/>
          <w:szCs w:val="20"/>
          <w:lang w:val="pt-BR"/>
        </w:rPr>
      </w:pPr>
      <w:r>
        <w:rPr>
          <w:rFonts w:cs="Calibri"/>
          <w:bCs/>
          <w:sz w:val="20"/>
          <w:szCs w:val="20"/>
          <w:lang w:val="pt-BR"/>
        </w:rPr>
      </w:r>
    </w:p>
    <w:p>
      <w:pPr>
        <w:pStyle w:val="Normal"/>
        <w:spacing w:lineRule="auto" w:line="240"/>
        <w:ind w:start="2268" w:end="0"/>
        <w:jc w:val="both"/>
        <w:rPr/>
      </w:pPr>
      <w:r>
        <w:rPr>
          <w:rFonts w:cs="Calibri"/>
          <w:b/>
          <w:bCs/>
          <w:sz w:val="20"/>
          <w:szCs w:val="20"/>
          <w:lang w:val="pt-BR"/>
        </w:rPr>
        <w:t>É admitida a revisão das taxas de juros remuneratórios em situações excepcionais, desde que caracterizada a relação de consumo e que a abusividade (capaz de colocar o consumidor em desvantagem exagerada - art. 51, §1º, do CDC) fique cabalmente demonstrada, ante as peculiaridades do julgamento em concreto.</w:t>
      </w:r>
      <w:r>
        <w:rPr>
          <w:rFonts w:cs="Calibri"/>
          <w:sz w:val="20"/>
          <w:szCs w:val="20"/>
          <w:lang w:val="pt-BR"/>
        </w:rPr>
        <w:t xml:space="preserve"> (...)” (REsp 1061530 RS, Rel. Ministra NANCY ANDRIGHI, SEGUNDA SEÇÃO, julgado em 22/10/2008, DJe 10/03/2009). (grifo nosso)</w:t>
      </w:r>
    </w:p>
    <w:p>
      <w:pPr>
        <w:pStyle w:val="Normal"/>
        <w:spacing w:lineRule="auto" w:line="300"/>
        <w:ind w:start="2835" w:end="0"/>
        <w:jc w:val="both"/>
        <w:rPr>
          <w:rFonts w:cs="Calibri"/>
          <w:bCs/>
          <w:sz w:val="20"/>
          <w:szCs w:val="20"/>
          <w:shd w:fill="FFFFFF" w:val="clear"/>
          <w:lang w:val="pt-BR"/>
        </w:rPr>
      </w:pPr>
      <w:r>
        <w:rPr>
          <w:rFonts w:cs="Calibri"/>
          <w:bCs/>
          <w:sz w:val="20"/>
          <w:szCs w:val="20"/>
          <w:shd w:fill="FFFFFF" w:val="clear"/>
          <w:lang w:val="pt-BR"/>
        </w:rPr>
      </w:r>
    </w:p>
    <w:p>
      <w:pPr>
        <w:pStyle w:val="Normal"/>
        <w:spacing w:lineRule="auto" w:line="300"/>
        <w:ind w:firstLine="1418" w:end="0"/>
        <w:jc w:val="both"/>
        <w:rPr>
          <w:rFonts w:cs="Calibri"/>
          <w:bCs/>
          <w:shd w:fill="FFFFFF" w:val="clear"/>
          <w:lang w:val="pt-BR"/>
        </w:rPr>
      </w:pPr>
      <w:r>
        <w:rPr>
          <w:rFonts w:cs="Calibri"/>
          <w:bCs/>
          <w:shd w:fill="FFFFFF" w:val="clear"/>
          <w:lang w:val="pt-BR"/>
        </w:rPr>
        <w:t xml:space="preserve">No referido julgado, restou consignado que, embora as instituições financeiras não estejam submetidas a tabelamento legal de juros, </w:t>
      </w:r>
      <w:r>
        <w:rPr>
          <w:rFonts w:cs="Calibri"/>
          <w:shd w:fill="FFFFFF" w:val="clear"/>
          <w:lang w:val="pt-BR"/>
        </w:rPr>
        <w:t>a liberdade de pactuação não é absoluta</w:t>
      </w:r>
      <w:r>
        <w:rPr>
          <w:rFonts w:cs="Calibri"/>
          <w:bCs/>
          <w:shd w:fill="FFFFFF" w:val="clear"/>
          <w:lang w:val="pt-BR"/>
        </w:rPr>
        <w:t>, cabendo ao Poder Judiciário exercer o controle quando os encargos se mostrarem desarrazoados e desproporcionais em relação à taxa média de mercado.</w:t>
      </w:r>
    </w:p>
    <w:p>
      <w:pPr>
        <w:pStyle w:val="Normal"/>
        <w:spacing w:lineRule="auto" w:line="300"/>
        <w:ind w:firstLine="1418" w:end="0"/>
        <w:jc w:val="both"/>
        <w:rPr>
          <w:rFonts w:cs="Calibri"/>
          <w:bCs/>
          <w:shd w:fill="FFFFFF" w:val="clear"/>
          <w:lang w:val="pt-BR"/>
        </w:rPr>
      </w:pPr>
      <w:r>
        <w:rPr>
          <w:rFonts w:cs="Calibri"/>
          <w:bCs/>
          <w:shd w:fill="FFFFFF" w:val="clear"/>
          <w:lang w:val="pt-BR"/>
        </w:rPr>
      </w:r>
    </w:p>
    <w:p>
      <w:pPr>
        <w:pStyle w:val="Normal"/>
        <w:spacing w:lineRule="auto" w:line="300"/>
        <w:ind w:firstLine="1418" w:end="0"/>
        <w:jc w:val="both"/>
        <w:rPr>
          <w:rFonts w:cs="Calibri"/>
          <w:bCs/>
          <w:shd w:fill="FFFFFF" w:val="clear"/>
          <w:lang w:val="pt-BR"/>
        </w:rPr>
      </w:pPr>
      <w:r>
        <w:rPr>
          <w:rFonts w:cs="Calibri"/>
          <w:bCs/>
          <w:shd w:fill="FFFFFF" w:val="clear"/>
          <w:lang w:val="pt-BR"/>
        </w:rPr>
        <w:t xml:space="preserve">A partir desse precedente paradigmático, consolidou-se o entendimento de que </w:t>
      </w:r>
      <w:r>
        <w:rPr>
          <w:rFonts w:cs="Calibri"/>
          <w:b/>
          <w:bCs/>
          <w:shd w:fill="FFFFFF" w:val="clear"/>
          <w:lang w:val="pt-BR"/>
        </w:rPr>
        <w:t>a taxa média divulgada pelo Banco Central do Brasil constitui o melhor parâmetro objetivo para a aferição da abusividade</w:t>
      </w:r>
      <w:r>
        <w:rPr>
          <w:rFonts w:cs="Calibri"/>
          <w:bCs/>
          <w:shd w:fill="FFFFFF" w:val="clear"/>
          <w:lang w:val="pt-BR"/>
        </w:rPr>
        <w:t>, por refletir a realidade do mercado financeiro, englobando custos operacionais e o lucro médio das instituições financeiras.</w:t>
      </w:r>
    </w:p>
    <w:p>
      <w:pPr>
        <w:pStyle w:val="Normal"/>
        <w:spacing w:lineRule="auto" w:line="300"/>
        <w:ind w:firstLine="1418" w:end="0"/>
        <w:jc w:val="both"/>
        <w:rPr>
          <w:rFonts w:cs="Calibri"/>
          <w:bCs/>
          <w:shd w:fill="FFFFFF" w:val="clear"/>
          <w:lang w:val="pt-BR"/>
        </w:rPr>
      </w:pPr>
      <w:r>
        <w:rPr>
          <w:rFonts w:cs="Calibri"/>
          <w:bCs/>
          <w:shd w:fill="FFFFFF" w:val="clear"/>
          <w:lang w:val="pt-BR"/>
        </w:rPr>
      </w:r>
    </w:p>
    <w:p>
      <w:pPr>
        <w:pStyle w:val="Normal"/>
        <w:spacing w:lineRule="auto" w:line="300"/>
        <w:ind w:firstLine="1418" w:end="0"/>
        <w:jc w:val="both"/>
        <w:rPr>
          <w:rFonts w:cs="Calibri"/>
          <w:bCs/>
          <w:lang w:val="pt-BR"/>
        </w:rPr>
      </w:pPr>
      <w:r>
        <w:rPr>
          <w:rFonts w:cs="Calibri"/>
          <w:bCs/>
          <w:shd w:fill="FFFFFF" w:val="clear"/>
          <w:lang w:val="pt-BR"/>
        </w:rPr>
        <w:t xml:space="preserve">Inclusive, no bojo do </w:t>
      </w:r>
      <w:r>
        <w:rPr>
          <w:rFonts w:cs="Calibri"/>
          <w:b/>
          <w:shd w:fill="FFFFFF" w:val="clear"/>
          <w:lang w:val="pt-BR"/>
        </w:rPr>
        <w:t>REsp 1.061.530/RS</w:t>
      </w:r>
      <w:r>
        <w:rPr>
          <w:rFonts w:cs="Calibri"/>
          <w:bCs/>
          <w:shd w:fill="FFFFFF" w:val="clear"/>
          <w:lang w:val="pt-BR"/>
        </w:rPr>
        <w:t xml:space="preserve">, o próprio Superior Tribunal de Justiça reconheceu que a </w:t>
      </w:r>
      <w:r>
        <w:rPr>
          <w:rFonts w:cs="Calibri"/>
          <w:b/>
          <w:shd w:fill="FFFFFF" w:val="clear"/>
          <w:lang w:val="pt-BR"/>
        </w:rPr>
        <w:t>jurisprudência nacional passou a considerar abusivas taxas que superam</w:t>
      </w:r>
      <w:r>
        <w:rPr>
          <w:rFonts w:cs="Calibri"/>
          <w:bCs/>
          <w:shd w:fill="FFFFFF" w:val="clear"/>
          <w:lang w:val="pt-BR"/>
        </w:rPr>
        <w:t xml:space="preserve"> </w:t>
      </w:r>
      <w:r>
        <w:rPr>
          <w:rFonts w:cs="Calibri"/>
          <w:b/>
          <w:bCs/>
          <w:shd w:fill="FFFFFF" w:val="clear"/>
          <w:lang w:val="pt-BR"/>
        </w:rPr>
        <w:t>uma vez e meia</w:t>
      </w:r>
      <w:r>
        <w:rPr>
          <w:rFonts w:cs="Calibri"/>
          <w:bCs/>
          <w:shd w:fill="FFFFFF" w:val="clear"/>
          <w:lang w:val="pt-BR"/>
        </w:rPr>
        <w:t xml:space="preserve">, </w:t>
      </w:r>
      <w:r>
        <w:rPr>
          <w:rFonts w:cs="Calibri"/>
          <w:b/>
          <w:bCs/>
          <w:shd w:fill="FFFFFF" w:val="clear"/>
          <w:lang w:val="pt-BR"/>
        </w:rPr>
        <w:t>o dobro</w:t>
      </w:r>
      <w:r>
        <w:rPr>
          <w:rFonts w:cs="Calibri"/>
          <w:bCs/>
          <w:shd w:fill="FFFFFF" w:val="clear"/>
          <w:lang w:val="pt-BR"/>
        </w:rPr>
        <w:t xml:space="preserve"> </w:t>
      </w:r>
      <w:r>
        <w:rPr>
          <w:rFonts w:cs="Calibri"/>
          <w:b/>
          <w:shd w:fill="FFFFFF" w:val="clear"/>
          <w:lang w:val="pt-BR"/>
        </w:rPr>
        <w:t>ou até o</w:t>
      </w:r>
      <w:r>
        <w:rPr>
          <w:rFonts w:cs="Calibri"/>
          <w:b/>
          <w:bCs/>
          <w:shd w:fill="FFFFFF" w:val="clear"/>
          <w:lang w:val="pt-BR"/>
        </w:rPr>
        <w:t xml:space="preserve"> triplo</w:t>
      </w:r>
      <w:r>
        <w:rPr>
          <w:rFonts w:cs="Calibri"/>
          <w:bCs/>
          <w:shd w:fill="FFFFFF" w:val="clear"/>
          <w:lang w:val="pt-BR"/>
        </w:rPr>
        <w:t xml:space="preserve"> da taxa média de mercado, a depender das peculiaridades do caso concreto.</w:t>
      </w:r>
    </w:p>
    <w:p>
      <w:pPr>
        <w:pStyle w:val="Normal"/>
        <w:spacing w:lineRule="auto" w:line="300"/>
        <w:jc w:val="both"/>
        <w:rPr>
          <w:rFonts w:cs="Calibri"/>
          <w:b/>
          <w:bCs/>
          <w:u w:val="single"/>
          <w:lang w:val="pt-BR"/>
        </w:rPr>
      </w:pPr>
      <w:r>
        <w:rPr>
          <w:rFonts w:cs="Calibri"/>
          <w:b/>
          <w:bCs/>
          <w:u w:val="single"/>
          <w:lang w:val="pt-BR"/>
        </w:rPr>
      </w:r>
    </w:p>
    <w:p>
      <w:pPr>
        <w:pStyle w:val="Normal"/>
        <w:spacing w:lineRule="auto" w:line="240"/>
        <w:ind w:start="2268" w:end="0"/>
        <w:jc w:val="both"/>
        <w:rPr>
          <w:rFonts w:cs="Calibri"/>
          <w:sz w:val="20"/>
          <w:szCs w:val="20"/>
          <w:lang w:val="pt-BR"/>
        </w:rPr>
      </w:pPr>
      <w:r>
        <w:rPr>
          <w:rFonts w:cs="Calibri"/>
          <w:sz w:val="20"/>
          <w:szCs w:val="20"/>
          <w:lang w:val="pt-BR"/>
        </w:rPr>
        <w:t>1.2. A Revisão dos Juros Remuneratórios Pactuados</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Fixada a premissa de que, salvo situações excepcionais, os juros remuneratórios podem ser livremente pactuados em contratos de empréstimo no âmbito do Sistema Financeiro Nacional, questiona-se a possibilidade de o Poder Judiciário exercer o controle da liberdade de convenção de taxa de juros naquelas situações que são evidentemente abusivas.</w:t>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pPr>
      <w:r>
        <w:rPr>
          <w:rFonts w:cs="Calibri"/>
          <w:b/>
          <w:bCs/>
          <w:sz w:val="20"/>
          <w:szCs w:val="20"/>
          <w:lang w:val="pt-BR"/>
        </w:rPr>
        <w:t>O Ministro César Asfor Rocha, diante de juros remuneratórios pactuados à taxa de 34,87% ao mês contra uma taxa média, apurada por perícia, de 14,19% ao mês, entendeu que, estando “cabalmente comprovada por perícia, nas instâncias ordinárias, que a estipulação da taxa de juros remuneratórios foi aproximadamente 150% maior que a taxa média praticada no mercado, nula é a cláusula do contrato” (REsp 327.727/SP, Segunda Seção, DJ de 08.03.2004).</w:t>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rFonts w:cs="Calibri"/>
          <w:sz w:val="20"/>
          <w:szCs w:val="20"/>
          <w:lang w:val="pt-BR"/>
        </w:rPr>
      </w:pPr>
      <w:r>
        <w:rPr>
          <w:rFonts w:cs="Calibri"/>
          <w:sz w:val="20"/>
          <w:szCs w:val="20"/>
          <w:lang w:val="pt-BR"/>
        </w:rPr>
        <w:t>Assim, a análise da abusividade ganhou muito quando o Banco Central do Brasil passou, em de 1999, a divulgar as taxas médias, ponderada segundo o volume de crédito concedido, para os juros praticados pelas instituições financeiras nas operações de crédito realizadas com recursos livres (conf. Circular nº 2957, de 30.12.1999).</w:t>
      </w:r>
    </w:p>
    <w:p>
      <w:pPr>
        <w:pStyle w:val="Normal"/>
        <w:spacing w:lineRule="auto" w:line="240"/>
        <w:ind w:start="2268" w:end="0"/>
        <w:jc w:val="both"/>
        <w:rPr>
          <w:rFonts w:cs="Calibri"/>
          <w:b/>
          <w:sz w:val="20"/>
          <w:szCs w:val="20"/>
          <w:lang w:val="pt-BR"/>
        </w:rPr>
      </w:pPr>
      <w:r>
        <w:rPr>
          <w:rFonts w:cs="Calibri"/>
          <w:b/>
          <w:sz w:val="20"/>
          <w:szCs w:val="20"/>
          <w:lang w:val="pt-BR"/>
        </w:rPr>
        <w:t>(...)</w:t>
      </w:r>
    </w:p>
    <w:p>
      <w:pPr>
        <w:pStyle w:val="Normal"/>
        <w:spacing w:lineRule="auto" w:line="240"/>
        <w:ind w:start="2268" w:end="0"/>
        <w:jc w:val="both"/>
        <w:rPr/>
      </w:pPr>
      <w:r>
        <w:rPr>
          <w:rFonts w:cs="Calibri"/>
          <w:b/>
          <w:bCs/>
          <w:sz w:val="20"/>
          <w:szCs w:val="20"/>
          <w:lang w:val="pt-BR"/>
        </w:rPr>
        <w:t xml:space="preserve">A taxa média apresenta vantagens porque é calculada segundo as informações prestadas por diversas instituições financeiras e, por isso, representa as forças do mercado. </w:t>
      </w:r>
      <w:r>
        <w:rPr>
          <w:rFonts w:cs="Calibri"/>
          <w:sz w:val="20"/>
          <w:szCs w:val="20"/>
          <w:lang w:val="pt-BR"/>
        </w:rPr>
        <w:t xml:space="preserve">Ademais, traz embutida em si o custo médio das instituições financeiras e seu lucro médio, ou seja, um 'spread' médio. É certo, ainda, que o cálculo da taxa média não é completo, na medida em que não abrange todas as modalidades de concessão de crédito, mas, sem dúvida, presta-se como parâmetro de tendência das taxas de juros. </w:t>
      </w:r>
      <w:r>
        <w:rPr>
          <w:rFonts w:cs="Calibri"/>
          <w:b/>
          <w:bCs/>
          <w:sz w:val="20"/>
          <w:szCs w:val="20"/>
          <w:lang w:val="pt-BR"/>
        </w:rPr>
        <w:t>Assim, dentro do universo regulatório atual, a taxa média constitui o melhor parâmetro para a elaboração de um juízo sobre abusividade.</w:t>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pPr>
      <w:r>
        <w:rPr>
          <w:rFonts w:cs="Calibri"/>
          <w:b/>
          <w:bCs/>
          <w:sz w:val="20"/>
          <w:szCs w:val="20"/>
          <w:lang w:val="pt-BR"/>
        </w:rPr>
        <w:t xml:space="preserve">A jurisprudência, conforme registrado anteriormente, tem considerado abusivas taxas superiores a uma vez e meia </w:t>
      </w:r>
      <w:r>
        <w:rPr>
          <w:rFonts w:cs="Calibri"/>
          <w:sz w:val="20"/>
          <w:szCs w:val="20"/>
          <w:lang w:val="pt-BR"/>
        </w:rPr>
        <w:t>(voto proferido pelo Min. Ari Pargendler no REsp 271.214/RS, Rel. p. Acórdão Min. Menezes Direito, DJ de 04.08.2003), ao dobro (Resp 1.036.818, Terceira Turma, minha relatoria, DJe de 20.06.2008) ou ao triplo (REsp 971.853/RS, Quarta Turma, Min. Pádua Ribeiro, DJ de 24.09.2007) da média.”</w:t>
      </w:r>
      <w:r>
        <w:rPr>
          <w:rFonts w:cs="Calibri"/>
          <w:b/>
          <w:bCs/>
          <w:sz w:val="20"/>
          <w:szCs w:val="20"/>
          <w:lang w:val="pt-BR"/>
        </w:rPr>
        <w:t xml:space="preserve"> </w:t>
      </w:r>
      <w:r>
        <w:rPr>
          <w:rFonts w:cs="Calibri"/>
          <w:sz w:val="20"/>
          <w:szCs w:val="20"/>
          <w:lang w:val="pt-BR"/>
        </w:rPr>
        <w:t>(REsp 1061530 RS, Rel. Ministra NANCY ANDRIGHI, SEGUNDA SEÇÃO, julgado em 22/10/2008, DJe 10/03/2009). (grifo nosso)</w:t>
      </w:r>
    </w:p>
    <w:p>
      <w:pPr>
        <w:pStyle w:val="Normal"/>
        <w:spacing w:lineRule="auto" w:line="300"/>
        <w:ind w:start="2835" w:end="0"/>
        <w:jc w:val="both"/>
        <w:rPr>
          <w:rFonts w:cs="Calibri"/>
          <w:bCs/>
          <w:sz w:val="20"/>
          <w:szCs w:val="20"/>
          <w:shd w:fill="FFFFFF" w:val="clear"/>
          <w:lang w:val="pt-BR"/>
        </w:rPr>
      </w:pPr>
      <w:r>
        <w:rPr>
          <w:rFonts w:cs="Calibri"/>
          <w:bCs/>
          <w:sz w:val="20"/>
          <w:szCs w:val="20"/>
          <w:shd w:fill="FFFFFF" w:val="clear"/>
          <w:lang w:val="pt-BR"/>
        </w:rPr>
      </w:r>
    </w:p>
    <w:p>
      <w:pPr>
        <w:pStyle w:val="Normal"/>
        <w:spacing w:lineRule="auto" w:line="300"/>
        <w:ind w:firstLine="1418" w:end="0"/>
        <w:jc w:val="both"/>
        <w:rPr>
          <w:rFonts w:cs="Calibri"/>
          <w:bCs/>
          <w:shd w:fill="FFFFFF" w:val="clear"/>
          <w:lang w:val="pt-BR"/>
        </w:rPr>
      </w:pPr>
      <w:r>
        <w:rPr>
          <w:rFonts w:cs="Calibri"/>
          <w:bCs/>
          <w:shd w:fill="FFFFFF" w:val="clear"/>
          <w:lang w:val="pt-BR"/>
        </w:rPr>
        <w:t xml:space="preserve">No caso dos autos, a taxa imposta pelo requerido </w:t>
      </w:r>
      <w:r>
        <w:rPr>
          <w:rFonts w:cs="Calibri"/>
          <w:b/>
          <w:bCs/>
          <w:shd w:fill="FFFFFF" w:val="clear"/>
          <w:lang w:val="pt-BR"/>
        </w:rPr>
        <w:t>excede de forma muito superior tais parâmetros</w:t>
      </w:r>
      <w:r>
        <w:rPr>
          <w:rFonts w:cs="Calibri"/>
          <w:bCs/>
          <w:shd w:fill="FFFFFF" w:val="clear"/>
          <w:lang w:val="pt-BR"/>
        </w:rPr>
        <w:t xml:space="preserve">, circunstância que autoriza, de maneira incontestável, a intervenção judicial para </w:t>
      </w:r>
      <w:r>
        <w:rPr>
          <w:rFonts w:cs="Calibri"/>
          <w:b/>
          <w:bCs/>
          <w:shd w:fill="FFFFFF" w:val="clear"/>
          <w:lang w:val="pt-BR"/>
        </w:rPr>
        <w:t>revisão do contrato e limitação dos juros remuneratórios à taxa média de mercado vigente à época da contratação</w:t>
      </w:r>
      <w:r>
        <w:rPr>
          <w:rFonts w:cs="Calibri"/>
          <w:bCs/>
          <w:shd w:fill="FFFFFF" w:val="clear"/>
          <w:lang w:val="pt-BR"/>
        </w:rPr>
        <w:t>.</w:t>
      </w:r>
    </w:p>
    <w:p>
      <w:pPr>
        <w:pStyle w:val="Normal"/>
        <w:spacing w:lineRule="auto" w:line="300"/>
        <w:ind w:firstLine="1418" w:end="0"/>
        <w:jc w:val="both"/>
        <w:rPr>
          <w:rFonts w:cs="Calibri"/>
          <w:bCs/>
          <w:shd w:fill="FFFFFF" w:val="clear"/>
          <w:lang w:val="pt-BR"/>
        </w:rPr>
      </w:pPr>
      <w:r>
        <w:rPr>
          <w:rFonts w:cs="Calibri"/>
          <w:bCs/>
          <w:shd w:fill="FFFFFF" w:val="clear"/>
          <w:lang w:val="pt-BR"/>
        </w:rPr>
      </w:r>
    </w:p>
    <w:p>
      <w:pPr>
        <w:pStyle w:val="Normal"/>
        <w:spacing w:lineRule="auto" w:line="300"/>
        <w:ind w:firstLine="1418" w:end="0"/>
        <w:jc w:val="both"/>
        <w:rPr/>
      </w:pPr>
      <w:r>
        <w:rPr>
          <w:rFonts w:cs="Calibri"/>
          <w:bCs/>
          <w:shd w:fill="FFFFFF" w:val="clear"/>
          <w:lang w:val="pt-BR"/>
        </w:rPr>
        <w:t xml:space="preserve">Os Tribunais Pátrios, inclusive este Egrégio Tribunal de Justiça do Estado do Amazonas, vêm adotando reiteradamente tal orientação, reconhecendo a abusividade de juros que se afastam de modo desproporcional da média divulgada pelo BACEN, determinando a revisão contratual e a restituição dos valores cobrados indevidamente, conforme precedentes já colacionados. </w:t>
      </w:r>
    </w:p>
    <w:p>
      <w:pPr>
        <w:pStyle w:val="Normal"/>
        <w:spacing w:lineRule="auto" w:line="300"/>
        <w:jc w:val="both"/>
        <w:rPr>
          <w:rFonts w:cs="Calibri"/>
          <w:bCs/>
          <w:shd w:fill="FFFFFF" w:val="clear"/>
          <w:lang w:val="pt-BR"/>
        </w:rPr>
      </w:pPr>
      <w:r>
        <w:rPr>
          <w:rFonts w:cs="Calibri"/>
          <w:bCs/>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CIVIL. PROCESSO CIVIL. APELAÇÃO. DIREITO DO CONSUMIDOR. </w:t>
      </w:r>
      <w:r>
        <w:rPr>
          <w:rFonts w:cs="Calibri"/>
          <w:b/>
          <w:bCs/>
          <w:color w:val="000000"/>
          <w:sz w:val="20"/>
          <w:szCs w:val="20"/>
          <w:shd w:fill="FFFFFF" w:val="clear"/>
          <w:lang w:val="pt-BR"/>
        </w:rPr>
        <w:t>EMPRÉSTIMO PESSOAL. INSTITUIÇÃO FINANCEIRA. NÃO COMPROVAÇÃO DA REGULARIDADE DAS TAXAS DE JUROS ACIMA DA MÉDIA DE MERCADO.</w:t>
      </w:r>
      <w:r>
        <w:rPr>
          <w:rFonts w:cs="Calibri"/>
          <w:color w:val="000000"/>
          <w:sz w:val="20"/>
          <w:szCs w:val="20"/>
          <w:shd w:fill="FFFFFF" w:val="clear"/>
          <w:lang w:val="pt-BR"/>
        </w:rPr>
        <w:t xml:space="preserve"> ÔNUS DA PROVA. RESPONSABILIDADE OBJETIVA CARACTERIZADA. DEVER DE INDENIZAR. REEMBOLSO DOS VALORES DE FORMA DOBRADA. CONFIGURAÇÃO. DANOS MORAIS CONFIGURADOS E MANTIDOS. RECURSO NÃO PROVIDO. 1. Este caso decorre de uma relação de consumo, pois a Apelado é consumidora e a Apelante é fornecedora de produtos/serviços, incidindo, portanto, a súmula 297 do STJ, devendo ser presumida a vulnerabilidade da parte, eis que a instituição financeira de grande porte possui chances e condições muito maiores de se defender em litígios como o presente, de modo que a responsabilidade civil da Apelante é objetiva, bem como o ônus da prova se inverte em virtude da própria lei (ope legis). </w:t>
      </w:r>
      <w:r>
        <w:rPr>
          <w:rFonts w:cs="Calibri"/>
          <w:b/>
          <w:bCs/>
          <w:color w:val="000000"/>
          <w:sz w:val="20"/>
          <w:szCs w:val="20"/>
          <w:shd w:fill="FFFFFF" w:val="clear"/>
          <w:lang w:val="pt-BR"/>
        </w:rPr>
        <w:t>2. A matéria tratada in casu não apresenta novidades, haja vista que o Superior Tribunal de Justiça, em sede de julgamento afetado ao sistema de precedentes, deliberou sobre a questão, tendo sido proferido voto no REsp n.º 1061530/RS, no sentido de que o referencial disponibilizado pelo Banco Central é apenas um parâmetro, ou seja, a despeito de não haver a sujeição das instituições financeiras a taxas preestabelecidas, certo é que os valores cobrados devem respeito à proporcionalidade e à razoabilidade, de forma que, se os montantes forem exagerados, caberá a redução para a média do mercado para aquele período.</w:t>
      </w:r>
      <w:r>
        <w:rPr>
          <w:rFonts w:cs="Calibri"/>
          <w:color w:val="000000"/>
          <w:sz w:val="20"/>
          <w:szCs w:val="20"/>
          <w:shd w:fill="FFFFFF" w:val="clear"/>
          <w:lang w:val="pt-BR"/>
        </w:rPr>
        <w:t xml:space="preserve"> </w:t>
      </w:r>
      <w:r>
        <w:rPr>
          <w:rFonts w:cs="Calibri"/>
          <w:b/>
          <w:bCs/>
          <w:color w:val="000000"/>
          <w:sz w:val="20"/>
          <w:szCs w:val="20"/>
          <w:shd w:fill="FFFFFF" w:val="clear"/>
          <w:lang w:val="pt-BR"/>
        </w:rPr>
        <w:t>3. Examinando com cautela o instrumento contratual, vislumbra-se que as informações são inadequadas, visto que não há qualquer especificação acerca dos riscos particulares envolvidos naquela operação, mas somente a previsão das taxas de juros mensais e anuais, não havendo a demonstração adequada ao caso concreto do cotejo das condições pessoais do consumidor e os eventuais riscos na concessão do mútuo. 4. Ou seja, muito embora defenda a instituição financeira que a taxa média não pode ser utilizada como parâmetro, por não distinguir o nível de risco de cada cliente, o próprio Apelante em momento algum comprovou que o perfil da Apelada possuiria alguma particularidade que pudesse influenciar negativamente no percentual de juros remuneratórios aplicado especificamente, ônus este que lhe competia, sob pena de tornar verdadeira a alegação do consumidor e impossibilitar a majoração da cobrança.</w:t>
      </w:r>
      <w:r>
        <w:rPr>
          <w:rFonts w:cs="Calibri"/>
          <w:color w:val="000000"/>
          <w:sz w:val="20"/>
          <w:szCs w:val="20"/>
          <w:shd w:fill="FFFFFF" w:val="clear"/>
          <w:lang w:val="pt-BR"/>
        </w:rPr>
        <w:t xml:space="preserve"> </w:t>
      </w:r>
      <w:r>
        <w:rPr>
          <w:rFonts w:cs="Calibri"/>
          <w:b/>
          <w:bCs/>
          <w:color w:val="000000"/>
          <w:sz w:val="20"/>
          <w:szCs w:val="20"/>
          <w:shd w:fill="FFFFFF" w:val="clear"/>
          <w:lang w:val="pt-BR"/>
        </w:rPr>
        <w:t xml:space="preserve">5. Não havendo a desconstituição do direito do consumidor e nem prova da possibilidade de cobrança de taxas acima da média de mercado, erige a responsabilidade objetiva da instituição financeira, devendo ser reparados os danos causados, com a devolução das quantias cobradas em dobro, posto que não configurada a hipótese de engano justificável. </w:t>
      </w:r>
      <w:r>
        <w:rPr>
          <w:rFonts w:cs="Calibri"/>
          <w:color w:val="000000"/>
          <w:sz w:val="20"/>
          <w:szCs w:val="20"/>
          <w:shd w:fill="FFFFFF" w:val="clear"/>
          <w:lang w:val="pt-BR"/>
        </w:rPr>
        <w:t>6. Situação que extrapola os limites da boa-fé objetiva, caracterizando em ofensa à dignidade da pessoa humana e à honra da Apelada, devendo ser compensados os danos morais arbitrados na instância a quo, cujo valor, a saber, R$ 10.000,00 (cinco mil reais) é razoável e proporcional ao caso dos autos. 7. Apelação conhecida e não provida. (Relator (a): Maria das Graças Pessoa Figueiredo; Comarca: Fórum de Itacoatiara; Órgão julgador: Primeira Câmara Cível; Data do julgamento: 12/12/2022; Data de registro: 12/12/2022)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APELAÇÃO CÍVEL. AÇÃO DE REVISÃO DE CONTRATO. </w:t>
      </w:r>
      <w:r>
        <w:rPr>
          <w:rFonts w:cs="Calibri"/>
          <w:b/>
          <w:bCs/>
          <w:color w:val="000000"/>
          <w:sz w:val="20"/>
          <w:szCs w:val="20"/>
          <w:shd w:fill="FFFFFF" w:val="clear"/>
          <w:lang w:val="pt-BR"/>
        </w:rPr>
        <w:t xml:space="preserve">TAXA DE JUROS REMUNERATÓRIOS ABUSIVA. CRÉDITO PESSOAL CONSIGNADO. DESEQUILÍBRIO CONTRATUAL. REVISÃO DEFERIDA. </w:t>
      </w:r>
      <w:r>
        <w:rPr>
          <w:rFonts w:cs="Calibri"/>
          <w:color w:val="000000"/>
          <w:sz w:val="20"/>
          <w:szCs w:val="20"/>
          <w:shd w:fill="FFFFFF" w:val="clear"/>
          <w:lang w:val="pt-BR"/>
        </w:rPr>
        <w:t xml:space="preserve">RECURSO CONHECIDO E PROVIDO. </w:t>
      </w:r>
      <w:r>
        <w:rPr>
          <w:rFonts w:cs="Calibri"/>
          <w:b/>
          <w:bCs/>
          <w:color w:val="000000"/>
          <w:sz w:val="20"/>
          <w:szCs w:val="20"/>
          <w:shd w:fill="FFFFFF" w:val="clear"/>
          <w:lang w:val="pt-BR"/>
        </w:rPr>
        <w:t>I - Considera-se abusiva a taxa de juros que excede de modo desproporcional a taxa média praticada pelo mercado no mês de celebração do ajuste. Ao analisar o tema, observa-se que, embora seja natural do mercado a variação das taxas de juros, o percentual estabelecido no contrato (objeto da controvérsia) impõe situação severamente desfavorável ao ora apelante.</w:t>
      </w:r>
      <w:r>
        <w:rPr>
          <w:rFonts w:cs="Calibri"/>
          <w:color w:val="000000"/>
          <w:sz w:val="20"/>
          <w:szCs w:val="20"/>
          <w:shd w:fill="FFFFFF" w:val="clear"/>
          <w:lang w:val="pt-BR"/>
        </w:rPr>
        <w:t xml:space="preserve"> II – Apelação conhecida e provida, com inversão do ônus da sucumbência. (Relator (a): João de Jesus Abdala Simões; Comarca: Capital - Fórum Ministro Henoch Reis; Órgão julgador: Terceira Câmara Cível; Data do julgamento: 21/11/2022; Data de registro: 22/11/2022)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eastAsia="Times New Roman" w:cs="Calibri"/>
          <w:sz w:val="20"/>
          <w:szCs w:val="20"/>
          <w:lang w:val="pt-BR" w:eastAsia="pt-BR"/>
        </w:rPr>
        <w:t xml:space="preserve">0618622-92.2020.8.04.0001 - Apelação Cível - Ementa: APELAÇÃO CÍVEL. AÇÃO DE REVISÃO DE CONTRATO BANCÁRIO. EMPRÉSTIMOS. </w:t>
      </w:r>
      <w:r>
        <w:rPr>
          <w:rFonts w:eastAsia="Times New Roman" w:cs="Calibri"/>
          <w:b/>
          <w:bCs/>
          <w:sz w:val="20"/>
          <w:szCs w:val="20"/>
          <w:lang w:val="pt-BR" w:eastAsia="pt-BR"/>
        </w:rPr>
        <w:t>JUROS REMUNERATÓRIOS. REFERENCIAL. TAXA MÉDIA DE MERCADO APURADA PELO BACEN. ABUSIVIDADE CONSTATADA. DESVANTAGEM EXAGERADA DO CONSUMIDOR. FORÇOSA REVISÃO DOS ENCARGOS IMPUGNADOS.</w:t>
      </w:r>
      <w:r>
        <w:rPr>
          <w:rFonts w:eastAsia="Times New Roman" w:cs="Calibri"/>
          <w:sz w:val="20"/>
          <w:szCs w:val="20"/>
          <w:lang w:val="pt-BR" w:eastAsia="pt-BR"/>
        </w:rPr>
        <w:t xml:space="preserve"> RESTITUIÇÃO DOS VALORES PAGOS A MAIOR. NA FORMA SIMPLES. REFORMA DA SENTENÇA. - Conforme entendimento do STJ, excepcionalmente será admitida a revisão da taxa de juros remuneratórios, quando restar caracterizada a relação de consumo e for cabalmente demonstrada a abusividade do referido encargo; - </w:t>
      </w:r>
      <w:r>
        <w:rPr>
          <w:rFonts w:eastAsia="Times New Roman" w:cs="Calibri"/>
          <w:b/>
          <w:bCs/>
          <w:sz w:val="20"/>
          <w:szCs w:val="20"/>
          <w:lang w:val="pt-BR" w:eastAsia="pt-BR"/>
        </w:rPr>
        <w:t>A taxa média de juros divulgada pelo Banco Central deve servir como um referencial, cabendo ao Juízo avaliar as peculiaridades do caso concreto para identificar a ocorrência ou não de desvantagem excessiva para o consumidor no pactuado; - Os juros aplicados aos empréstimos contratados pelo autor são absurdamente superiores à taxa média de mercado apurada pelo Banco Central; - Constatada abusividade na relação de consumo em tela, faz-se necessária a revisão dos encargos ora impugnados e, por conseguinte, a restituição, na forma simples, dos valores pagos a maior pelo apelante</w:t>
      </w:r>
      <w:r>
        <w:rPr>
          <w:rFonts w:eastAsia="Times New Roman" w:cs="Calibri"/>
          <w:sz w:val="20"/>
          <w:szCs w:val="20"/>
          <w:lang w:val="pt-BR" w:eastAsia="pt-BR"/>
        </w:rPr>
        <w:t>; RECURSO CONHECIDO E PROVIDO. (Relator (a): Ari Jorge Moutinho da Costa; Comarca: Manaus/AM; Órgão julgador: Segunda Câmara Cível; Data do julgamento: 12/04/2021; Data de registro: 14/04/2021) (grifo nosso)</w:t>
      </w:r>
    </w:p>
    <w:p>
      <w:pPr>
        <w:pStyle w:val="Normal"/>
        <w:spacing w:lineRule="auto" w:line="300"/>
        <w:ind w:start="2835" w:end="0"/>
        <w:jc w:val="both"/>
        <w:rPr>
          <w:rFonts w:eastAsia="Times New Roman" w:cs="Calibri"/>
          <w:b/>
          <w:bCs/>
          <w:sz w:val="20"/>
          <w:szCs w:val="20"/>
          <w:lang w:val="pt-BR" w:eastAsia="pt-BR"/>
        </w:rPr>
      </w:pPr>
      <w:r>
        <w:rPr>
          <w:rFonts w:eastAsia="Times New Roman" w:cs="Calibri"/>
          <w:b/>
          <w:bCs/>
          <w:sz w:val="20"/>
          <w:szCs w:val="20"/>
          <w:lang w:val="pt-BR" w:eastAsia="pt-BR"/>
        </w:rPr>
      </w:r>
    </w:p>
    <w:p>
      <w:pPr>
        <w:pStyle w:val="Normal"/>
        <w:spacing w:lineRule="auto" w:line="300"/>
        <w:ind w:firstLine="1418" w:end="0"/>
        <w:jc w:val="both"/>
        <w:rPr/>
      </w:pPr>
      <w:r>
        <w:rPr>
          <w:rFonts w:cs="Calibri"/>
          <w:shd w:fill="FFFFFF" w:val="clear"/>
          <w:lang w:val="pt-BR"/>
        </w:rPr>
        <w:t xml:space="preserve">Dessa forma, diante da </w:t>
      </w:r>
      <w:r>
        <w:rPr>
          <w:rFonts w:cs="Calibri"/>
          <w:b/>
          <w:bCs/>
          <w:shd w:fill="FFFFFF" w:val="clear"/>
          <w:lang w:val="pt-BR"/>
        </w:rPr>
        <w:t>robusta prova documental</w:t>
      </w:r>
      <w:r>
        <w:rPr>
          <w:rFonts w:cs="Calibri"/>
          <w:shd w:fill="FFFFFF" w:val="clear"/>
          <w:lang w:val="pt-BR"/>
        </w:rPr>
        <w:t xml:space="preserve"> acostada aos autos, notadamente a comparação objetiva entre a taxa contratada e a taxa média de mercado divulgada pelo Banco Central do Brasil, resta </w:t>
      </w:r>
      <w:r>
        <w:rPr>
          <w:rFonts w:cs="Calibri"/>
          <w:b/>
          <w:bCs/>
          <w:shd w:fill="FFFFFF" w:val="clear"/>
          <w:lang w:val="pt-BR"/>
        </w:rPr>
        <w:t>induvidosa a abusividade dos juros remuneratórios praticados pelo banco requerido</w:t>
      </w:r>
      <w:r>
        <w:rPr>
          <w:rFonts w:cs="Calibri"/>
          <w:shd w:fill="FFFFFF" w:val="clear"/>
          <w:lang w:val="pt-BR"/>
        </w:rPr>
        <w:t>.</w:t>
      </w:r>
    </w:p>
    <w:p>
      <w:pPr>
        <w:pStyle w:val="Normal"/>
        <w:spacing w:lineRule="auto" w:line="300"/>
        <w:ind w:firstLine="1418" w:end="0"/>
        <w:jc w:val="both"/>
        <w:rPr>
          <w:rFonts w:cs="Calibri"/>
          <w:shd w:fill="FFFFFF" w:val="clear"/>
          <w:lang w:val="pt-BR"/>
        </w:rPr>
      </w:pPr>
      <w:r>
        <w:rPr>
          <w:rFonts w:cs="Calibri"/>
          <w:shd w:fill="FFFFFF" w:val="clear"/>
          <w:lang w:val="pt-BR"/>
        </w:rPr>
      </w:r>
    </w:p>
    <w:p>
      <w:pPr>
        <w:pStyle w:val="Normal"/>
        <w:spacing w:lineRule="auto" w:line="300"/>
        <w:ind w:firstLine="1418" w:end="0"/>
        <w:jc w:val="both"/>
        <w:rPr/>
      </w:pPr>
      <w:r>
        <w:rPr>
          <w:rFonts w:cs="Calibri"/>
          <w:shd w:fill="FFFFFF" w:val="clear"/>
          <w:lang w:val="pt-BR"/>
        </w:rPr>
        <w:t xml:space="preserve">Assim, com fundamento no Código de Defesa do Consumidor, no entendimento consolidado do Superior Tribunal de Justiça e na jurisprudência dominante dos Tribunais Pátrios, </w:t>
      </w:r>
      <w:r>
        <w:rPr>
          <w:rFonts w:cs="Calibri"/>
          <w:b/>
          <w:bCs/>
          <w:shd w:fill="FFFFFF" w:val="clear"/>
          <w:lang w:val="pt-BR"/>
        </w:rPr>
        <w:t>impõe-se a revisão da taxa de juros do contrato em questão</w:t>
      </w:r>
      <w:r>
        <w:rPr>
          <w:rFonts w:cs="Calibri"/>
          <w:shd w:fill="FFFFFF" w:val="clear"/>
          <w:lang w:val="pt-BR"/>
        </w:rPr>
        <w:t xml:space="preserve">, com sua </w:t>
      </w:r>
      <w:r>
        <w:rPr>
          <w:rFonts w:cs="Calibri"/>
          <w:b/>
          <w:bCs/>
          <w:shd w:fill="FFFFFF" w:val="clear"/>
          <w:lang w:val="pt-BR"/>
        </w:rPr>
        <w:t>adequação ao patamar da taxa média de mercado</w:t>
      </w:r>
      <w:r>
        <w:rPr>
          <w:rFonts w:cs="Calibri"/>
          <w:shd w:fill="FFFFFF" w:val="clear"/>
          <w:lang w:val="pt-BR"/>
        </w:rPr>
        <w:t>, como medida necessária à restauração do equilíbrio contratual e à efetiva tutela dos direitos da parte consumidora.</w:t>
      </w:r>
    </w:p>
    <w:p>
      <w:pPr>
        <w:pStyle w:val="Normal"/>
        <w:spacing w:lineRule="auto" w:line="300"/>
        <w:jc w:val="both"/>
        <w:rPr>
          <w:rFonts w:cs="Calibri"/>
          <w:shd w:fill="FFFFFF" w:val="clear"/>
          <w:lang w:val="pt-BR"/>
        </w:rPr>
      </w:pPr>
      <w:r>
        <w:rPr>
          <w:rFonts w:cs="Calibri"/>
          <w:shd w:fill="FFFFFF" w:val="clear"/>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bCs/>
          <w:lang w:val="pt-BR" w:eastAsia="pt-BR"/>
        </w:rPr>
      </w:pPr>
      <w:r>
        <w:rPr>
          <w:rFonts w:cs="Calibri"/>
          <w:b/>
          <w:bCs/>
          <w:lang w:val="pt-BR" w:eastAsia="pt-BR"/>
        </w:rPr>
        <w:t>3.5 – DO PEDIDO DE DECLARAÇÃO DE NULIDADE DE CLÁUSULAS CONTRATUAIS ABUSIVAS</w:t>
      </w:r>
    </w:p>
    <w:p>
      <w:pPr>
        <w:pStyle w:val="Normal"/>
        <w:spacing w:lineRule="auto" w:line="300"/>
        <w:jc w:val="both"/>
        <w:rPr>
          <w:rFonts w:cs="Calibri"/>
          <w:b/>
          <w:bCs/>
          <w:lang w:val="pt-BR" w:eastAsia="pt-BR"/>
        </w:rPr>
      </w:pPr>
      <w:r>
        <w:rPr>
          <w:rFonts w:cs="Calibri"/>
          <w:b/>
          <w:bCs/>
          <w:lang w:val="pt-BR" w:eastAsia="pt-BR"/>
        </w:rPr>
      </w:r>
    </w:p>
    <w:p>
      <w:pPr>
        <w:pStyle w:val="BodyText"/>
        <w:spacing w:lineRule="auto" w:line="300" w:before="0" w:after="0"/>
        <w:ind w:firstLine="1418" w:end="240"/>
        <w:jc w:val="both"/>
        <w:rPr/>
      </w:pPr>
      <w:r>
        <w:rPr>
          <w:rFonts w:cs="Calibri"/>
          <w:lang w:val="pt-BR"/>
        </w:rPr>
        <w:t xml:space="preserve">Conforme amplamente demonstrado ao longo da presente exordial, é </w:t>
      </w:r>
      <w:r>
        <w:rPr>
          <w:rFonts w:cs="Calibri"/>
          <w:b/>
          <w:bCs/>
          <w:lang w:val="pt-BR"/>
        </w:rPr>
        <w:t>inequívoca a existência de cláusulas contratuais abusivas</w:t>
      </w:r>
      <w:r>
        <w:rPr>
          <w:rFonts w:cs="Calibri"/>
          <w:lang w:val="pt-BR"/>
        </w:rPr>
        <w:t xml:space="preserve"> no contrato de empréstimo firmado entre as partes, especialmente no que se refere à </w:t>
      </w:r>
      <w:r>
        <w:rPr>
          <w:rFonts w:cs="Calibri"/>
          <w:b/>
          <w:bCs/>
          <w:lang w:val="pt-BR"/>
        </w:rPr>
        <w:t>taxa de juros remuneratórios pactuada</w:t>
      </w:r>
      <w:r>
        <w:rPr>
          <w:rFonts w:cs="Calibri"/>
          <w:lang w:val="pt-BR"/>
        </w:rPr>
        <w:t xml:space="preserve">, fixada em </w:t>
      </w:r>
      <w:r>
        <w:rPr>
          <w:rFonts w:cs="Calibri"/>
          <w:b/>
          <w:bCs/>
          <w:lang w:val="pt-BR"/>
        </w:rPr>
        <w:t>19,15% ao mês</w:t>
      </w:r>
      <w:r>
        <w:rPr>
          <w:rFonts w:cs="Calibri"/>
          <w:lang w:val="pt-BR"/>
        </w:rPr>
        <w:t xml:space="preserve">, correspondente à </w:t>
      </w:r>
      <w:r>
        <w:rPr>
          <w:rFonts w:cs="Calibri"/>
          <w:b/>
          <w:bCs/>
          <w:lang w:val="pt-BR"/>
        </w:rPr>
        <w:t>taxa anual de 718,71%</w:t>
      </w:r>
      <w:r>
        <w:rPr>
          <w:rFonts w:cs="Calibri"/>
          <w:lang w:val="pt-BR"/>
        </w:rPr>
        <w:t>, valores absolutamente dissociados da realidade do mercado financeiro à época da contratação.</w:t>
      </w:r>
    </w:p>
    <w:p>
      <w:pPr>
        <w:pStyle w:val="BodyText"/>
        <w:spacing w:lineRule="auto" w:line="300" w:before="0" w:after="0"/>
        <w:ind w:firstLine="1418" w:end="240"/>
        <w:jc w:val="both"/>
        <w:rPr>
          <w:rFonts w:cs="Calibri"/>
          <w:lang w:val="pt-BR"/>
        </w:rPr>
      </w:pPr>
      <w:r>
        <w:rPr>
          <w:rFonts w:cs="Calibri"/>
          <w:lang w:val="pt-BR"/>
        </w:rPr>
      </w:r>
    </w:p>
    <w:p>
      <w:pPr>
        <w:pStyle w:val="BodyText"/>
        <w:spacing w:lineRule="auto" w:line="300" w:before="0" w:after="0"/>
        <w:ind w:firstLine="1418" w:end="240"/>
        <w:jc w:val="both"/>
        <w:rPr/>
      </w:pPr>
      <w:r>
        <w:rPr>
          <w:rFonts w:cs="Calibri"/>
          <w:lang w:val="pt-BR"/>
        </w:rPr>
        <w:t xml:space="preserve">Tais encargos colocam a parte requerente em </w:t>
      </w:r>
      <w:r>
        <w:rPr>
          <w:rFonts w:cs="Calibri"/>
          <w:b/>
          <w:bCs/>
          <w:lang w:val="pt-BR"/>
        </w:rPr>
        <w:t>manifesta desvantagem exagerada</w:t>
      </w:r>
      <w:r>
        <w:rPr>
          <w:rFonts w:cs="Calibri"/>
          <w:lang w:val="pt-BR"/>
        </w:rPr>
        <w:t xml:space="preserve">, comprometendo o equilíbrio da relação contratual e violando frontalmente os princípios da </w:t>
      </w:r>
      <w:r>
        <w:rPr>
          <w:rFonts w:cs="Calibri"/>
          <w:b/>
          <w:bCs/>
          <w:lang w:val="pt-BR"/>
        </w:rPr>
        <w:t>boa-fé objetiva</w:t>
      </w:r>
      <w:r>
        <w:rPr>
          <w:rFonts w:cs="Calibri"/>
          <w:lang w:val="pt-BR"/>
        </w:rPr>
        <w:t xml:space="preserve">, da </w:t>
      </w:r>
      <w:r>
        <w:rPr>
          <w:rFonts w:cs="Calibri"/>
          <w:b/>
          <w:bCs/>
          <w:lang w:val="pt-BR"/>
        </w:rPr>
        <w:t>equidade</w:t>
      </w:r>
      <w:r>
        <w:rPr>
          <w:rFonts w:cs="Calibri"/>
          <w:lang w:val="pt-BR"/>
        </w:rPr>
        <w:t xml:space="preserve"> e da </w:t>
      </w:r>
      <w:r>
        <w:rPr>
          <w:rFonts w:cs="Calibri"/>
          <w:b/>
          <w:bCs/>
          <w:lang w:val="pt-BR"/>
        </w:rPr>
        <w:t>função social do contrato</w:t>
      </w:r>
      <w:r>
        <w:rPr>
          <w:rFonts w:cs="Calibri"/>
          <w:lang w:val="pt-BR"/>
        </w:rPr>
        <w:t xml:space="preserve">, razão pela qual as cláusulas que os instituem </w:t>
      </w:r>
      <w:r>
        <w:rPr>
          <w:rFonts w:cs="Calibri"/>
          <w:b/>
          <w:bCs/>
          <w:lang w:val="pt-BR"/>
        </w:rPr>
        <w:t>não podem subsistir no ordenamento jurídico</w:t>
      </w:r>
      <w:r>
        <w:rPr>
          <w:rFonts w:cs="Calibri"/>
          <w:lang w:val="pt-BR"/>
        </w:rPr>
        <w:t>.</w:t>
      </w:r>
    </w:p>
    <w:p>
      <w:pPr>
        <w:pStyle w:val="BodyText"/>
        <w:spacing w:lineRule="auto" w:line="300" w:before="0" w:after="0"/>
        <w:ind w:firstLine="1418" w:end="240"/>
        <w:jc w:val="both"/>
        <w:rPr>
          <w:rFonts w:cs="Calibri"/>
          <w:lang w:val="pt-BR"/>
        </w:rPr>
      </w:pPr>
      <w:r>
        <w:rPr>
          <w:rFonts w:cs="Calibri"/>
          <w:lang w:val="pt-BR"/>
        </w:rPr>
      </w:r>
    </w:p>
    <w:p>
      <w:pPr>
        <w:pStyle w:val="BodyText"/>
        <w:spacing w:lineRule="auto" w:line="300" w:before="0" w:after="0"/>
        <w:ind w:firstLine="1418" w:end="240"/>
        <w:jc w:val="both"/>
        <w:rPr/>
      </w:pPr>
      <w:r>
        <w:rPr>
          <w:rFonts w:cs="Calibri"/>
          <w:lang w:val="pt-BR"/>
        </w:rPr>
        <w:t xml:space="preserve">O Código de Defesa do Consumidor é expresso ao vedar a imposição de cláusulas dessa natureza, estabelecendo, em seu art. 51, que são nulas de pleno direito as disposições contratuais que imponham obrigações abusivas ou incompatíveis com o sistema de proteção ao consumidor. Dispõe o referido dispositivo legal, </w:t>
      </w:r>
      <w:r>
        <w:rPr>
          <w:rFonts w:cs="Calibri"/>
          <w:i/>
          <w:iCs/>
          <w:lang w:val="pt-BR"/>
        </w:rPr>
        <w:t>in verbis</w:t>
      </w:r>
      <w:r>
        <w:rPr>
          <w:rFonts w:cs="Calibri"/>
          <w:lang w:val="pt-BR"/>
        </w:rPr>
        <w:t>:</w:t>
      </w:r>
    </w:p>
    <w:p>
      <w:pPr>
        <w:pStyle w:val="BodyText"/>
        <w:spacing w:lineRule="auto" w:line="300" w:before="0" w:after="0"/>
        <w:ind w:firstLine="2835" w:end="240"/>
        <w:rPr>
          <w:rFonts w:cs="Calibri"/>
          <w:lang w:val="pt-BR"/>
        </w:rPr>
      </w:pPr>
      <w:r>
        <w:rPr>
          <w:rFonts w:cs="Calibri"/>
          <w:lang w:val="pt-BR"/>
        </w:rPr>
      </w:r>
    </w:p>
    <w:p>
      <w:pPr>
        <w:pStyle w:val="Default"/>
        <w:ind w:start="2268" w:end="0"/>
        <w:jc w:val="both"/>
        <w:rPr>
          <w:sz w:val="20"/>
          <w:szCs w:val="20"/>
        </w:rPr>
      </w:pPr>
      <w:r>
        <w:rPr>
          <w:sz w:val="20"/>
          <w:szCs w:val="20"/>
        </w:rPr>
        <w:t xml:space="preserve">Art. 51, CDC. São nulas de pleno direito, entre outras, as cláusulas contratuais relativas ao fornecimento de produtos e serviços que: </w:t>
      </w:r>
    </w:p>
    <w:p>
      <w:pPr>
        <w:pStyle w:val="Default"/>
        <w:ind w:start="2268" w:end="0"/>
        <w:jc w:val="both"/>
        <w:rPr>
          <w:sz w:val="20"/>
          <w:szCs w:val="20"/>
        </w:rPr>
      </w:pPr>
      <w:r>
        <w:rPr>
          <w:sz w:val="20"/>
          <w:szCs w:val="20"/>
        </w:rPr>
        <w:t>(...)</w:t>
      </w:r>
    </w:p>
    <w:p>
      <w:pPr>
        <w:pStyle w:val="Default"/>
        <w:ind w:start="2268" w:end="0"/>
        <w:jc w:val="both"/>
        <w:rPr/>
      </w:pPr>
      <w:r>
        <w:rPr>
          <w:sz w:val="20"/>
          <w:szCs w:val="20"/>
        </w:rPr>
        <w:t xml:space="preserve">IV - </w:t>
      </w:r>
      <w:r>
        <w:rPr>
          <w:bCs/>
          <w:sz w:val="20"/>
          <w:szCs w:val="20"/>
        </w:rPr>
        <w:t>estabeleçam obrigações consideradas iníquas, abusivas, que coloquem o consumidor em desvantagem exagerada, ou sejam incompatíveis com a boa-fé ou a equidade</w:t>
      </w:r>
      <w:r>
        <w:rPr>
          <w:sz w:val="20"/>
          <w:szCs w:val="20"/>
        </w:rPr>
        <w:t xml:space="preserve">; </w:t>
      </w:r>
    </w:p>
    <w:p>
      <w:pPr>
        <w:pStyle w:val="Default"/>
        <w:ind w:start="2268" w:end="0"/>
        <w:jc w:val="both"/>
        <w:rPr>
          <w:sz w:val="20"/>
          <w:szCs w:val="20"/>
        </w:rPr>
      </w:pPr>
      <w:r>
        <w:rPr>
          <w:sz w:val="20"/>
          <w:szCs w:val="20"/>
        </w:rPr>
        <w:t>(...)</w:t>
      </w:r>
    </w:p>
    <w:p>
      <w:pPr>
        <w:pStyle w:val="Default"/>
        <w:ind w:start="2268" w:end="0"/>
        <w:jc w:val="both"/>
        <w:rPr>
          <w:sz w:val="20"/>
          <w:szCs w:val="20"/>
        </w:rPr>
      </w:pPr>
      <w:r>
        <w:rPr>
          <w:sz w:val="20"/>
          <w:szCs w:val="20"/>
        </w:rPr>
        <w:t>XV – estejam em desacordo com o sistema de proteção ao consumidor;</w:t>
      </w:r>
    </w:p>
    <w:p>
      <w:pPr>
        <w:pStyle w:val="Default"/>
        <w:ind w:start="2268" w:end="0"/>
        <w:jc w:val="both"/>
        <w:rPr>
          <w:sz w:val="20"/>
          <w:szCs w:val="20"/>
        </w:rPr>
      </w:pPr>
      <w:r>
        <w:rPr>
          <w:sz w:val="20"/>
          <w:szCs w:val="20"/>
        </w:rPr>
        <w:t>(...)</w:t>
      </w:r>
    </w:p>
    <w:p>
      <w:pPr>
        <w:pStyle w:val="Default"/>
        <w:ind w:start="2268" w:end="0"/>
        <w:jc w:val="both"/>
        <w:rPr>
          <w:sz w:val="20"/>
          <w:szCs w:val="20"/>
        </w:rPr>
      </w:pPr>
      <w:r>
        <w:rPr>
          <w:sz w:val="20"/>
          <w:szCs w:val="20"/>
        </w:rPr>
        <w:t xml:space="preserve">§ 1º Presume-se exagerada, entre outros casos, a vontade que: </w:t>
      </w:r>
    </w:p>
    <w:p>
      <w:pPr>
        <w:pStyle w:val="Default"/>
        <w:ind w:start="2268" w:end="0"/>
        <w:jc w:val="both"/>
        <w:rPr>
          <w:sz w:val="20"/>
          <w:szCs w:val="20"/>
        </w:rPr>
      </w:pPr>
      <w:r>
        <w:rPr>
          <w:sz w:val="20"/>
          <w:szCs w:val="20"/>
        </w:rPr>
        <w:t xml:space="preserve">II - restringe direitos ou obrigações fundamentais inerentes à natureza do contrato, de tal modo a ameaçar seu objeto ou equilíbrio contratual; </w:t>
      </w:r>
    </w:p>
    <w:p>
      <w:pPr>
        <w:pStyle w:val="Normal"/>
        <w:spacing w:lineRule="auto" w:line="240"/>
        <w:ind w:start="2268" w:end="0"/>
        <w:jc w:val="both"/>
        <w:rPr>
          <w:rFonts w:cs="Calibri"/>
          <w:sz w:val="20"/>
          <w:szCs w:val="20"/>
          <w:lang w:val="pt-BR"/>
        </w:rPr>
      </w:pPr>
      <w:r>
        <w:rPr>
          <w:rFonts w:cs="Calibri"/>
          <w:sz w:val="20"/>
          <w:szCs w:val="20"/>
          <w:lang w:val="pt-BR"/>
        </w:rPr>
        <w:t>III - se mostra excessivamente onerosa para o consumidor, considerando-se a natureza e conteúdo do contrato, o interesse das partes e outras circunstâncias peculiares ao caso.</w:t>
      </w:r>
    </w:p>
    <w:p>
      <w:pPr>
        <w:pStyle w:val="Normal"/>
        <w:spacing w:lineRule="auto" w:line="300"/>
        <w:ind w:firstLine="2835" w:end="0"/>
        <w:jc w:val="both"/>
        <w:rPr>
          <w:rFonts w:cs="Calibri"/>
          <w:sz w:val="20"/>
          <w:szCs w:val="20"/>
          <w:lang w:val="pt-BR" w:eastAsia="pt-BR"/>
        </w:rPr>
      </w:pPr>
      <w:r>
        <w:rPr>
          <w:rFonts w:cs="Calibri"/>
          <w:sz w:val="20"/>
          <w:szCs w:val="20"/>
          <w:lang w:val="pt-BR" w:eastAsia="pt-BR"/>
        </w:rPr>
      </w:r>
    </w:p>
    <w:p>
      <w:pPr>
        <w:pStyle w:val="Default"/>
        <w:spacing w:lineRule="auto" w:line="300"/>
        <w:ind w:firstLine="1418" w:end="0"/>
        <w:jc w:val="both"/>
        <w:rPr/>
      </w:pPr>
      <w:r>
        <w:rPr>
          <w:sz w:val="22"/>
          <w:szCs w:val="22"/>
        </w:rPr>
        <w:t xml:space="preserve">No caso concreto, a estipulação de juros remuneratórios em patamar </w:t>
      </w:r>
      <w:r>
        <w:rPr>
          <w:b/>
          <w:bCs/>
          <w:sz w:val="22"/>
          <w:szCs w:val="22"/>
        </w:rPr>
        <w:t>muitas vezes superior à taxa média de mercado</w:t>
      </w:r>
      <w:r>
        <w:rPr>
          <w:sz w:val="22"/>
          <w:szCs w:val="22"/>
        </w:rPr>
        <w:t xml:space="preserve">, conforme dados oficiais do Banco Central do Brasil, revela-se </w:t>
      </w:r>
      <w:r>
        <w:rPr>
          <w:b/>
          <w:bCs/>
          <w:sz w:val="22"/>
          <w:szCs w:val="22"/>
        </w:rPr>
        <w:t>excessivamente onerosa</w:t>
      </w:r>
      <w:r>
        <w:rPr>
          <w:sz w:val="22"/>
          <w:szCs w:val="22"/>
        </w:rPr>
        <w:t>, desproporcional e incompatível com a finalidade econômica do contrato, caracterizando verdadeira restrição aos direitos fundamentais do consumidor e comprometendo o equilíbrio contratual.</w:t>
      </w:r>
    </w:p>
    <w:p>
      <w:pPr>
        <w:pStyle w:val="Default"/>
        <w:spacing w:lineRule="auto" w:line="300"/>
        <w:ind w:firstLine="1418" w:end="0"/>
        <w:jc w:val="both"/>
        <w:rPr>
          <w:sz w:val="22"/>
          <w:szCs w:val="22"/>
        </w:rPr>
      </w:pPr>
      <w:r>
        <w:rPr>
          <w:sz w:val="22"/>
          <w:szCs w:val="22"/>
        </w:rPr>
      </w:r>
    </w:p>
    <w:p>
      <w:pPr>
        <w:pStyle w:val="Default"/>
        <w:spacing w:lineRule="auto" w:line="300"/>
        <w:ind w:firstLine="1418" w:end="0"/>
        <w:jc w:val="both"/>
        <w:rPr/>
      </w:pPr>
      <w:r>
        <w:rPr>
          <w:sz w:val="22"/>
          <w:szCs w:val="22"/>
        </w:rPr>
        <w:t xml:space="preserve">Dessa forma, impõe-se a </w:t>
      </w:r>
      <w:r>
        <w:rPr>
          <w:b/>
          <w:bCs/>
          <w:sz w:val="22"/>
          <w:szCs w:val="22"/>
        </w:rPr>
        <w:t>interpretação do contrato à luz das normas protetivas do Código de Defesa do Consumidor</w:t>
      </w:r>
      <w:r>
        <w:rPr>
          <w:sz w:val="22"/>
          <w:szCs w:val="22"/>
        </w:rPr>
        <w:t>, as quais autorizam e determinam a invalidação de cláusulas que imponham obrigações abusivas ou que coloquem o consumidor em posição de inferioridade injustificada.</w:t>
      </w:r>
    </w:p>
    <w:p>
      <w:pPr>
        <w:pStyle w:val="Default"/>
        <w:spacing w:lineRule="auto" w:line="300"/>
        <w:ind w:firstLine="1418" w:end="0"/>
        <w:jc w:val="both"/>
        <w:rPr>
          <w:sz w:val="22"/>
          <w:szCs w:val="22"/>
        </w:rPr>
      </w:pPr>
      <w:r>
        <w:rPr>
          <w:sz w:val="22"/>
          <w:szCs w:val="22"/>
        </w:rPr>
      </w:r>
    </w:p>
    <w:p>
      <w:pPr>
        <w:pStyle w:val="Default"/>
        <w:spacing w:lineRule="auto" w:line="300"/>
        <w:ind w:firstLine="1418" w:end="0"/>
        <w:jc w:val="both"/>
        <w:rPr>
          <w:sz w:val="22"/>
          <w:szCs w:val="22"/>
        </w:rPr>
      </w:pPr>
      <w:r>
        <w:rPr>
          <w:sz w:val="22"/>
          <w:szCs w:val="22"/>
        </w:rPr>
        <w:t xml:space="preserve">Assim, diante de todo o exposto, </w:t>
      </w:r>
      <w:r>
        <w:rPr>
          <w:b/>
          <w:bCs/>
          <w:sz w:val="22"/>
          <w:szCs w:val="22"/>
        </w:rPr>
        <w:t>requer a parte autora que Vossa Excelência se digne a DECLARAR A NULIDADE das cláusulas contratuais abusivas</w:t>
      </w:r>
      <w:r>
        <w:rPr>
          <w:sz w:val="22"/>
          <w:szCs w:val="22"/>
        </w:rPr>
        <w:t>, notadamente aquelas que estabelecem taxa de juros manifestamente excessiva, por colocarem o consumidor em nítida desvantagem exagerada e por serem incompatíveis com os princípios da boa-fé objetiva e da equidade, nos termos do art. 51 e seus incisos do Código de Defesa do Consumidor, com a consequente readequação do contrato aos parâmetros legais.</w:t>
      </w:r>
    </w:p>
    <w:p>
      <w:pPr>
        <w:pStyle w:val="Default"/>
        <w:spacing w:lineRule="auto" w:line="300"/>
        <w:ind w:firstLine="1418" w:end="0"/>
        <w:jc w:val="both"/>
        <w:rPr>
          <w:sz w:val="22"/>
          <w:szCs w:val="22"/>
        </w:rPr>
      </w:pPr>
      <w:r>
        <w:rPr>
          <w:sz w:val="22"/>
          <w:szCs w:val="22"/>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rFonts w:cs="Calibri"/>
          <w:b/>
          <w:bCs/>
          <w:lang w:val="pt-BR" w:eastAsia="pt-BR"/>
        </w:rPr>
      </w:pPr>
      <w:r>
        <w:rPr>
          <w:rFonts w:cs="Calibri"/>
          <w:b/>
          <w:bCs/>
          <w:lang w:val="pt-BR" w:eastAsia="pt-BR"/>
        </w:rPr>
        <w:t>3.6 - DA DESCARACTERIZAÇÃO DA MORA</w:t>
      </w:r>
    </w:p>
    <w:p>
      <w:pPr>
        <w:pStyle w:val="Normal"/>
        <w:spacing w:lineRule="auto" w:line="300"/>
        <w:rPr>
          <w:rFonts w:cs="Calibri"/>
          <w:b/>
          <w:bCs/>
          <w:lang w:val="pt-BR" w:eastAsia="pt-BR"/>
        </w:rPr>
      </w:pPr>
      <w:r>
        <w:rPr>
          <w:rFonts w:cs="Calibri"/>
          <w:b/>
          <w:bCs/>
          <w:lang w:val="pt-BR" w:eastAsia="pt-BR"/>
        </w:rPr>
      </w:r>
    </w:p>
    <w:p>
      <w:pPr>
        <w:pStyle w:val="Normal"/>
        <w:spacing w:lineRule="auto" w:line="300"/>
        <w:ind w:firstLine="1418" w:end="0"/>
        <w:jc w:val="both"/>
        <w:rPr/>
      </w:pPr>
      <w:r>
        <w:rPr>
          <w:rFonts w:cs="Calibri"/>
          <w:lang w:val="pt-BR" w:eastAsia="pt-BR"/>
        </w:rPr>
        <w:t xml:space="preserve">Embora já demonstrada a abusividade na cobrança dos juros remuneratórios incidentes sobre o contrato de empréstimo pessoal não consignado, objeto da presente demanda — circunstância que impôs onerosa e ilegítima vantagem ao fornecedor —, a parte autora, pautada pela boa-fé objetiva e pelo intuito de evitar maiores prejuízos, informa que continuará adimplindo as parcelas nos valores atualmente exigidos, até ulterior recálculo judicial, com o único propósito de afastar qualquer alegação de inadimplência. </w:t>
      </w:r>
    </w:p>
    <w:p>
      <w:pPr>
        <w:pStyle w:val="Normal"/>
        <w:spacing w:lineRule="auto" w:line="300"/>
        <w:ind w:firstLine="1418" w:end="0"/>
        <w:jc w:val="both"/>
        <w:rPr>
          <w:rFonts w:cs="Calibri"/>
          <w:lang w:val="pt-BR" w:eastAsia="pt-BR"/>
        </w:rPr>
      </w:pPr>
      <w:r>
        <w:rPr>
          <w:rFonts w:cs="Calibri"/>
          <w:lang w:val="pt-BR" w:eastAsia="pt-BR"/>
        </w:rPr>
      </w:r>
    </w:p>
    <w:p>
      <w:pPr>
        <w:pStyle w:val="Normal"/>
        <w:spacing w:lineRule="auto" w:line="300"/>
        <w:ind w:firstLine="1418" w:end="0"/>
        <w:jc w:val="both"/>
        <w:rPr>
          <w:rFonts w:cs="Calibri"/>
          <w:lang w:val="pt-BR" w:eastAsia="pt-BR"/>
        </w:rPr>
      </w:pPr>
      <w:r>
        <w:rPr>
          <w:rFonts w:cs="Calibri"/>
          <w:lang w:val="pt-BR" w:eastAsia="pt-BR"/>
        </w:rPr>
        <w:t>Todavia, é imprescindível destacar que, uma vez reconhecida a abusividade dos encargos exigidos durante o período de normalidade contratual, especialmente no que se refere à aplicação de juros remuneratórios em patamar superior à taxa média de mercado, resta juridicamente descaracterizada a mora do consumidor.</w:t>
      </w:r>
    </w:p>
    <w:p>
      <w:pPr>
        <w:pStyle w:val="Normal"/>
        <w:spacing w:lineRule="auto" w:line="300"/>
        <w:ind w:firstLine="1418" w:end="0"/>
        <w:jc w:val="both"/>
        <w:rPr>
          <w:rFonts w:cs="Calibri"/>
          <w:lang w:val="pt-BR" w:eastAsia="pt-BR"/>
        </w:rPr>
      </w:pPr>
      <w:r>
        <w:rPr>
          <w:rFonts w:cs="Calibri"/>
          <w:lang w:val="pt-BR" w:eastAsia="pt-BR"/>
        </w:rPr>
      </w:r>
    </w:p>
    <w:p>
      <w:pPr>
        <w:pStyle w:val="Normal"/>
        <w:spacing w:lineRule="auto" w:line="300"/>
        <w:ind w:firstLine="1418" w:end="0"/>
        <w:jc w:val="both"/>
        <w:rPr/>
      </w:pPr>
      <w:r>
        <w:rPr>
          <w:rFonts w:cs="Calibri"/>
          <w:lang w:val="pt-BR" w:eastAsia="pt-BR"/>
        </w:rPr>
        <w:t>Tal entendimento encontra-se consolidado na jurisprudência do Superior Tribunal de Justiça, notadamente no julgamento do REsp nº 1.061.530/RS, submetido ao rito dos recursos repetitivos, no qual restou firmada a seguinte orientação:</w:t>
      </w:r>
    </w:p>
    <w:p>
      <w:pPr>
        <w:pStyle w:val="Normal"/>
        <w:tabs>
          <w:tab w:val="clear" w:pos="720"/>
          <w:tab w:val="left" w:pos="2835" w:leader="none"/>
        </w:tabs>
        <w:spacing w:lineRule="auto" w:line="300"/>
        <w:jc w:val="both"/>
        <w:rPr>
          <w:rFonts w:cs="Calibri"/>
          <w:color w:val="FF0000"/>
          <w:lang w:val="pt-BR" w:eastAsia="pt-BR"/>
        </w:rPr>
      </w:pPr>
      <w:r>
        <w:rPr>
          <w:rFonts w:cs="Calibri"/>
          <w:color w:val="FF0000"/>
          <w:lang w:val="pt-BR" w:eastAsia="pt-BR"/>
        </w:rPr>
      </w:r>
    </w:p>
    <w:p>
      <w:pPr>
        <w:pStyle w:val="Normal"/>
        <w:spacing w:lineRule="auto" w:line="240"/>
        <w:ind w:start="2268" w:end="0"/>
        <w:jc w:val="both"/>
        <w:rPr/>
      </w:pPr>
      <w:r>
        <w:rPr>
          <w:rFonts w:cs="Calibri"/>
          <w:sz w:val="20"/>
          <w:szCs w:val="20"/>
          <w:lang w:val="pt-BR" w:eastAsia="pt-BR"/>
        </w:rPr>
        <w:t xml:space="preserve">Nos termos da jurisprudência dominante do STJ: </w:t>
      </w:r>
      <w:r>
        <w:rPr>
          <w:rFonts w:eastAsia="CourierNew;MS Mincho" w:cs="Calibri"/>
          <w:sz w:val="20"/>
          <w:szCs w:val="20"/>
          <w:lang w:val="pt-BR" w:eastAsia="pt-BR"/>
        </w:rPr>
        <w:t>“(...) II - JULGAMENTO DO RECURSO REPRESENTATIVO (REsp 1.061.530/RS) (...) verificada a cobrança de encargo abusivo no período da normalidade contratual, resta descaracterizada a mora do devedor. Afastada a mora: i) e ilegal o envio de dados do consumidor para quaisquer cadastros de inadimplência; ii) deve o consumidor permanecer na posse do bem alienado fiduciariamente e iii) não se admite o protesto do título representativo da dívida. (...) Recurso especial parcialmente conhecido e, nesta parte, provido, para declarar a legalidade da cobrança dos juros remuneratórios, como pactuados, e ainda decotar do julgamento as disposições de ofício. Ônus sucumbenciais redistribuídos.” (REsp 1061530/RS, Rel. Min. Nancy Andrighi, 2a SECAO, j. em 22/10/08, DJe 10/03/09).</w:t>
      </w:r>
    </w:p>
    <w:p>
      <w:pPr>
        <w:pStyle w:val="Normal"/>
        <w:spacing w:lineRule="auto" w:line="300"/>
        <w:rPr>
          <w:rFonts w:eastAsia="CourierNew;MS Mincho" w:cs="Calibri"/>
          <w:sz w:val="20"/>
          <w:szCs w:val="20"/>
          <w:lang w:val="pt-BR" w:eastAsia="pt-BR"/>
        </w:rPr>
      </w:pPr>
      <w:r>
        <w:rPr>
          <w:rFonts w:eastAsia="CourierNew;MS Mincho" w:cs="Calibri"/>
          <w:sz w:val="20"/>
          <w:szCs w:val="20"/>
          <w:lang w:val="pt-BR" w:eastAsia="pt-BR"/>
        </w:rPr>
      </w:r>
    </w:p>
    <w:p>
      <w:pPr>
        <w:pStyle w:val="Normal"/>
        <w:spacing w:lineRule="auto" w:line="300"/>
        <w:ind w:firstLine="1418" w:end="0"/>
        <w:jc w:val="both"/>
        <w:rPr/>
      </w:pPr>
      <w:r>
        <w:rPr>
          <w:rFonts w:cs="Calibri"/>
          <w:lang w:val="pt-BR" w:eastAsia="pt-BR"/>
        </w:rPr>
        <w:t xml:space="preserve">O referido precedente estabelece, ainda, importantes </w:t>
      </w:r>
      <w:r>
        <w:rPr>
          <w:rFonts w:cs="Calibri"/>
          <w:b/>
          <w:bCs/>
          <w:lang w:val="pt-BR" w:eastAsia="pt-BR"/>
        </w:rPr>
        <w:t>efeitos jurídicos decorrentes do afastamento da mora</w:t>
      </w:r>
      <w:r>
        <w:rPr>
          <w:rFonts w:cs="Calibri"/>
          <w:lang w:val="pt-BR" w:eastAsia="pt-BR"/>
        </w:rPr>
        <w:t xml:space="preserve">, dentre os quais se destacam: </w:t>
      </w:r>
      <w:r>
        <w:rPr>
          <w:rFonts w:cs="Calibri"/>
          <w:b/>
          <w:bCs/>
          <w:lang w:val="pt-BR" w:eastAsia="pt-BR"/>
        </w:rPr>
        <w:t>(i)</w:t>
      </w:r>
      <w:r>
        <w:rPr>
          <w:rFonts w:cs="Calibri"/>
          <w:lang w:val="pt-BR" w:eastAsia="pt-BR"/>
        </w:rPr>
        <w:t xml:space="preserve"> a impossibilidade de inscrição do nome do consumidor em cadastros de inadimplentes; </w:t>
      </w:r>
      <w:r>
        <w:rPr>
          <w:rFonts w:cs="Calibri"/>
          <w:b/>
          <w:bCs/>
          <w:lang w:val="pt-BR" w:eastAsia="pt-BR"/>
        </w:rPr>
        <w:t>(ii)</w:t>
      </w:r>
      <w:r>
        <w:rPr>
          <w:rFonts w:cs="Calibri"/>
          <w:lang w:val="pt-BR" w:eastAsia="pt-BR"/>
        </w:rPr>
        <w:t xml:space="preserve"> a vedação ao protesto de títulos representativos da dívida e </w:t>
      </w:r>
      <w:r>
        <w:rPr>
          <w:rFonts w:cs="Calibri"/>
          <w:b/>
          <w:bCs/>
          <w:lang w:val="pt-BR" w:eastAsia="pt-BR"/>
        </w:rPr>
        <w:t>(iii)</w:t>
      </w:r>
      <w:r>
        <w:rPr>
          <w:rFonts w:cs="Calibri"/>
          <w:lang w:val="pt-BR" w:eastAsia="pt-BR"/>
        </w:rPr>
        <w:t xml:space="preserve"> a inaplicabilidade de encargos moratórios enquanto perdurar a controvérsia judicial acerca da legalidade dos encargos pactuados.</w:t>
      </w:r>
    </w:p>
    <w:p>
      <w:pPr>
        <w:pStyle w:val="Normal"/>
        <w:spacing w:lineRule="auto" w:line="300"/>
        <w:ind w:firstLine="1418" w:end="0"/>
        <w:jc w:val="both"/>
        <w:rPr>
          <w:rFonts w:cs="Calibri"/>
          <w:lang w:val="pt-BR" w:eastAsia="pt-BR"/>
        </w:rPr>
      </w:pPr>
      <w:r>
        <w:rPr>
          <w:rFonts w:cs="Calibri"/>
          <w:lang w:val="pt-BR" w:eastAsia="pt-BR"/>
        </w:rPr>
      </w:r>
    </w:p>
    <w:p>
      <w:pPr>
        <w:pStyle w:val="Normal"/>
        <w:spacing w:lineRule="auto" w:line="300"/>
        <w:ind w:firstLine="1418" w:end="0"/>
        <w:jc w:val="both"/>
        <w:rPr/>
      </w:pPr>
      <w:r>
        <w:rPr>
          <w:rFonts w:cs="Calibri"/>
          <w:lang w:val="pt-BR" w:eastAsia="pt-BR"/>
        </w:rPr>
        <w:t>No caso concreto, a cobrança de juros manifestamente abusivos, reconhecidamente superiores aos índices médios divulgados pelo Banco Central do Brasil, configura vício ocorrido no período de formação e execução normal do contrato, o que impede que eventual atraso ou inadimplemento seja imputado à parte autora, sob pena de se legitimar prática ilícita perpetrada pelo fornecedor.</w:t>
      </w:r>
    </w:p>
    <w:p>
      <w:pPr>
        <w:pStyle w:val="Normal"/>
        <w:spacing w:lineRule="auto" w:line="300"/>
        <w:ind w:firstLine="1418" w:end="0"/>
        <w:jc w:val="both"/>
        <w:rPr>
          <w:rFonts w:cs="Calibri"/>
          <w:lang w:val="pt-BR" w:eastAsia="pt-BR"/>
        </w:rPr>
      </w:pPr>
      <w:r>
        <w:rPr>
          <w:rFonts w:cs="Calibri"/>
          <w:lang w:val="pt-BR" w:eastAsia="pt-BR"/>
        </w:rPr>
      </w:r>
    </w:p>
    <w:p>
      <w:pPr>
        <w:pStyle w:val="Normal"/>
        <w:spacing w:lineRule="auto" w:line="300"/>
        <w:ind w:firstLine="1418" w:end="0"/>
        <w:jc w:val="both"/>
        <w:rPr/>
      </w:pPr>
      <w:r>
        <w:rPr>
          <w:rFonts w:cs="Calibri"/>
          <w:lang w:val="pt-BR" w:eastAsia="pt-BR"/>
        </w:rPr>
        <w:t xml:space="preserve">Dessa forma, </w:t>
      </w:r>
      <w:r>
        <w:rPr>
          <w:rFonts w:cs="Calibri"/>
          <w:b/>
          <w:bCs/>
          <w:lang w:val="pt-BR" w:eastAsia="pt-BR"/>
        </w:rPr>
        <w:t>deve ser afastada a mora da parte requerente</w:t>
      </w:r>
      <w:r>
        <w:rPr>
          <w:rFonts w:cs="Calibri"/>
          <w:lang w:val="pt-BR" w:eastAsia="pt-BR"/>
        </w:rPr>
        <w:t xml:space="preserve"> em relação ao débito objeto da presente ação revisional, </w:t>
      </w:r>
      <w:r>
        <w:rPr>
          <w:rFonts w:cs="Calibri"/>
          <w:b/>
          <w:bCs/>
          <w:lang w:val="pt-BR" w:eastAsia="pt-BR"/>
        </w:rPr>
        <w:t>até o efetivo recálculo das parcelas conforme os parâmetros legais e jurisprudenciais</w:t>
      </w:r>
      <w:r>
        <w:rPr>
          <w:rFonts w:cs="Calibri"/>
          <w:lang w:val="pt-BR" w:eastAsia="pt-BR"/>
        </w:rPr>
        <w:t>, preservando-se os direitos do consumidor e evitando-se a imposição de penalidades indevidas decorrentes de encargos reconhecidamente ilegais.</w:t>
      </w:r>
    </w:p>
    <w:p>
      <w:pPr>
        <w:pStyle w:val="Default"/>
        <w:spacing w:lineRule="auto" w:line="300"/>
        <w:ind w:firstLine="2835" w:end="0"/>
        <w:jc w:val="both"/>
        <w:rPr>
          <w:rFonts w:cs="Calibri"/>
          <w:sz w:val="22"/>
          <w:szCs w:val="22"/>
          <w:lang w:val="pt-PT" w:eastAsia="pt-BR"/>
        </w:rPr>
      </w:pPr>
      <w:r>
        <w:rPr>
          <w:rFonts w:cs="Calibri"/>
          <w:sz w:val="22"/>
          <w:szCs w:val="22"/>
          <w:lang w:val="pt-PT" w:eastAsia="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3.7 – DO DANO MATERIAL – DA DEVOLUÇÃO DOS VALORES PAGOS INDEVIDAMENTE (REPETIÇÃO DO INDÉBITO)</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Ínclito Julgador, o pedido de restituição dos valores pagos indevidamente encontra pleno respaldo no ordenamento jurídico pátrio e na jurisprudência consolidada do Superior Tribunal de Justiça, que reconhece a possibilidade de compensação e repetição do indébito, ainda que na forma simples, sempre que constatada a cobrança indevida, independentemente da comprovação de erro, sobretudo em contratos bancários de adesão.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No caso em exame, restou amplamente demonstrado que a parte autora suportou cobrança excessiva de juros remuneratórios, decorrente da aplicação de taxa manifestamente abusiva, fundada em cláusula contratual que impôs vantagem exagerada ao fornecedor, em total afronta às normas e princípios que regem o microssistema de proteção ao consumidor.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Nessas circunstâncias, é medida que se impõe a restituição dos valores pagos a maior, porquanto percebidos pelo banco requerido à custa de encargos ilegais, configurando verdadeiro enriquecimento sem causa, vedado pelo ordenamento jurídico.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Cumpre destacar que, em contratos de adesão, como o ora analisado, não há que se falar em pagamento voluntário, uma vez que o consumidor não possui margem real de negociação das cláusulas contratuais, razão pela qual não se exige a comprovação de erro para fins de repetição do indébito. Tal entendimento encontra-se pacificado no âmbito do Superior Tribunal de Justiça, conforme dispõe a Súmula nº 322, </w:t>
      </w:r>
      <w:r>
        <w:rPr>
          <w:rFonts w:cs="Calibri"/>
          <w:i/>
          <w:iCs/>
          <w:lang w:val="pt-BR"/>
        </w:rPr>
        <w:t>in verbis</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b/>
          <w:bCs/>
          <w:sz w:val="20"/>
          <w:szCs w:val="20"/>
          <w:lang w:val="pt-BR"/>
        </w:rPr>
        <w:t>Súmula 322 do STJ</w:t>
      </w:r>
      <w:r>
        <w:rPr>
          <w:rFonts w:cs="Calibri"/>
          <w:sz w:val="20"/>
          <w:szCs w:val="20"/>
          <w:lang w:val="pt-BR"/>
        </w:rPr>
        <w:t xml:space="preserve"> – Para a repetição do indébito, nos contratos de abertura de crédito em conta-corrente, não se exige a prova do erro.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Embora o art. 42, parágrafo único, do Código de Defesa do Consumidor autorize a repetição do indébito em dobro quando inexistente engano justificável, a parte autora, de forma comedida e prudente, requer, neste momento, a restituição na forma simples, reconhecendo a existência de controvérsia jurídica relevante acerca dos encargos exigidos, o que, em tese, pode caracterizar hipótese de engano justificável por parte do requerido.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Admite-se, inclusive, a compensação dos valores a serem restituídos com eventual saldo remanescente que venha a ser apurado em favor da instituição financeira, em estrita observância aos princípios da razoabilidade e da proporcionalidade.</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A jurisprudência deste Egrégio Tribunal de Justiça do Estado do Amazonas é firme no sentido de que a cobrança de juros remuneratórios acima da média de mercado configura prática abusiva e autoriza a restituição dos valores pagos a maior, conforme se extrai do julgado já colacionado aos autos, o qual reforça a possibilidade de repetição do indébito em hipóteses como a presente.</w:t>
      </w:r>
    </w:p>
    <w:p>
      <w:pPr>
        <w:pStyle w:val="Normal"/>
        <w:spacing w:lineRule="auto" w:line="300"/>
        <w:jc w:val="both"/>
        <w:rPr>
          <w:rFonts w:cs="Calibri"/>
          <w:lang w:val="pt-BR"/>
        </w:rPr>
      </w:pPr>
      <w:r>
        <w:rPr>
          <w:rFonts w:cs="Calibri"/>
          <w:lang w:val="pt-BR"/>
        </w:rPr>
      </w:r>
    </w:p>
    <w:p>
      <w:pPr>
        <w:pStyle w:val="Normal"/>
        <w:spacing w:lineRule="auto" w:line="240"/>
        <w:ind w:start="2268" w:end="0"/>
        <w:jc w:val="both"/>
        <w:rPr/>
      </w:pPr>
      <w:r>
        <w:rPr>
          <w:rFonts w:cs="Calibri"/>
          <w:color w:val="000000"/>
          <w:sz w:val="20"/>
          <w:szCs w:val="20"/>
          <w:shd w:fill="FFFFFF" w:val="clear"/>
          <w:lang w:val="pt-BR"/>
        </w:rPr>
        <w:t xml:space="preserve">Ementa: DIREITO DO CONSUMIDOR. APELAÇÃO CÍVEL. AÇÃO DE REVISÃO CONTRATUAL CUMULADA COM PEDIDO DE INDENIZAÇÃO POR DANOS MORAIS E REPETIÇÃO DE INDÉBITO. </w:t>
      </w:r>
      <w:r>
        <w:rPr>
          <w:rFonts w:cs="Calibri"/>
          <w:b/>
          <w:bCs/>
          <w:color w:val="000000"/>
          <w:sz w:val="20"/>
          <w:szCs w:val="20"/>
          <w:shd w:fill="FFFFFF" w:val="clear"/>
          <w:lang w:val="pt-BR"/>
        </w:rPr>
        <w:t>EMPRÉSTIMO PESSOAL. ALEGAÇÃO DE COBRANÇA DE JUROS ABUSIVOS. SENTENÇA DE PROCEDÊNCIA COM A CONSEQUENTE CONDENAÇÃO DA INSTITUIÇÃO FINANCEIRA A LIMITAR A TAXA DE JUROS ÀQUELA PRATICADA PELO MERCADO À ÉPOCA DA CONTRATAÇÃO. A RESTITUIR EM DOBRO O QUE INDEVIDAMENTE FOI PAGO</w:t>
      </w:r>
      <w:r>
        <w:rPr>
          <w:rFonts w:cs="Calibri"/>
          <w:color w:val="000000"/>
          <w:sz w:val="20"/>
          <w:szCs w:val="20"/>
          <w:shd w:fill="FFFFFF" w:val="clear"/>
          <w:lang w:val="pt-BR"/>
        </w:rPr>
        <w:t xml:space="preserve"> E AO PAGAMENTO DE INDENIZAÇÃO A TÍTULO DE DANO MORAL DA ORDEM DE R$ 5.000,00. INCONFORMISMO DA INSTITUIÇÃO FINANCEIRA, ORA RECORRENTE QUE NÃO MERECE ACOLHIMENTO. RECURSO CONHECIDO E NÃO PROVIDO. </w:t>
      </w:r>
      <w:r>
        <w:rPr>
          <w:rFonts w:cs="Calibri"/>
          <w:b/>
          <w:bCs/>
          <w:color w:val="000000"/>
          <w:sz w:val="20"/>
          <w:szCs w:val="20"/>
          <w:shd w:fill="FFFFFF" w:val="clear"/>
          <w:lang w:val="pt-BR"/>
        </w:rPr>
        <w:t>1. Na hipótese dos autos, restou claro que a instituição bancária, ora apelante impôs a apelada situação de exagerada desvantagem, ao estipular e cobrar juros remuneratórios de forma abusiva, pois em percentual muito acima das taxas médias de mercado praticadas para operações financeiras semelhantes, à época da contratação. 2. Fácil se chegar a essa conclusão pela leitura do contrato acostado às fls. 23/28, nos quais se vê que foram aplicadas, respectivamente, aos empréstimos pessoais ajustados entre as partes, taxas de juros à razão de 22,00% ao mês e 987,22% ao ano. É certo que por destoar em muito da taxa média de mercado, segundo o Bacen, é que a taxa é considerada abusiva e ilegal. O C. Superior Tribunal de Justiça exaustivamente já decidiu que é livre a pactuação da taxa de juros entre os contratantes, salvo nos casos em que há excesso manifestamente comprovado.</w:t>
      </w:r>
      <w:r>
        <w:rPr>
          <w:rFonts w:cs="Calibri"/>
          <w:color w:val="000000"/>
          <w:sz w:val="20"/>
          <w:szCs w:val="20"/>
          <w:shd w:fill="FFFFFF" w:val="clear"/>
          <w:lang w:val="pt-BR"/>
        </w:rPr>
        <w:t xml:space="preserve"> 3. Quanto aos danos morais, o pleito recursal não merece acolhimento, uma vez que mostra-se patente a falha na prestação do serviço, em razão da imposição de juros abusivos ao consumidor, assim, o dano moral configura-se in re ipsa, derivando, inexoravelmente, do próprio fato ofensivo, motivo pelo qual a manutenção da respectiva verba indenizatória é medida que se impõe, qual seja, R$ 5.000,00 (cinco mil reais), valor este que mostra-se adequado a jurisprudência desta Corte de Justiça. (Apelação Cível Nº 0647462-78.2021.8.04.0001; Relator (a): Maria das Graças Pessoa Figueiredo; Comarca: Manaus/AM; Órgão julgador: Primeira Câmara Cível; Data do julgamento: 12/06/2023; Data de registro: 13/06/2023)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Ementa: 1): CONSUMIDOR. APELAÇÃO CÍVEL. AÇÃO DE REVISÃO DE CONTRATO.</w:t>
      </w:r>
      <w:r>
        <w:rPr>
          <w:rFonts w:cs="Calibri"/>
          <w:b/>
          <w:bCs/>
          <w:color w:val="000000"/>
          <w:sz w:val="20"/>
          <w:szCs w:val="20"/>
          <w:shd w:fill="FFFFFF" w:val="clear"/>
          <w:lang w:val="pt-BR"/>
        </w:rPr>
        <w:t xml:space="preserve"> TAXA DE JUROS REMUNERATÓRIOS ABUSIVA. CRÉDITO PESSOAL. NECESSIDADE DE REVISÃO.</w:t>
      </w:r>
      <w:r>
        <w:rPr>
          <w:rFonts w:cs="Calibri"/>
          <w:color w:val="000000"/>
          <w:sz w:val="20"/>
          <w:szCs w:val="20"/>
          <w:shd w:fill="FFFFFF" w:val="clear"/>
          <w:lang w:val="pt-BR"/>
        </w:rPr>
        <w:t xml:space="preserve"> DANO MORAL CONFIGURADO. RECURSO CONHECIDO E NÃO PROVIDO. SENTENÇA MANTIDA. </w:t>
      </w:r>
      <w:r>
        <w:rPr>
          <w:rFonts w:cs="Calibri"/>
          <w:b/>
          <w:bCs/>
          <w:color w:val="000000"/>
          <w:sz w:val="20"/>
          <w:szCs w:val="20"/>
          <w:shd w:fill="FFFFFF" w:val="clear"/>
          <w:lang w:val="pt-BR"/>
        </w:rPr>
        <w:t>1. Incontroversa a ilegalidade da taxa de juros indevidamente cobrada, resta analisar a possibilidade de aplicação da restituição em sua forma dobrada, bem como, a majoração do dano moral. 2. Tratando-se de relação tipicamente de consumo e considerando que tais cobranças foram inseridas nas parcelas do empréstimo pela ré em clara afronta aos deveres anexos à boa-fé contratual, em descaso à transparência e ao dever de informação que devem permear todas as relações contratuais, a repetição dobrada prevista no parágrafo único do artigo 42 do Código de Proteção e Defesa do Consumidor é medida impositiva, uma vez evidenciada a má-fé da contrata;</w:t>
      </w:r>
      <w:r>
        <w:rPr>
          <w:rFonts w:cs="Calibri"/>
          <w:color w:val="000000"/>
          <w:sz w:val="20"/>
          <w:szCs w:val="20"/>
          <w:shd w:fill="FFFFFF" w:val="clear"/>
          <w:lang w:val="pt-BR"/>
        </w:rPr>
        <w:t xml:space="preserve"> 3. Recurso conhecido e não provido. Sentença mantida. Sem intervenção do Ministério Público. EMENTA(2): CONSUMIDOR. APELAÇÃO CÍVEL. AÇÃO DE REVISÃO DE CONTRATO. TAXA DE JUROS ABUSIVA. CRÉDITO PESSOAL. DEVOLUÇÃO EM DOBRO. CABÍVEL. MAJORAÇÃO DE DANO MORAL. NÃO CONFIGURADO. RECURSO CONHECIDO E PARCIALMENTE PROVIDO. Tratando-se de relação tipicamente de consumo e considerando que tais cobranças foram inseridas nas parcelas do empréstimo pela ré em clara afronta aos deveres anexos à boa-fé contratual, em descaso à transparência e ao dever de informação que devem permear todas as relações contratuais, a repetição dobrada prevista no parágrafo único do artigo 42 do Código de Proteção e Defesa do Consumidor é medida impositiva, uma vez evidenciada a má-fé da contrata; No âmbito do "quantum" indenizatório fixado pelo Juízo de origem, o primeiro apelante requer a exclusão ou a minoração do valor estabelecido, alegando que se revela excessivo e ocasiona enriquecimento ilícito e já o segundo Apelante requer a majoração. Diante da reprovável conduta das instituições, consubstanciada na prestação de seus serviços de maneira desidiosa e negligente, como forma de evitar a reincidência dos ofensores em casos semelhantes, entendo que a indenização arbitrada em sentença, no valor de R$ 3.000,00 (três mil reais), está de acordo com os princípios da razoabilidade e proporcionalidade; Recurso conhecido e parcialmente provido. Sentença reformada. Sem intervenção do Ministério Público. (Apelação Cível Nº 0643079-57.2021.8.04.0001; Relator (a): Joana dos Santos Meirelles; Comarca: Manaus/AM; Órgão julgador: Primeira Câmara Cível; Data do julgamento: 24/05/2023; Data de registro: 24/05/2023)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t xml:space="preserve"> </w:t>
      </w:r>
    </w:p>
    <w:p>
      <w:pPr>
        <w:pStyle w:val="Normal"/>
        <w:spacing w:lineRule="auto" w:line="240"/>
        <w:ind w:start="2268" w:end="0"/>
        <w:jc w:val="both"/>
        <w:rPr>
          <w:rFonts w:cs="Calibri"/>
          <w:sz w:val="20"/>
          <w:szCs w:val="20"/>
          <w:lang w:val="pt-BR"/>
        </w:rPr>
      </w:pPr>
      <w:r>
        <w:rPr>
          <w:rFonts w:cs="Calibri"/>
          <w:color w:val="000000"/>
          <w:sz w:val="20"/>
          <w:szCs w:val="20"/>
          <w:shd w:fill="FFFFFF" w:val="clear"/>
          <w:lang w:val="pt-BR"/>
        </w:rPr>
        <w:t xml:space="preserve">Ementa: APELAÇÃO CÍVEL. </w:t>
      </w:r>
      <w:r>
        <w:rPr>
          <w:rFonts w:cs="Calibri"/>
          <w:b/>
          <w:bCs/>
          <w:color w:val="000000"/>
          <w:sz w:val="20"/>
          <w:szCs w:val="20"/>
          <w:shd w:fill="FFFFFF" w:val="clear"/>
          <w:lang w:val="pt-BR"/>
        </w:rPr>
        <w:t>REVISÃO DE JUROS PRATICADOS EM CONTRATO DE EMPRÉSTIMO. EXCESSO OBSERVADO A PARTIR DA MÉDIA DO BACEN. DESVANTAGEM EXCESSIVA DA CONSUMIDORA. RESTITUIÇÃO EM DOBRO. CONDUTA CONTRÁRIA À BOA-FÉ.</w:t>
      </w:r>
      <w:r>
        <w:rPr>
          <w:rFonts w:cs="Calibri"/>
          <w:color w:val="000000"/>
          <w:sz w:val="20"/>
          <w:szCs w:val="20"/>
          <w:shd w:fill="FFFFFF" w:val="clear"/>
          <w:lang w:val="pt-BR"/>
        </w:rPr>
        <w:t xml:space="preserve"> DANOS MORAIS CONFIGURADOS. ARBITRAMENTO QUE DEVE OBSERVAR OS PARÂMETROS DE RAZOABILIDADE E PROPORCIONALIDADE. RECURSO CONHECIDO E PROVIDO. 1. A despeito das instituições financeiras não estarem adstritas aos limites de juros impostos pela Lei da Usura - Decreto nº 22.626/1.933 – , em caso de abuso a jurisprudência admite que os juros pactuados sejam reduzidos para serem adequados à média de mercado, registrado para o mesmo contexto pelo BACEN. Precedentes. 2. Na esteira da jurisprudência do sodalício Tribunal Cidadão, consideram-se abusivos os juros pactuados quando, em relação de consumo, o percentual fixado seja superior à media de mercado em proporção capaz de colocar o consumidor em desvantagem exagerada, tal como dispõe o art. 51, §1º, do CDC. Precedente do STJ submetido ao rito dos recursos repetitivos (REsp nº 1.061.530/RS). </w:t>
      </w:r>
      <w:r>
        <w:rPr>
          <w:rFonts w:cs="Calibri"/>
          <w:b/>
          <w:bCs/>
          <w:color w:val="000000"/>
          <w:sz w:val="20"/>
          <w:szCs w:val="20"/>
          <w:shd w:fill="FFFFFF" w:val="clear"/>
          <w:lang w:val="pt-BR"/>
        </w:rPr>
        <w:t>3. In casu, os juros anuais superam em mais de 700% a média de mercado praticada à da época da celebração do contrato (setembro de 2015). 4. "A restituição em dobro do indébito (parágrafo único do artigo 42 do CDC) independe da natureza do elemento volitivo do fornecedor que realizou a cobrança indevida, revelando-se cabível quando a referida cobrança consubstanciar conduta contrária à boa-fé objetiva" (EAREsp 676.608/RS, Rel. Ministro OG FERNANDES, CORTE ESPECIAL, julgado em 21/10/2020, DJe 30/03/2021).</w:t>
      </w:r>
      <w:r>
        <w:rPr>
          <w:rFonts w:cs="Calibri"/>
          <w:color w:val="000000"/>
          <w:sz w:val="20"/>
          <w:szCs w:val="20"/>
          <w:shd w:fill="FFFFFF" w:val="clear"/>
          <w:lang w:val="pt-BR"/>
        </w:rPr>
        <w:t xml:space="preserve"> 5. A frustração e a impotência experimentadas pela consumidora diante do exercício arbitrário do poder de negociação da apelada caracterizam um desrespeito que lhe rende claramente danos morais. 6. Diante das peculiaridades do caso concreto, sopesado os parâmetros de razoabilidade e proporcionalidade, deve ser fixado o valor da indenização por danos morais em R$ 5.000,00 (cinco mil reais), importância consentânea com a jurisprudência desta Corte e que alcança a finalidade punitiva/pedagógica dos danos morais, não gerando enriquecimento sem causa do sujeito indenizado. 7. Recurso conhecido e provido. (Apelação Cível Nº 0002607-67.2017.8.04.4701; Relator (a): Maria do Perpétuo Socorro Guedes Moura; Comarca: Manaus/AM; Órgão julgador: Segunda Câmara Cível; Data do julgamento: 17/03/2023; Data de registro: 17/03/2023) (grifo nosso)</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Dessa forma, comprovada a violação às normas consumeristas aplicáveis à espécie, impõe-se a condenação do banco requerido à devolução dos valores indevidamente cobrados, sob pena de se legitimar conduta incompatível com os princípios da boa-fé objetiva, da equidade e da proteção ao consumidor.</w:t>
      </w:r>
    </w:p>
    <w:p>
      <w:pPr>
        <w:pStyle w:val="Normal"/>
        <w:spacing w:lineRule="auto" w:line="300"/>
        <w:ind w:firstLine="1418" w:end="0"/>
        <w:jc w:val="both"/>
        <w:rPr>
          <w:rFonts w:cs="Calibri"/>
          <w:lang w:val="pt-BR"/>
        </w:rPr>
      </w:pPr>
      <w:r>
        <w:rPr>
          <w:rFonts w:cs="Calibri"/>
          <w:lang w:val="pt-BR"/>
        </w:rPr>
      </w:r>
    </w:p>
    <w:p>
      <w:pPr>
        <w:pStyle w:val="Normal"/>
        <w:tabs>
          <w:tab w:val="left" w:pos="720" w:leader="none"/>
        </w:tabs>
        <w:spacing w:lineRule="auto" w:line="300"/>
        <w:ind w:firstLine="1418" w:end="0"/>
        <w:jc w:val="both"/>
        <w:rPr/>
      </w:pPr>
      <w:r>
        <w:rPr>
          <w:rFonts w:cs="Calibri"/>
          <w:lang w:val="pt-BR"/>
        </w:rPr>
        <w:t>Ante o exposto, requer a parte autora que Vossa Excelência condene o requerido à restituição, na forma simples, dos valores pagos indevidamente no contrato de empréstimo consignado objeto da presente demanda, a serem apurados em fase de liquidação de sentença, acrescidos de correção monetária desde a data do efetivo prejuízo, nos termos da Súmula nº 43 do STJ e juros moratórios de 1% (um por cento) ao mês, a contar do evento danoso, conforme orientação da Súmula nº 54 do STJ, como medida de justiça, equilíbrio contratual e efetiva tutela dos direitos do consumidor.</w:t>
      </w:r>
    </w:p>
    <w:p>
      <w:pPr>
        <w:pStyle w:val="Normal"/>
        <w:spacing w:lineRule="auto" w:line="30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3.8 – DO DANO MORAL E DO DEVER DE INDENIZAR</w:t>
      </w:r>
    </w:p>
    <w:p>
      <w:pPr>
        <w:pStyle w:val="Normal"/>
        <w:spacing w:lineRule="auto" w:line="300"/>
        <w:jc w:val="both"/>
        <w:rPr>
          <w:rFonts w:cs="Calibri"/>
          <w:b/>
          <w:u w:val="single"/>
          <w:lang w:val="pt-BR"/>
        </w:rPr>
      </w:pPr>
      <w:r>
        <w:rPr>
          <w:rFonts w:cs="Calibri"/>
          <w:b/>
          <w:u w:val="single"/>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Inicialmente, cumpre ressaltar que a parte autora, na condição de consumidora vulnerável, é titular dos direitos básicos assegurados pelo art. 6º do Código de Defesa do Consumidor, dentre os quais se destaca a proteção contra práticas abusivas e ilícitas, bem como a efetiva reparação por danos morais e patrimoniais.</w:t>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 </w:t>
      </w:r>
    </w:p>
    <w:p>
      <w:pPr>
        <w:pStyle w:val="Normal"/>
        <w:tabs>
          <w:tab w:val="clear" w:pos="720"/>
          <w:tab w:val="left" w:pos="2694" w:leader="none"/>
        </w:tabs>
        <w:spacing w:lineRule="auto" w:line="300"/>
        <w:ind w:firstLine="1418" w:end="0"/>
        <w:jc w:val="both"/>
        <w:rPr/>
      </w:pPr>
      <w:r>
        <w:rPr>
          <w:rFonts w:cs="Calibri"/>
          <w:lang w:val="pt-BR"/>
        </w:rPr>
        <w:t>No caso concreto, restou amplamente comprovada a aplicação de taxa de juros remuneratórios manifestamente abusiva, muito superior à taxa média de mercado divulgada pelo Banco Central do Brasil à época da contratação, circunstância que comprometeu de forma severa o equilíbrio da relação contratual, impondo à parte autora encargos excessivos e desproporcionais.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Com efeito, a taxa de juros imposta pelo banco requerido elevou de maneira exponencial o débito da parte autora, gerando ônus financeiro incompatível com a realidade econômica da consumidora, em flagrante ofensa aos princípios da boa-fé objetiva, da transparência e da equidade, especialmente por se tratar de contrato de adesão de refinanciamento consignado, no qual inexiste paridade de forças entre as partes.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É indubitável que a parte autora foi vítima de prática abusiva, estando claramente demonstrado o nexo de causalidade entre a conduta ilícita do requerido — consubstanciada na cobrança de juros exorbitantes e dissociados dos parâmetros de mercado — e os prejuízos experimentados pela consumidora. Tal circunstância é suficiente para caracterizar a responsabilidade civil do fornecedor, nos termos da legislação vigente.</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A submissão da parte autora ao pagamento de encargos financeiros excessivos, fundados em cláusulas reconhecidamente abusivas, ultrapassa o mero dissabor cotidiano, atingindo direitos da personalidade, ao gerar angústia, frustração, insegurança, sensação de engano e impotência, especialmente diante da impossibilidade de negociação das cláusulas contratuais, configurando, assim, dano moral indenizável.</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Nesse contexto, encontra-se plenamente caracterizada a responsabilidade do banco requerido, com fundamento nos arts. 5º, incisos V e X, da Constituição Federal, no art. 6º, inciso VI, do Código de Defesa do Consumidor, bem como nos arts. 186 e 927, parágrafo único, do Código Civil, os quais asseguram a reparação integral dos danos morais decorrentes de atos ilícitos, inclusive nas hipóteses de responsabilidade objetiva.</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Dispõem os referidos dispositivos legais: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spacing w:lineRule="auto" w:line="240"/>
        <w:ind w:start="2268" w:end="0"/>
        <w:jc w:val="both"/>
        <w:rPr>
          <w:rFonts w:cs="Calibri"/>
          <w:bCs/>
          <w:iCs/>
          <w:sz w:val="20"/>
          <w:szCs w:val="20"/>
          <w:lang w:val="pt-BR" w:eastAsia="pt-BR"/>
        </w:rPr>
      </w:pPr>
      <w:r>
        <w:rPr>
          <w:rFonts w:cs="Calibri"/>
          <w:bCs/>
          <w:iCs/>
          <w:sz w:val="20"/>
          <w:szCs w:val="20"/>
          <w:lang w:val="pt-BR" w:eastAsia="pt-BR"/>
        </w:rPr>
        <w:t>Artigo 5º - (...)</w:t>
      </w:r>
    </w:p>
    <w:p>
      <w:pPr>
        <w:pStyle w:val="Normal"/>
        <w:spacing w:lineRule="auto" w:line="240"/>
        <w:ind w:start="2268" w:end="0"/>
        <w:jc w:val="both"/>
        <w:rPr>
          <w:rFonts w:cs="Calibri"/>
          <w:bCs/>
          <w:iCs/>
          <w:sz w:val="20"/>
          <w:szCs w:val="20"/>
          <w:lang w:val="pt-BR" w:eastAsia="pt-BR"/>
        </w:rPr>
      </w:pPr>
      <w:r>
        <w:rPr>
          <w:rFonts w:cs="Calibri"/>
          <w:bCs/>
          <w:iCs/>
          <w:sz w:val="20"/>
          <w:szCs w:val="20"/>
          <w:lang w:val="pt-BR" w:eastAsia="pt-BR"/>
        </w:rPr>
        <w:t>V – É assegurado o direito de resposta, proporcional ao agravo, além da indenização por dano material, moral ou à imagem;</w:t>
      </w:r>
    </w:p>
    <w:p>
      <w:pPr>
        <w:pStyle w:val="Normal"/>
        <w:spacing w:lineRule="auto" w:line="240"/>
        <w:ind w:start="2268" w:end="0"/>
        <w:jc w:val="both"/>
        <w:rPr>
          <w:rFonts w:cs="Calibri"/>
          <w:bCs/>
          <w:iCs/>
          <w:sz w:val="20"/>
          <w:szCs w:val="20"/>
          <w:lang w:val="pt-BR" w:eastAsia="pt-BR"/>
        </w:rPr>
      </w:pPr>
      <w:r>
        <w:rPr>
          <w:rFonts w:cs="Calibri"/>
          <w:bCs/>
          <w:iCs/>
          <w:sz w:val="20"/>
          <w:szCs w:val="20"/>
          <w:lang w:val="pt-BR" w:eastAsia="pt-BR"/>
        </w:rPr>
        <w:t xml:space="preserve">(...) </w:t>
      </w:r>
    </w:p>
    <w:p>
      <w:pPr>
        <w:pStyle w:val="Normal"/>
        <w:spacing w:lineRule="auto" w:line="240"/>
        <w:ind w:start="2268" w:end="0"/>
        <w:jc w:val="both"/>
        <w:rPr>
          <w:rFonts w:cs="Calibri"/>
          <w:sz w:val="20"/>
          <w:szCs w:val="20"/>
          <w:lang w:val="pt-BR"/>
        </w:rPr>
      </w:pPr>
      <w:r>
        <w:rPr>
          <w:rFonts w:cs="Calibri"/>
          <w:bCs/>
          <w:iCs/>
          <w:sz w:val="20"/>
          <w:szCs w:val="20"/>
          <w:lang w:val="pt-BR" w:eastAsia="pt-BR"/>
        </w:rPr>
        <w:t>X – São invioláveis a intimidade, a vida privada, a honra e a imagem das pessoas, assegurado o direito à indenização pelo dano material ou moral decorrente de sua violação;</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 xml:space="preserve"> </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Artigo 6° - (...)</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VI – a efetiva prevenção e reparação de danos patrimoniais e morais, individuais, coletivos e difusos;</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 xml:space="preserve"> </w:t>
      </w:r>
    </w:p>
    <w:p>
      <w:pPr>
        <w:pStyle w:val="Normal"/>
        <w:spacing w:lineRule="auto" w:line="240"/>
        <w:ind w:start="2268" w:end="0"/>
        <w:jc w:val="both"/>
        <w:rPr/>
      </w:pPr>
      <w:r>
        <w:rPr>
          <w:rFonts w:cs="Calibri"/>
          <w:sz w:val="20"/>
          <w:szCs w:val="20"/>
          <w:lang w:val="pt-BR" w:eastAsia="pt-BR"/>
        </w:rPr>
        <w:t>Artigo 186 – Aquele que, por ação ou omissão voluntária, negligência ou imprudência, violar direito e causar dano a outrem, ainda que exclusivamente moral, comete ato ilícito.</w:t>
      </w:r>
    </w:p>
    <w:p>
      <w:pPr>
        <w:pStyle w:val="Normal"/>
        <w:spacing w:lineRule="auto" w:line="240"/>
        <w:ind w:start="2268" w:end="0"/>
        <w:jc w:val="both"/>
        <w:rPr>
          <w:rFonts w:cs="Calibri"/>
          <w:sz w:val="20"/>
          <w:szCs w:val="20"/>
          <w:lang w:val="pt-BR" w:eastAsia="pt-BR"/>
        </w:rPr>
      </w:pPr>
      <w:r>
        <w:rPr>
          <w:rFonts w:cs="Calibri"/>
          <w:sz w:val="20"/>
          <w:szCs w:val="20"/>
          <w:lang w:val="pt-BR" w:eastAsia="pt-BR"/>
        </w:rPr>
      </w:r>
    </w:p>
    <w:p>
      <w:pPr>
        <w:pStyle w:val="Normal"/>
        <w:spacing w:lineRule="auto" w:line="240"/>
        <w:ind w:start="2268" w:end="0"/>
        <w:jc w:val="both"/>
        <w:rPr>
          <w:rFonts w:cs="Calibri"/>
          <w:sz w:val="20"/>
          <w:szCs w:val="20"/>
          <w:lang w:val="pt-BR" w:eastAsia="pt-BR"/>
        </w:rPr>
      </w:pPr>
      <w:r>
        <w:rPr>
          <w:rFonts w:cs="Calibri"/>
          <w:sz w:val="20"/>
          <w:szCs w:val="20"/>
          <w:lang w:val="pt-BR" w:eastAsia="pt-BR"/>
        </w:rPr>
        <w:t>Artigo 927 – Aquele que, por ato ilícito (arts. 186 e 187), causar dano a outrem, fica obrigado a repará-lo.</w:t>
      </w:r>
    </w:p>
    <w:p>
      <w:pPr>
        <w:pStyle w:val="Normal"/>
        <w:spacing w:lineRule="auto" w:line="240"/>
        <w:ind w:start="2268" w:end="0"/>
        <w:jc w:val="both"/>
        <w:rPr>
          <w:rFonts w:cs="Calibri"/>
          <w:sz w:val="20"/>
          <w:szCs w:val="20"/>
          <w:lang w:val="pt-BR" w:eastAsia="pt-BR"/>
        </w:rPr>
      </w:pPr>
      <w:r>
        <w:rPr>
          <w:rFonts w:cs="Calibri"/>
          <w:sz w:val="20"/>
          <w:szCs w:val="20"/>
          <w:lang w:val="pt-BR" w:eastAsia="pt-BR"/>
        </w:rPr>
      </w:r>
    </w:p>
    <w:p>
      <w:pPr>
        <w:pStyle w:val="Normal"/>
        <w:spacing w:lineRule="auto" w:line="240"/>
        <w:ind w:start="2268" w:end="0"/>
        <w:jc w:val="both"/>
        <w:rPr>
          <w:rFonts w:cs="Calibri"/>
          <w:sz w:val="20"/>
          <w:szCs w:val="20"/>
          <w:lang w:val="pt-BR"/>
        </w:rPr>
      </w:pPr>
      <w:r>
        <w:rPr>
          <w:rFonts w:cs="Calibri"/>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pPr>
        <w:pStyle w:val="Normal"/>
        <w:tabs>
          <w:tab w:val="clear" w:pos="720"/>
          <w:tab w:val="left" w:pos="2694" w:leader="none"/>
        </w:tabs>
        <w:spacing w:lineRule="auto" w:line="300"/>
        <w:ind w:firstLine="2835" w:end="0"/>
        <w:jc w:val="both"/>
        <w:rPr>
          <w:rFonts w:cs="Calibri"/>
          <w:sz w:val="20"/>
          <w:szCs w:val="20"/>
          <w:lang w:val="pt-BR"/>
        </w:rPr>
      </w:pPr>
      <w:r>
        <w:rPr>
          <w:rFonts w:cs="Calibri"/>
          <w:sz w:val="20"/>
          <w:szCs w:val="20"/>
          <w:lang w:val="pt-BR"/>
        </w:rPr>
      </w:r>
    </w:p>
    <w:p>
      <w:pPr>
        <w:pStyle w:val="NormalWeb"/>
        <w:spacing w:lineRule="auto" w:line="300" w:before="0" w:after="0"/>
        <w:ind w:firstLine="1418" w:end="0"/>
        <w:jc w:val="both"/>
        <w:rPr>
          <w:rFonts w:ascii="Calibri" w:hAnsi="Calibri" w:cs="Calibri"/>
          <w:color w:val="000000"/>
          <w:sz w:val="22"/>
          <w:szCs w:val="22"/>
        </w:rPr>
      </w:pPr>
      <w:r>
        <w:rPr>
          <w:rFonts w:cs="Calibri" w:ascii="Calibri" w:hAnsi="Calibri"/>
          <w:color w:val="000000"/>
          <w:sz w:val="22"/>
          <w:szCs w:val="22"/>
        </w:rPr>
        <w:t xml:space="preserve">A jurisprudência deste Egrégio Tribunal de Justiça do Estado do Amazonas é firme no reconhecimento do </w:t>
      </w:r>
      <w:r>
        <w:rPr>
          <w:rFonts w:cs="Calibri" w:ascii="Calibri" w:hAnsi="Calibri"/>
          <w:b/>
          <w:bCs/>
          <w:color w:val="000000"/>
          <w:sz w:val="22"/>
          <w:szCs w:val="22"/>
        </w:rPr>
        <w:t>dano moral decorrente da cobrança abusiva de juros em contratos bancários</w:t>
      </w:r>
      <w:r>
        <w:rPr>
          <w:rFonts w:cs="Calibri" w:ascii="Calibri" w:hAnsi="Calibri"/>
          <w:color w:val="000000"/>
          <w:sz w:val="22"/>
          <w:szCs w:val="22"/>
        </w:rPr>
        <w:t>, especialmente quando evidenciada a discrepância em relação à taxa média de mercado divulgada pelo BACEN, conforme reiteradamente decidido em casos análogos, como nos julgados já colacionados aos autos.</w:t>
      </w:r>
    </w:p>
    <w:p>
      <w:pPr>
        <w:pStyle w:val="NormalWeb"/>
        <w:spacing w:lineRule="auto" w:line="300" w:before="0" w:after="0"/>
        <w:ind w:firstLine="1418" w:end="0"/>
        <w:jc w:val="both"/>
        <w:rPr>
          <w:rFonts w:ascii="Calibri" w:hAnsi="Calibri" w:cs="Calibri"/>
          <w:color w:val="000000"/>
          <w:sz w:val="22"/>
          <w:szCs w:val="22"/>
        </w:rPr>
      </w:pPr>
      <w:r>
        <w:rPr>
          <w:rFonts w:cs="Calibri" w:ascii="Calibri" w:hAnsi="Calibri"/>
          <w:color w:val="000000"/>
          <w:sz w:val="22"/>
          <w:szCs w:val="22"/>
        </w:rPr>
      </w:r>
    </w:p>
    <w:p>
      <w:pPr>
        <w:pStyle w:val="Normal"/>
        <w:spacing w:lineRule="auto" w:line="240"/>
        <w:ind w:start="2268" w:end="0"/>
        <w:jc w:val="both"/>
        <w:rPr>
          <w:rFonts w:eastAsia="Times New Roman" w:cs="Calibri"/>
          <w:sz w:val="20"/>
          <w:szCs w:val="20"/>
          <w:lang w:val="pt-BR" w:eastAsia="pt-BR"/>
        </w:rPr>
      </w:pPr>
      <w:r>
        <w:rPr>
          <w:rFonts w:eastAsia="Times New Roman" w:cs="Calibri"/>
          <w:sz w:val="20"/>
          <w:szCs w:val="20"/>
          <w:lang w:val="pt-BR" w:eastAsia="pt-BR"/>
        </w:rPr>
        <w:t xml:space="preserve">0002497-68.2017.8.04.4701 - Apelação Cível - Ementa: APELAÇÃO CÍVEL. AÇÃO REPARATÓRIA E INDENIZATÓRIA. </w:t>
      </w:r>
      <w:r>
        <w:rPr>
          <w:rFonts w:eastAsia="Times New Roman" w:cs="Calibri"/>
          <w:b/>
          <w:bCs/>
          <w:sz w:val="20"/>
          <w:szCs w:val="20"/>
          <w:lang w:val="pt-BR" w:eastAsia="pt-BR"/>
        </w:rPr>
        <w:t>ABUSIVIDADE CONFIGURADA. DISCREPÂNCIA DA TAXA DE JUROS CONTRATADA EM RELAÇÃO AOS PARÂMETROS DIVULGADOS PELO BANCO CENTRAL. PRECEDENTES DO STJ. RESP 1061530/RS.</w:t>
      </w:r>
      <w:r>
        <w:rPr>
          <w:rFonts w:eastAsia="Times New Roman" w:cs="Calibri"/>
          <w:sz w:val="20"/>
          <w:szCs w:val="20"/>
          <w:lang w:val="pt-BR" w:eastAsia="pt-BR"/>
        </w:rPr>
        <w:t xml:space="preserve"> MINORAÇÃO DO DANO MORAL. POSSIBILIDADE. RECURSO CONHECIDO E, NO MÉRITO, PARCIALMENTE PROVIDO PROVIDO. SENTENÇA PARCIALMENTE REFORMADA. - O Tribunal da Cidadania entendeu pela possibilidade de utilizar a taxa média de mercado como parâmetro para aferir a potencial existência de abusividade nos juros remuneratórios estipulados. Em verdade, a colenda Turma inferiu, assim como já destaquei em julgados anteriores, que o citado parâmetro não é uma barreira absoluta, admitindo-se uma discrepância razoável, sob pena de se considerar como valor fixo uma simples média. - </w:t>
      </w:r>
      <w:r>
        <w:rPr>
          <w:rFonts w:eastAsia="Times New Roman" w:cs="Calibri"/>
          <w:b/>
          <w:bCs/>
          <w:sz w:val="20"/>
          <w:szCs w:val="20"/>
          <w:lang w:val="pt-BR" w:eastAsia="pt-BR"/>
        </w:rPr>
        <w:t>O percentual aplicado pelo Apelante destoa-se dos padrões estipulados pelo mercado financeiro.</w:t>
      </w:r>
      <w:r>
        <w:rPr>
          <w:rFonts w:eastAsia="Times New Roman" w:cs="Calibri"/>
          <w:sz w:val="20"/>
          <w:szCs w:val="20"/>
          <w:lang w:val="pt-BR" w:eastAsia="pt-BR"/>
        </w:rPr>
        <w:t xml:space="preserve"> </w:t>
      </w:r>
      <w:r>
        <w:rPr>
          <w:rFonts w:eastAsia="Times New Roman" w:cs="Calibri"/>
          <w:b/>
          <w:sz w:val="20"/>
          <w:szCs w:val="20"/>
          <w:lang w:val="pt-BR" w:eastAsia="pt-BR"/>
        </w:rPr>
        <w:t>Nesse sentido, tal panorama claramente revela abusividade e não flutuação comercial dentro do espectro da média, como quer fazer crer o Recorrente, de modo que a r. Sentença deve ser mantida neste ponto.</w:t>
      </w:r>
      <w:r>
        <w:rPr>
          <w:rFonts w:eastAsia="Times New Roman" w:cs="Calibri"/>
          <w:sz w:val="20"/>
          <w:szCs w:val="20"/>
          <w:lang w:val="pt-BR" w:eastAsia="pt-BR"/>
        </w:rPr>
        <w:t xml:space="preserve"> - Embora a taxa de juros anunciada pelo BC sirva tão somente como parâmetro para constatação de potencial abusividade das taxas praticadas pelas Instituições Financeiras e não como categórica regra a ser aplicada em todo e qualquer contrato submetido à apreciação judicial que dele destoe, ainda que minimamente, tal afirmação não pode ser levada a cabo em todas as hipóteses. Isso porque no caso dos autos, os índices praticados pela ré em desfavor do consumidor no momento da pactuação são inegavelmente excessivos e por demais dispendiosos, uma vez que atingem percentuais superiores à média de mercado para operações financeiras de mesma categoria. - </w:t>
      </w:r>
      <w:r>
        <w:rPr>
          <w:rFonts w:eastAsia="Times New Roman" w:cs="Calibri"/>
          <w:b/>
          <w:bCs/>
          <w:sz w:val="20"/>
          <w:szCs w:val="20"/>
          <w:lang w:val="pt-BR" w:eastAsia="pt-BR"/>
        </w:rPr>
        <w:t>Quanto ao valor da indenização, sabe-se que deve ser determinado pelo julgador de forma equitativa, de modo que não seja alto a ponto de implicar enriquecimento sem causa da vítima, nem baixo o suficiente para não produzir no causador do dano a sensação de reprimenda que o leve a deixar de praticar o ato. Assim, devem-se considerar as condições econômicas dos envolvidos, a culpa do ofensor e a extensão do dano causado ao ofendido. No caso dos autos, no entanto, entendo que necessita reparo somente o quantum arbitrado pelo juízo de piso. Isso porque, como dito, a condenação deve analisar os parâmetros de razoabilidade e proporcionalidade, de modo que a quantia de R$ 10.000,00 (dez mil reais) mostra-se excessiva. Nesse sentido, diante da conjuntura fática do presente caso, constato que o montante de R$ 5.000,00 (cinco mil reais) encontra-se suficiente a punir o ofensor, bem como a desestimular a continuidade da adoção de procedimentos falhos e inseguros, razão pela qual, reformo, somente neste ponto, a r. Sentença recorrida.</w:t>
      </w:r>
      <w:r>
        <w:rPr>
          <w:rFonts w:eastAsia="Times New Roman" w:cs="Calibri"/>
          <w:sz w:val="20"/>
          <w:szCs w:val="20"/>
          <w:lang w:val="pt-BR" w:eastAsia="pt-BR"/>
        </w:rPr>
        <w:t xml:space="preserve"> - Recurso conhecido e, no mérito, parcialmente provido. Sentença parcialmente reformada. (Relator (a): Anselmo Chíxaro; Comarca: Manaus/AM; Órgão julgador: Primeira Câmara Cível; Data do julgamento: 26/08/2021; Data de registro: 26/08/2021) (grifo nosso)</w:t>
      </w:r>
    </w:p>
    <w:p>
      <w:pPr>
        <w:pStyle w:val="NormalWeb"/>
        <w:spacing w:before="0" w:after="0"/>
        <w:ind w:start="2268" w:end="0"/>
        <w:jc w:val="both"/>
        <w:rPr>
          <w:rFonts w:ascii="Calibri" w:hAnsi="Calibri" w:eastAsia="Times New Roman" w:cs="Calibri"/>
          <w:color w:val="000000"/>
          <w:sz w:val="20"/>
          <w:szCs w:val="20"/>
          <w:lang w:val="pt-BR" w:eastAsia="pt-BR"/>
        </w:rPr>
      </w:pPr>
      <w:r>
        <w:rPr>
          <w:rFonts w:eastAsia="Times New Roman" w:cs="Calibri" w:ascii="Calibri" w:hAnsi="Calibri"/>
          <w:color w:val="000000"/>
          <w:sz w:val="20"/>
          <w:szCs w:val="20"/>
          <w:lang w:val="pt-BR" w:eastAsia="pt-BR"/>
        </w:rPr>
      </w:r>
    </w:p>
    <w:p>
      <w:pPr>
        <w:pStyle w:val="Normal"/>
        <w:spacing w:lineRule="auto" w:line="240"/>
        <w:ind w:start="2268" w:end="0"/>
        <w:jc w:val="both"/>
        <w:rPr/>
      </w:pPr>
      <w:r>
        <w:rPr>
          <w:rFonts w:eastAsia="Times New Roman" w:cs="Calibri"/>
          <w:sz w:val="20"/>
          <w:szCs w:val="20"/>
          <w:lang w:val="pt-BR" w:eastAsia="pt-BR"/>
        </w:rPr>
        <w:t xml:space="preserve">0635935-03.2019.8.04.0001 - Apelação Cível - Ementa: APELAÇÃO CÍVEL. AÇÃO REVISIONAL C/C INDENIZATÓRIA POR DANOS MORAIS E MATERIAIS. ABUSIVIDADE DE TAXA DE JUROS REMUNERATÓRIOS EM CONTRATO BANCÁRIO. </w:t>
      </w:r>
      <w:r>
        <w:rPr>
          <w:rFonts w:eastAsia="Times New Roman" w:cs="Calibri"/>
          <w:b/>
          <w:bCs/>
          <w:sz w:val="20"/>
          <w:szCs w:val="20"/>
          <w:lang w:val="pt-BR" w:eastAsia="pt-BR"/>
        </w:rPr>
        <w:t>DANO MORAL. OCORRÊNCIA</w:t>
      </w:r>
      <w:r>
        <w:rPr>
          <w:rFonts w:eastAsia="Times New Roman" w:cs="Calibri"/>
          <w:sz w:val="20"/>
          <w:szCs w:val="20"/>
          <w:lang w:val="pt-BR" w:eastAsia="pt-BR"/>
        </w:rPr>
        <w:t xml:space="preserve">. 1. O Código de Defesa do Consumidor é aplicável aos contratos bancários ainda que por equiparação nos termos da Súmula 297 STJ; 2. </w:t>
      </w:r>
      <w:r>
        <w:rPr>
          <w:rFonts w:eastAsia="Times New Roman" w:cs="Calibri"/>
          <w:b/>
          <w:bCs/>
          <w:sz w:val="20"/>
          <w:szCs w:val="20"/>
          <w:lang w:val="pt-BR" w:eastAsia="pt-BR"/>
        </w:rPr>
        <w:t>Incontroverso nos autos a abusividade na taxa de juros aplicada pela instituição bancária e os prejuízos enfrentados pela autora quanto o pagamento de valores a maiores, constata-se a ocorrência do dano moral;</w:t>
      </w:r>
      <w:r>
        <w:rPr>
          <w:rFonts w:eastAsia="Times New Roman" w:cs="Calibri"/>
          <w:sz w:val="20"/>
          <w:szCs w:val="20"/>
          <w:lang w:val="pt-BR" w:eastAsia="pt-BR"/>
        </w:rPr>
        <w:t xml:space="preserve"> 3. Recurso conhecido e provido. (Relator (a): Airton Luís Corrêa Gentil; Comarca: Manaus/AM; Órgão julgador: Terceira Câmara Cível; Data do julgamento: 04/03/2021; Data de registro: 04/03/2021) (grifo nosso)</w:t>
      </w:r>
    </w:p>
    <w:p>
      <w:pPr>
        <w:pStyle w:val="NormalWeb"/>
        <w:spacing w:before="0" w:after="0"/>
        <w:ind w:start="2268" w:end="0"/>
        <w:jc w:val="both"/>
        <w:rPr>
          <w:rFonts w:ascii="Calibri" w:hAnsi="Calibri" w:eastAsia="Times New Roman" w:cs="Calibri"/>
          <w:color w:val="000000"/>
          <w:sz w:val="20"/>
          <w:szCs w:val="20"/>
          <w:lang w:val="pt-BR" w:eastAsia="pt-BR"/>
        </w:rPr>
      </w:pPr>
      <w:r>
        <w:rPr>
          <w:rFonts w:eastAsia="Times New Roman" w:cs="Calibri" w:ascii="Calibri" w:hAnsi="Calibri"/>
          <w:color w:val="000000"/>
          <w:sz w:val="20"/>
          <w:szCs w:val="20"/>
          <w:lang w:val="pt-BR" w:eastAsia="pt-BR"/>
        </w:rPr>
      </w:r>
    </w:p>
    <w:p>
      <w:pPr>
        <w:pStyle w:val="Normal"/>
        <w:spacing w:lineRule="auto" w:line="240"/>
        <w:ind w:start="2268" w:end="0"/>
        <w:jc w:val="both"/>
        <w:rPr/>
      </w:pPr>
      <w:r>
        <w:rPr>
          <w:rFonts w:eastAsia="Times New Roman" w:cs="Calibri"/>
          <w:sz w:val="20"/>
          <w:szCs w:val="20"/>
          <w:lang w:val="pt-BR" w:eastAsia="pt-BR"/>
        </w:rPr>
        <w:t xml:space="preserve">0002450-94.2017.8.04.4701 - Apelação Cível - Ementa: APELAÇÃO CÍVEL. REVISÃO DE JUROS PRATICADOS EM CONTRATO DE EMPRÉSTIMO. </w:t>
      </w:r>
      <w:r>
        <w:rPr>
          <w:rFonts w:eastAsia="Times New Roman" w:cs="Calibri"/>
          <w:b/>
          <w:bCs/>
          <w:sz w:val="20"/>
          <w:szCs w:val="20"/>
          <w:lang w:val="pt-BR" w:eastAsia="pt-BR"/>
        </w:rPr>
        <w:t>EXCESSO OBSERVADO A PARTIR DA MÉDIA DO BACEN. DANOS MORAIS CONFIGURADOS.</w:t>
      </w:r>
      <w:r>
        <w:rPr>
          <w:rFonts w:eastAsia="Times New Roman" w:cs="Calibri"/>
          <w:sz w:val="20"/>
          <w:szCs w:val="20"/>
          <w:lang w:val="pt-BR" w:eastAsia="pt-BR"/>
        </w:rPr>
        <w:t xml:space="preserve"> REDUÇÃO DA INDENIZAÇÃO. RECURSO CONHECIDO E PARCIALMENTE PROVIDO. 1. A jurisprudência admite que, apesar das instituições financeiras não se sujeitarem a limites de juros remuneratórios aprioristicamente fixados, sejam estes reduzidos caso praticados em patamares que superem, significativamente, a média de mercado registrado para o mesmo contexto pelo BACEN. Precedentes. </w:t>
      </w:r>
      <w:r>
        <w:rPr>
          <w:rFonts w:eastAsia="Times New Roman" w:cs="Calibri"/>
          <w:b/>
          <w:bCs/>
          <w:sz w:val="20"/>
          <w:szCs w:val="20"/>
          <w:lang w:val="pt-BR" w:eastAsia="pt-BR"/>
        </w:rPr>
        <w:t>2. Considerando que, na espécie, a taxa mensal praticada supera o triplo da média de mercado, é imperioso o reconhecimento da abusividade e, por conseguinte, a redução dos juros, conforme operado na origem.</w:t>
      </w:r>
      <w:r>
        <w:rPr>
          <w:rFonts w:eastAsia="Times New Roman" w:cs="Calibri"/>
          <w:sz w:val="20"/>
          <w:szCs w:val="20"/>
          <w:lang w:val="pt-BR" w:eastAsia="pt-BR"/>
        </w:rPr>
        <w:t xml:space="preserve"> 3. É certo que casos específicos, envolvendo, por exemplo, tomadores de crédito com histórico de inadimplência, podem justificar taxas superiores à média, todavia, tendo a jurisprudência admitido como parâmetro a taxa média do BACEN, caberia à instituição financeira, na inteligência do art. 373, II, do CPC, o ônus de demonstrar a especificidade da situação concreta e a consequente necessidade de aplicação de juros superiores, de sorte que, em não o tendo feito, deve suportar a respectiva sucumbência. </w:t>
      </w:r>
      <w:r>
        <w:rPr>
          <w:rFonts w:eastAsia="Times New Roman" w:cs="Calibri"/>
          <w:b/>
          <w:bCs/>
          <w:sz w:val="20"/>
          <w:szCs w:val="20"/>
          <w:lang w:val="pt-BR" w:eastAsia="pt-BR"/>
        </w:rPr>
        <w:t>4. A frustração e a impotência experimentadas pelo consumidor diante do exercício arbitrário do poder de negociação da Recorrente caracterizam um desrespeito que lhe rende claros danos imateriais.</w:t>
      </w:r>
      <w:r>
        <w:rPr>
          <w:rFonts w:eastAsia="Times New Roman" w:cs="Calibri"/>
          <w:sz w:val="20"/>
          <w:szCs w:val="20"/>
          <w:lang w:val="pt-BR" w:eastAsia="pt-BR"/>
        </w:rPr>
        <w:t xml:space="preserve"> 5. Sopesando os critérios de fixação da indenização por danos morais traçados pelos arts. 944 e 945, do CC, isto é, extensão do dano e condições das partes, assiste razão à pretensão recursal de redução do montante estabelecido na sentença, razão pela qual deve ser minorado de R$10.000,00 (dez mil reais) para R$5.000,00 (cinco mil reais), importância consentânea com a jurisprudência desta Corte e que tanto alcança a finalidade punitiva/pedagógica dos danos morais, quanto não gera enriquecimento sem causa do sujeito indenizado. 6. Recurso conhecido e parcialmente provido. (Relator (a): Maria do Perpétuo Socorro Guedes Moura; Comarca: Manaus/AM; Órgão julgador: Segunda Câmara Cível; Data do julgamento: 08/02/2021; Data de registro: 24/02/2021) (grifo nosso)</w:t>
      </w:r>
    </w:p>
    <w:p>
      <w:pPr>
        <w:pStyle w:val="NormalWeb"/>
        <w:spacing w:lineRule="auto" w:line="300" w:before="0" w:after="0"/>
        <w:ind w:firstLine="1418" w:end="0"/>
        <w:jc w:val="both"/>
        <w:rPr>
          <w:rFonts w:ascii="Calibri" w:hAnsi="Calibri" w:eastAsia="Times New Roman" w:cs="Calibri"/>
          <w:color w:val="000000"/>
          <w:sz w:val="22"/>
          <w:szCs w:val="22"/>
          <w:lang w:val="pt-BR" w:eastAsia="pt-BR"/>
        </w:rPr>
      </w:pPr>
      <w:r>
        <w:rPr>
          <w:rFonts w:eastAsia="Times New Roman" w:cs="Calibri" w:ascii="Calibri" w:hAnsi="Calibri"/>
          <w:color w:val="000000"/>
          <w:sz w:val="22"/>
          <w:szCs w:val="22"/>
          <w:lang w:val="pt-BR" w:eastAsia="pt-BR"/>
        </w:rPr>
      </w:r>
    </w:p>
    <w:p>
      <w:pPr>
        <w:pStyle w:val="NormalWeb"/>
        <w:spacing w:lineRule="auto" w:line="300" w:before="0" w:after="0"/>
        <w:ind w:firstLine="1418" w:end="0"/>
        <w:jc w:val="both"/>
        <w:rPr>
          <w:rFonts w:ascii="Calibri" w:hAnsi="Calibri" w:cs="Calibri"/>
          <w:color w:val="000000"/>
          <w:sz w:val="22"/>
          <w:szCs w:val="22"/>
          <w:shd w:fill="FFFFFF" w:val="clear"/>
        </w:rPr>
      </w:pPr>
      <w:r>
        <w:rPr>
          <w:rFonts w:cs="Calibri" w:ascii="Calibri" w:hAnsi="Calibri"/>
          <w:color w:val="000000"/>
          <w:sz w:val="22"/>
          <w:szCs w:val="22"/>
          <w:shd w:fill="FFFFFF" w:val="clear"/>
        </w:rPr>
        <w:t xml:space="preserve">A doutrina também é pacífica ao reconhecer que o dano moral prescinde de prova direta, tratando-se de lesão de natureza imaterial. Nesse sentido, leciona Sérgio Cavalieri Filho que o dano moral se configura </w:t>
      </w:r>
      <w:r>
        <w:rPr>
          <w:rFonts w:cs="Calibri" w:ascii="Calibri" w:hAnsi="Calibri"/>
          <w:i/>
          <w:iCs/>
          <w:color w:val="000000"/>
          <w:sz w:val="22"/>
          <w:szCs w:val="22"/>
          <w:shd w:fill="FFFFFF" w:val="clear"/>
        </w:rPr>
        <w:t>in re ipsa</w:t>
      </w:r>
      <w:r>
        <w:rPr>
          <w:rFonts w:cs="Calibri" w:ascii="Calibri" w:hAnsi="Calibri"/>
          <w:color w:val="000000"/>
          <w:sz w:val="22"/>
          <w:szCs w:val="22"/>
          <w:shd w:fill="FFFFFF" w:val="clear"/>
        </w:rPr>
        <w:t>, sendo suficiente a demonstração do fato lesivo para que surja o dever de indenizar, dispensando-se a comprovação do sofrimento psicológico experimentado pela vítima.</w:t>
      </w:r>
    </w:p>
    <w:p>
      <w:pPr>
        <w:pStyle w:val="NormalWeb"/>
        <w:spacing w:lineRule="auto" w:line="300" w:before="0" w:after="0"/>
        <w:ind w:firstLine="1418" w:end="0"/>
        <w:jc w:val="both"/>
        <w:rPr>
          <w:rFonts w:ascii="Calibri" w:hAnsi="Calibri" w:cs="Calibri"/>
          <w:color w:val="000000"/>
          <w:sz w:val="22"/>
          <w:szCs w:val="22"/>
          <w:shd w:fill="FFFFFF" w:val="clear"/>
        </w:rPr>
      </w:pPr>
      <w:r>
        <w:rPr>
          <w:rFonts w:cs="Calibri" w:ascii="Calibri" w:hAnsi="Calibri"/>
          <w:color w:val="000000"/>
          <w:sz w:val="22"/>
          <w:szCs w:val="22"/>
          <w:shd w:fill="FFFFFF" w:val="clear"/>
        </w:rPr>
      </w:r>
    </w:p>
    <w:p>
      <w:pPr>
        <w:pStyle w:val="Normal"/>
        <w:spacing w:lineRule="auto" w:line="240"/>
        <w:ind w:start="2268" w:end="0"/>
        <w:jc w:val="both"/>
        <w:rPr/>
      </w:pPr>
      <w:r>
        <w:rPr>
          <w:rFonts w:cs="Calibri"/>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pPr>
        <w:pStyle w:val="NormalWeb"/>
        <w:spacing w:lineRule="auto" w:line="300" w:before="0" w:after="0"/>
        <w:ind w:firstLine="1418" w:end="0"/>
        <w:jc w:val="both"/>
        <w:rPr>
          <w:rFonts w:ascii="Calibri" w:hAnsi="Calibri" w:cs="Calibri"/>
          <w:color w:val="000000"/>
          <w:sz w:val="22"/>
          <w:szCs w:val="22"/>
          <w:shd w:fill="FFFFFF" w:val="clear"/>
          <w:lang w:val="pt-BR"/>
        </w:rPr>
      </w:pPr>
      <w:r>
        <w:rPr>
          <w:rFonts w:cs="Calibri" w:ascii="Calibri" w:hAnsi="Calibri"/>
          <w:color w:val="000000"/>
          <w:sz w:val="22"/>
          <w:szCs w:val="22"/>
          <w:shd w:fill="FFFFFF" w:val="clear"/>
          <w:lang w:val="pt-BR"/>
        </w:rPr>
      </w:r>
    </w:p>
    <w:p>
      <w:pPr>
        <w:pStyle w:val="NormalWeb"/>
        <w:spacing w:lineRule="auto" w:line="300" w:before="0" w:after="0"/>
        <w:ind w:firstLine="1418" w:end="0"/>
        <w:jc w:val="both"/>
        <w:rPr/>
      </w:pPr>
      <w:r>
        <w:rPr>
          <w:rFonts w:cs="Calibri" w:ascii="Calibri" w:hAnsi="Calibri"/>
          <w:color w:val="000000"/>
          <w:sz w:val="22"/>
          <w:szCs w:val="22"/>
          <w:shd w:fill="FFFFFF" w:val="clear"/>
        </w:rPr>
        <w:t xml:space="preserve">No tocante ao </w:t>
      </w:r>
      <w:r>
        <w:rPr>
          <w:rFonts w:cs="Calibri" w:ascii="Calibri" w:hAnsi="Calibri"/>
          <w:i/>
          <w:iCs/>
          <w:color w:val="000000"/>
          <w:sz w:val="22"/>
          <w:szCs w:val="22"/>
          <w:shd w:fill="FFFFFF" w:val="clear"/>
        </w:rPr>
        <w:t>quantum</w:t>
      </w:r>
      <w:r>
        <w:rPr>
          <w:rFonts w:cs="Calibri" w:ascii="Calibri" w:hAnsi="Calibri"/>
          <w:color w:val="000000"/>
          <w:sz w:val="22"/>
          <w:szCs w:val="22"/>
          <w:shd w:fill="FFFFFF" w:val="clear"/>
        </w:rPr>
        <w:t xml:space="preserve"> indenizatório, este deve ser fixado segundo o prudente arbítrio do magistrado, observando-se os critérios da razoabilidade e proporcionalidade, considerando-se a gravidade da ofensa, a extensão do dano, a condição econômica das partes e o caráter pedagógico e punitivo da indenização, de modo a compensar a vítima e desestimular a reiteração da conduta ilícita.</w:t>
      </w:r>
    </w:p>
    <w:p>
      <w:pPr>
        <w:pStyle w:val="NormalWeb"/>
        <w:spacing w:lineRule="auto" w:line="300" w:before="0" w:after="0"/>
        <w:ind w:firstLine="1418" w:end="0"/>
        <w:jc w:val="both"/>
        <w:rPr>
          <w:rFonts w:ascii="Calibri" w:hAnsi="Calibri" w:cs="Calibri"/>
          <w:color w:val="000000"/>
          <w:sz w:val="20"/>
          <w:szCs w:val="20"/>
          <w:shd w:fill="FFFFFF" w:val="clear"/>
        </w:rPr>
      </w:pPr>
      <w:r>
        <w:rPr>
          <w:rFonts w:cs="Calibri" w:ascii="Calibri" w:hAnsi="Calibri"/>
          <w:color w:val="000000"/>
          <w:sz w:val="20"/>
          <w:szCs w:val="20"/>
          <w:shd w:fill="FFFFFF" w:val="clear"/>
        </w:rPr>
      </w:r>
    </w:p>
    <w:p>
      <w:pPr>
        <w:pStyle w:val="NormalWeb"/>
        <w:spacing w:lineRule="auto" w:line="300" w:before="0" w:after="0"/>
        <w:ind w:firstLine="1418" w:end="0"/>
        <w:jc w:val="both"/>
        <w:rPr>
          <w:rFonts w:ascii="Calibri" w:hAnsi="Calibri" w:cs="Calibri"/>
          <w:color w:val="000000"/>
          <w:sz w:val="22"/>
          <w:szCs w:val="22"/>
          <w:shd w:fill="FFFFFF" w:val="clear"/>
        </w:rPr>
      </w:pPr>
      <w:r>
        <w:rPr>
          <w:rFonts w:cs="Calibri" w:ascii="Calibri" w:hAnsi="Calibri"/>
          <w:color w:val="000000"/>
          <w:sz w:val="22"/>
          <w:szCs w:val="22"/>
          <w:shd w:fill="FFFFFF" w:val="clear"/>
        </w:rPr>
        <w:t xml:space="preserve">Diante da gravidade da conduta do requerido, da expressiva disparidade econômica entre as partes e da necessidade de repressão eficaz às práticas abusivas no mercado de consumo, revela-se justo, adequado e proporcional o arbitramento da indenização por danos morais no valor de </w:t>
      </w:r>
      <w:r>
        <w:rPr>
          <w:rFonts w:cs="Calibri" w:ascii="Calibri" w:hAnsi="Calibri"/>
          <w:b/>
          <w:bCs/>
          <w:color w:val="000000"/>
          <w:sz w:val="22"/>
          <w:szCs w:val="22"/>
          <w:shd w:fill="FFFFFF" w:val="clear"/>
        </w:rPr>
        <w:t>R$ 10.000,00 (dez mil reais)</w:t>
      </w:r>
      <w:r>
        <w:rPr>
          <w:rFonts w:cs="Calibri" w:ascii="Calibri" w:hAnsi="Calibri"/>
          <w:color w:val="000000"/>
          <w:sz w:val="22"/>
          <w:szCs w:val="22"/>
          <w:shd w:fill="FFFFFF" w:val="clear"/>
        </w:rPr>
        <w:t>.</w:t>
      </w:r>
    </w:p>
    <w:p>
      <w:pPr>
        <w:pStyle w:val="NormalWeb"/>
        <w:spacing w:lineRule="auto" w:line="300" w:before="0" w:after="0"/>
        <w:ind w:firstLine="1418" w:end="0"/>
        <w:jc w:val="both"/>
        <w:rPr>
          <w:rFonts w:ascii="Calibri" w:hAnsi="Calibri" w:cs="Calibri"/>
          <w:color w:val="000000"/>
          <w:sz w:val="22"/>
          <w:szCs w:val="22"/>
          <w:shd w:fill="FFFFFF" w:val="clear"/>
        </w:rPr>
      </w:pPr>
      <w:r>
        <w:rPr>
          <w:rFonts w:cs="Calibri" w:ascii="Calibri" w:hAnsi="Calibri"/>
          <w:color w:val="000000"/>
          <w:sz w:val="22"/>
          <w:szCs w:val="22"/>
          <w:shd w:fill="FFFFFF" w:val="clear"/>
        </w:rPr>
      </w:r>
    </w:p>
    <w:p>
      <w:pPr>
        <w:pStyle w:val="NormalWeb"/>
        <w:spacing w:lineRule="auto" w:line="300" w:before="0" w:after="0"/>
        <w:ind w:firstLine="1418" w:end="0"/>
        <w:jc w:val="both"/>
        <w:rPr/>
      </w:pPr>
      <w:r>
        <w:rPr>
          <w:rFonts w:cs="Calibri" w:ascii="Calibri" w:hAnsi="Calibri"/>
          <w:color w:val="000000"/>
          <w:sz w:val="22"/>
          <w:szCs w:val="22"/>
          <w:shd w:fill="FFFFFF" w:val="clear"/>
        </w:rPr>
        <w:t xml:space="preserve">Assim, diante de todo o exposto, pugna a parte autora pela condenação do banco requerido ao pagamento de </w:t>
      </w:r>
      <w:r>
        <w:rPr>
          <w:rFonts w:cs="Calibri" w:ascii="Calibri" w:hAnsi="Calibri"/>
          <w:b/>
          <w:bCs/>
          <w:color w:val="000000"/>
          <w:sz w:val="22"/>
          <w:szCs w:val="22"/>
          <w:shd w:fill="FFFFFF" w:val="clear"/>
        </w:rPr>
        <w:t>indenização por danos morais no valor de R$ 10.000,00</w:t>
      </w:r>
      <w:r>
        <w:rPr>
          <w:rFonts w:cs="Calibri" w:ascii="Calibri" w:hAnsi="Calibri"/>
          <w:color w:val="000000"/>
          <w:sz w:val="22"/>
          <w:szCs w:val="22"/>
          <w:shd w:fill="FFFFFF" w:val="clear"/>
        </w:rPr>
        <w:t>, acrescida de correção monetária a partir da data do arbitramento, nos termos da Súmula nº 362 do STJ e juros moratórios de 1% (um por cento) ao mês, a contar do evento danoso, conforme orientação da Súmula nº 54 do STJ, como medida de justiça, compensação e efetiva tutela dos direitos da consumidora.</w:t>
      </w:r>
    </w:p>
    <w:p>
      <w:pPr>
        <w:pStyle w:val="Normal"/>
        <w:spacing w:lineRule="auto" w:line="300"/>
        <w:jc w:val="both"/>
        <w:rPr>
          <w:rFonts w:ascii="Calibri" w:hAnsi="Calibri" w:cs="Calibri"/>
          <w:color w:val="FF0000"/>
          <w:sz w:val="22"/>
          <w:szCs w:val="22"/>
          <w:shd w:fill="FFFFFF" w:val="clear"/>
          <w:lang w:val="pt-BR"/>
        </w:rPr>
      </w:pPr>
      <w:r>
        <w:rPr>
          <w:rFonts w:cs="Calibri"/>
          <w:color w:val="FF0000"/>
          <w:sz w:val="22"/>
          <w:szCs w:val="22"/>
          <w:shd w:fill="FFFFFF" w:val="clear"/>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rFonts w:cs="Calibri"/>
          <w:b/>
        </w:rPr>
      </w:pPr>
      <w:r>
        <w:rPr>
          <w:rFonts w:cs="Calibri"/>
          <w:b/>
        </w:rPr>
        <w:t>4 - DA INVERSÃO DO ÔNUS DA PROVA</w:t>
      </w:r>
    </w:p>
    <w:p>
      <w:pPr>
        <w:pStyle w:val="Normal"/>
        <w:spacing w:lineRule="auto" w:line="300"/>
        <w:ind w:firstLine="1416" w:end="0"/>
        <w:jc w:val="both"/>
        <w:textAlignment w:val="top"/>
        <w:rPr>
          <w:rFonts w:cs="Calibri"/>
          <w:b/>
          <w:lang w:val="pt-BR"/>
        </w:rPr>
      </w:pPr>
      <w:r>
        <w:rPr>
          <w:rFonts w:cs="Calibri"/>
          <w:b/>
          <w:lang w:val="pt-BR"/>
        </w:rPr>
      </w:r>
    </w:p>
    <w:p>
      <w:pPr>
        <w:pStyle w:val="Normal"/>
        <w:spacing w:lineRule="auto" w:line="300"/>
        <w:ind w:firstLine="1418" w:end="0"/>
        <w:jc w:val="both"/>
        <w:textAlignment w:val="top"/>
        <w:rPr>
          <w:rFonts w:cs="Calibri"/>
          <w:lang w:val="pt-BR"/>
        </w:rPr>
      </w:pPr>
      <w:r>
        <w:rPr>
          <w:rFonts w:cs="Calibri"/>
          <w:lang w:val="pt-BR"/>
        </w:rPr>
        <w:t>A disciplina do ônus da prova possui especial relevância no processo civil, sobretudo nas demandas que envolvem relações de consumo, uma vez que sua inadequada distribuição pode acarretar severo prejuízo à parte hipossuficiente, esvaziando a efetividade da tutela jurisdicional.</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Nos termos da regra geral estabelecida pelo art. 373, incisos I e II, do Código de Processo Civil, incumbe à parte autora a prova dos fatos constitutivos de seu direito, competindo à parte ré a demonstração de fatos impeditivos, modificativos ou extintivos. Todavia, tal sistemática não se revela suficiente para assegurar a igualdade material entre as partes nas relações consumeristas, marcadas por evidente assimetria técnica, econômica e informacional.</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Com o escopo de mitigar essa desigualdade, o Código de Defesa do Consumidor, enquanto microssistema protetivo, instituiu tratamento diferenciado ao consumidor, reconhecendo-lhe a condição de parte vulnerável na relação jurídica, especialmente diante das instituições financeiras, que detêm domínio técnico, documental e informacional sobre os serviços prestados.</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rFonts w:cs="Calibri"/>
          <w:lang w:val="pt-BR"/>
        </w:rPr>
      </w:pPr>
      <w:r>
        <w:rPr>
          <w:rFonts w:cs="Calibri"/>
          <w:lang w:val="pt-BR"/>
        </w:rPr>
        <w:t>Nesse contexto, o art. 6º, inciso VIII, do CDC consagrou a inversão do ônus da prova como direito básico do consumidor, ao dispor que:</w:t>
      </w:r>
    </w:p>
    <w:p>
      <w:pPr>
        <w:pStyle w:val="Normal"/>
        <w:spacing w:lineRule="auto" w:line="300"/>
        <w:ind w:firstLine="2835" w:end="0"/>
        <w:jc w:val="both"/>
        <w:textAlignment w:val="top"/>
        <w:rPr>
          <w:rFonts w:cs="Calibri"/>
          <w:lang w:val="pt-BR"/>
        </w:rPr>
      </w:pPr>
      <w:r>
        <w:rPr>
          <w:rFonts w:cs="Calibri"/>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 6º, VIII – São direitos básicos do consumidor:</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pPr>
        <w:pStyle w:val="Normal"/>
        <w:spacing w:lineRule="auto" w:line="300"/>
        <w:ind w:firstLine="2835" w:end="0"/>
        <w:jc w:val="both"/>
        <w:textAlignment w:val="top"/>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textAlignment w:val="top"/>
        <w:rPr>
          <w:rFonts w:cs="Calibri"/>
          <w:lang w:val="pt-BR"/>
        </w:rPr>
      </w:pPr>
      <w:r>
        <w:rPr>
          <w:rFonts w:cs="Calibri"/>
          <w:lang w:val="pt-BR"/>
        </w:rPr>
        <w:t>Da exegese do referido dispositivo legal, extrai-se que a inversão do ônus probatório pode ser concedida sempre que presente, alternativamente, a verossimilhança das alegações ou a hipossuficiência do consumidor, sendo certo que ambos os requisitos se encontram devidamente configurados no caso concreto.</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No presente feito, a verossimilhança das alegações da parte autora está comprovada por meio da documentação juntada aos autos, notadamente o contrato de refinanciamento consignado e a comparação objetiva entre a taxa de juros pactuada e a taxa média praticada no mercado, conforme dados oficiais do Banco Central do Brasil, evidenciando, de forma clara, a cobrança de juros abusivos.</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De igual modo, mostra-se patente a hipossuficiência técnica e informacional da parte autora, que não detém acesso aos meios internos de cálculo, aos critérios de formação do </w:t>
      </w:r>
      <w:r>
        <w:rPr>
          <w:rFonts w:cs="Calibri"/>
          <w:i/>
          <w:iCs/>
          <w:lang w:val="pt-BR"/>
        </w:rPr>
        <w:t>spread</w:t>
      </w:r>
      <w:r>
        <w:rPr>
          <w:rFonts w:cs="Calibri"/>
          <w:lang w:val="pt-BR"/>
        </w:rPr>
        <w:t xml:space="preserve"> bancário, às metodologias de precificação do crédito nem aos sistemas utilizados pelo banco requerido para definição da taxa de juros aplicada, elementos estes exclusivamente sob domínio da instituição financeira.</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rFonts w:cs="Calibri"/>
          <w:lang w:val="pt-BR"/>
        </w:rPr>
      </w:pPr>
      <w:r>
        <w:rPr>
          <w:rFonts w:cs="Calibri"/>
          <w:lang w:val="pt-BR"/>
        </w:rPr>
        <w:t>Dessa forma, a ausência de inversão do ônus da prova importaria em indevida transferência ao consumidor de encargo probatório impossível ou excessivamente oneroso, comprometendo o próprio direito de defesa e afrontando os princípios da isonomia material, da boa-fé objetiva e do acesso efetivo à justiça.</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Assim, diante da comprovada relação de consumo, da verossimilhança das alegações e da hipossuficiência da parte requerente, é medida que se impõe a </w:t>
      </w:r>
      <w:r>
        <w:rPr>
          <w:rFonts w:cs="Calibri"/>
          <w:b/>
          <w:bCs/>
          <w:lang w:val="pt-BR"/>
        </w:rPr>
        <w:t>INVERSÃO DO ÔNUS DA PROVA</w:t>
      </w:r>
      <w:r>
        <w:rPr>
          <w:rFonts w:cs="Calibri"/>
          <w:lang w:val="pt-BR"/>
        </w:rPr>
        <w:t>, nos termos do art. 6º, inciso VIII, do Código de Defesa do Consumidor, determinando-se que o banco requerido comprove a regularidade da taxa de juros aplicada, a adequação dos encargos financeiros e a inexistência de abusividade, ônus do qual, no caso concreto, não pode se furtar.</w:t>
      </w:r>
    </w:p>
    <w:p>
      <w:pPr>
        <w:pStyle w:val="Normal"/>
        <w:spacing w:lineRule="auto" w:line="300"/>
        <w:jc w:val="both"/>
        <w:textAlignment w:val="top"/>
        <w:rPr>
          <w:rFonts w:cs="Calibri"/>
          <w:lang w:val="pt-BR"/>
        </w:rPr>
      </w:pPr>
      <w:r>
        <w:rPr>
          <w:rFonts w:cs="Calibri"/>
          <w:lang w:val="pt-BR"/>
        </w:rPr>
      </w:r>
    </w:p>
    <w:p>
      <w:pPr>
        <w:pStyle w:val="Normal"/>
        <w:numPr>
          <w:ilvl w:val="0"/>
          <w:numId w:val="3"/>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ind w:hanging="142" w:start="142" w:end="0"/>
        <w:jc w:val="center"/>
        <w:textAlignment w:val="top"/>
        <w:rPr>
          <w:rFonts w:cs="Calibri"/>
          <w:b/>
          <w:bCs/>
          <w:lang w:val="pt-BR"/>
        </w:rPr>
      </w:pPr>
      <w:r>
        <w:rPr>
          <w:rFonts w:cs="Calibri"/>
          <w:b/>
          <w:bCs/>
          <w:lang w:val="pt-BR"/>
        </w:rPr>
        <w:t>– DOS PEDIDOS</w:t>
      </w:r>
    </w:p>
    <w:p>
      <w:pPr>
        <w:pStyle w:val="Normal"/>
        <w:spacing w:lineRule="auto" w:line="300"/>
        <w:ind w:start="360" w:end="0"/>
        <w:jc w:val="both"/>
        <w:textAlignment w:val="top"/>
        <w:rPr>
          <w:rFonts w:cs="Calibri"/>
          <w:b/>
          <w:bCs/>
          <w:lang w:val="pt-BR"/>
        </w:rPr>
      </w:pPr>
      <w:r>
        <w:rPr>
          <w:rFonts w:cs="Calibri"/>
          <w:b/>
          <w:bCs/>
          <w:lang w:val="pt-BR"/>
        </w:rPr>
      </w:r>
    </w:p>
    <w:p>
      <w:pPr>
        <w:pStyle w:val="PargrafodaLista"/>
        <w:spacing w:lineRule="auto" w:line="300" w:before="0" w:after="0"/>
        <w:ind w:firstLine="1418" w:start="0" w:end="0"/>
        <w:contextualSpacing/>
        <w:jc w:val="both"/>
        <w:rPr>
          <w:rFonts w:cs="Calibri"/>
        </w:rPr>
      </w:pPr>
      <w:r>
        <w:rPr>
          <w:rFonts w:cs="Calibri"/>
        </w:rPr>
        <w:t>Diante de todo o exposto, requer a parte autora a Vossa Excelência que se digne a:</w:t>
      </w:r>
    </w:p>
    <w:p>
      <w:pPr>
        <w:pStyle w:val="PargrafodaLista"/>
        <w:spacing w:lineRule="auto" w:line="300" w:before="0" w:after="0"/>
        <w:ind w:firstLine="1418" w:start="0" w:end="0"/>
        <w:contextualSpacing/>
        <w:jc w:val="both"/>
        <w:rPr>
          <w:rFonts w:cs="Calibri"/>
          <w:b/>
          <w:bCs/>
        </w:rPr>
      </w:pPr>
      <w:r>
        <w:rPr>
          <w:rFonts w:cs="Calibri"/>
          <w:b/>
          <w:bCs/>
        </w:rPr>
      </w:r>
    </w:p>
    <w:p>
      <w:pPr>
        <w:pStyle w:val="PargrafodaLista"/>
        <w:numPr>
          <w:ilvl w:val="0"/>
          <w:numId w:val="6"/>
        </w:numPr>
        <w:spacing w:lineRule="auto" w:line="300" w:before="0" w:after="0"/>
        <w:ind w:firstLine="1418" w:start="0" w:end="0"/>
        <w:contextualSpacing/>
        <w:jc w:val="both"/>
        <w:rPr>
          <w:rFonts w:cs="Calibri"/>
        </w:rPr>
      </w:pPr>
      <w:r>
        <w:rPr>
          <w:rFonts w:cs="Calibri"/>
        </w:rPr>
        <w:t>Determinar a citação do requerido, no endereço informado nos autos, na pessoa de seu representante legal, para, querendo, comparecer à audiência de conciliação, instrução e julgamento, bem como apresentar contestação no prazo legal, sob pena de revelia e confissão quanto à matéria de fato, nos termos dos arts. 246 e 344 do CPC;</w:t>
      </w:r>
    </w:p>
    <w:p>
      <w:pPr>
        <w:pStyle w:val="PargrafodaLista"/>
        <w:spacing w:before="0" w:after="0"/>
        <w:contextualSpacing/>
        <w:rPr>
          <w:rFonts w:cs="Calibri"/>
        </w:rPr>
      </w:pPr>
      <w:r>
        <w:rPr>
          <w:rFonts w:cs="Calibri"/>
        </w:rPr>
      </w:r>
    </w:p>
    <w:p>
      <w:pPr>
        <w:pStyle w:val="PargrafodaLista"/>
        <w:numPr>
          <w:ilvl w:val="0"/>
          <w:numId w:val="6"/>
        </w:numPr>
        <w:spacing w:lineRule="auto" w:line="300" w:before="0" w:after="0"/>
        <w:ind w:firstLine="1418" w:start="0" w:end="0"/>
        <w:contextualSpacing/>
        <w:jc w:val="both"/>
        <w:rPr>
          <w:rFonts w:ascii="Aptos" w:hAnsi="Aptos" w:cs="Aptos"/>
          <w:color w:val="000000"/>
        </w:rPr>
      </w:pPr>
      <w:r>
        <w:rPr>
          <w:rFonts w:cs="Calibri"/>
        </w:rPr>
        <w:t>Reconhecer a aplicabilidade do Código de Defesa do Consumidor ao caso concreto, declarando-se a responsabilidade objetiva do requerido;</w:t>
      </w:r>
    </w:p>
    <w:p>
      <w:pPr>
        <w:pStyle w:val="PargrafodaLista"/>
        <w:spacing w:before="0" w:after="0"/>
        <w:contextualSpacing/>
        <w:rPr>
          <w:rFonts w:ascii="Aptos" w:hAnsi="Aptos" w:cs="Calibri"/>
          <w:color w:val="000000"/>
        </w:rPr>
      </w:pPr>
      <w:r>
        <w:rPr>
          <w:rFonts w:cs="Calibri" w:ascii="Aptos" w:hAnsi="Aptos"/>
          <w:color w:val="000000"/>
        </w:rPr>
      </w:r>
    </w:p>
    <w:p>
      <w:pPr>
        <w:pStyle w:val="PargrafodaLista"/>
        <w:numPr>
          <w:ilvl w:val="0"/>
          <w:numId w:val="6"/>
        </w:numPr>
        <w:spacing w:lineRule="auto" w:line="300" w:before="0" w:after="0"/>
        <w:ind w:firstLine="1418" w:start="0" w:end="0"/>
        <w:contextualSpacing/>
        <w:jc w:val="both"/>
        <w:rPr>
          <w:rFonts w:ascii="Aptos" w:hAnsi="Aptos" w:cs="Aptos"/>
          <w:color w:val="000000"/>
        </w:rPr>
      </w:pPr>
      <w:r>
        <w:rPr>
          <w:rFonts w:cs="Calibri"/>
        </w:rPr>
        <w:t xml:space="preserve">Determinar a </w:t>
      </w:r>
      <w:r>
        <w:rPr>
          <w:rFonts w:cs="Calibri"/>
          <w:b/>
          <w:bCs/>
        </w:rPr>
        <w:t>inversão do ônus da prova</w:t>
      </w:r>
      <w:r>
        <w:rPr>
          <w:rFonts w:cs="Calibri"/>
        </w:rPr>
        <w:t>, em favor da parte autora, nos termos do art. 6º, inciso VIII, do CDC, diante da verossimilhança das alegações e da hipossuficiência técnica e informacional do consumidor;</w:t>
      </w:r>
    </w:p>
    <w:p>
      <w:pPr>
        <w:pStyle w:val="PargrafodaLista"/>
        <w:spacing w:before="0" w:after="0"/>
        <w:contextualSpacing/>
        <w:rPr>
          <w:rFonts w:ascii="Aptos" w:hAnsi="Aptos" w:cs="Calibri"/>
          <w:color w:val="000000"/>
        </w:rPr>
      </w:pPr>
      <w:r>
        <w:rPr>
          <w:rFonts w:cs="Calibri" w:ascii="Aptos" w:hAnsi="Aptos"/>
          <w:color w:val="000000"/>
        </w:rPr>
      </w:r>
    </w:p>
    <w:p>
      <w:pPr>
        <w:pStyle w:val="PargrafodaLista"/>
        <w:numPr>
          <w:ilvl w:val="0"/>
          <w:numId w:val="6"/>
        </w:numPr>
        <w:spacing w:lineRule="auto" w:line="300" w:before="0" w:after="0"/>
        <w:ind w:firstLine="1418" w:start="0" w:end="0"/>
        <w:contextualSpacing/>
        <w:jc w:val="both"/>
        <w:rPr>
          <w:rFonts w:cs="Calibri"/>
        </w:rPr>
      </w:pPr>
      <w:r>
        <w:rPr>
          <w:rFonts w:cs="Calibri"/>
        </w:rPr>
        <w:t xml:space="preserve">Determinar a </w:t>
      </w:r>
      <w:r>
        <w:rPr>
          <w:rFonts w:cs="Calibri"/>
          <w:b/>
          <w:bCs/>
        </w:rPr>
        <w:t>tramitação do feito sob a modalidade do Juízo 100% Digital</w:t>
      </w:r>
      <w:r>
        <w:rPr>
          <w:rFonts w:cs="Calibri"/>
        </w:rPr>
        <w:t>, nos termos da Resolução nº 345/2020 do CNJ e da Portaria nº 2.330/2020 do TJAM, caso não haja oposição das partes;</w:t>
      </w:r>
    </w:p>
    <w:p>
      <w:pPr>
        <w:pStyle w:val="PargrafodaLista"/>
        <w:spacing w:before="0" w:after="0"/>
        <w:contextualSpacing/>
        <w:rPr>
          <w:rFonts w:cs="Calibri"/>
        </w:rPr>
      </w:pPr>
      <w:r>
        <w:rPr>
          <w:rFonts w:cs="Calibri"/>
        </w:rPr>
      </w:r>
    </w:p>
    <w:p>
      <w:pPr>
        <w:pStyle w:val="PargrafodaLista"/>
        <w:numPr>
          <w:ilvl w:val="0"/>
          <w:numId w:val="6"/>
        </w:numPr>
        <w:spacing w:lineRule="auto" w:line="300" w:before="0" w:after="0"/>
        <w:ind w:firstLine="1418" w:start="0" w:end="0"/>
        <w:contextualSpacing/>
        <w:jc w:val="both"/>
        <w:rPr>
          <w:rFonts w:cs="Calibri"/>
        </w:rPr>
      </w:pPr>
      <w:r>
        <w:rPr>
          <w:rFonts w:cs="Calibri"/>
        </w:rPr>
        <w:t xml:space="preserve">Conceder à parte autora os </w:t>
      </w:r>
      <w:r>
        <w:rPr>
          <w:rFonts w:cs="Calibri"/>
          <w:b/>
          <w:bCs/>
        </w:rPr>
        <w:t>benefícios da justiça gratuita</w:t>
      </w:r>
      <w:r>
        <w:rPr>
          <w:rFonts w:cs="Calibri"/>
        </w:rPr>
        <w:t>, nos termos do art. 98 do CPC, c/c art. 9º, I, da Constituição do Estado do Amazonas, por ser pessoa hipossuficiente na forma da lei;</w:t>
      </w:r>
    </w:p>
    <w:p>
      <w:pPr>
        <w:pStyle w:val="PargrafodaLista"/>
        <w:spacing w:before="0" w:after="0"/>
        <w:contextualSpacing/>
        <w:rPr>
          <w:rFonts w:cs="Calibri"/>
        </w:rPr>
      </w:pPr>
      <w:r>
        <w:rPr>
          <w:rFonts w:cs="Calibri"/>
        </w:rPr>
      </w:r>
    </w:p>
    <w:p>
      <w:pPr>
        <w:pStyle w:val="PargrafodaLista"/>
        <w:numPr>
          <w:ilvl w:val="0"/>
          <w:numId w:val="6"/>
        </w:numPr>
        <w:spacing w:lineRule="auto" w:line="300" w:before="0" w:after="0"/>
        <w:ind w:firstLine="1418" w:start="0" w:end="0"/>
        <w:contextualSpacing/>
        <w:jc w:val="both"/>
        <w:rPr>
          <w:rFonts w:cs="Calibri"/>
        </w:rPr>
      </w:pPr>
      <w:r>
        <w:rPr>
          <w:rFonts w:cs="Calibri"/>
        </w:rPr>
        <w:t xml:space="preserve">Ao final, </w:t>
      </w:r>
      <w:r>
        <w:rPr>
          <w:rFonts w:cs="Calibri"/>
          <w:b/>
          <w:bCs/>
        </w:rPr>
        <w:t>julgar TOTALMENTE PROCEDENTES os pedidos</w:t>
      </w:r>
      <w:r>
        <w:rPr>
          <w:rFonts w:cs="Calibri"/>
        </w:rPr>
        <w:t>, para:</w:t>
      </w:r>
    </w:p>
    <w:p>
      <w:pPr>
        <w:pStyle w:val="PargrafodaLista"/>
        <w:spacing w:lineRule="auto" w:line="300" w:before="0" w:after="0"/>
        <w:ind w:firstLine="1418" w:start="0" w:end="0"/>
        <w:contextualSpacing/>
        <w:jc w:val="both"/>
        <w:rPr>
          <w:rFonts w:cs="Calibri"/>
          <w:b/>
          <w:bCs/>
        </w:rPr>
      </w:pPr>
      <w:r>
        <w:rPr>
          <w:rFonts w:cs="Calibri"/>
          <w:b/>
          <w:bCs/>
        </w:rPr>
      </w:r>
    </w:p>
    <w:p>
      <w:pPr>
        <w:pStyle w:val="PargrafodaLista"/>
        <w:spacing w:lineRule="auto" w:line="300" w:before="0" w:after="0"/>
        <w:ind w:firstLine="1418" w:start="0" w:end="0"/>
        <w:contextualSpacing/>
        <w:jc w:val="both"/>
        <w:rPr>
          <w:rFonts w:cs="Calibri"/>
          <w:b/>
          <w:bCs/>
        </w:rPr>
      </w:pPr>
      <w:r>
        <w:rPr>
          <w:rFonts w:cs="Calibri"/>
        </w:rPr>
        <w:t xml:space="preserve">f.1) </w:t>
      </w:r>
      <w:r>
        <w:rPr>
          <w:rFonts w:cs="Calibri"/>
          <w:b/>
          <w:bCs/>
        </w:rPr>
        <w:t>Reconhecer a abusividade da taxa de juros remuneratórios</w:t>
      </w:r>
      <w:r>
        <w:rPr>
          <w:rFonts w:cs="Calibri"/>
        </w:rPr>
        <w:t xml:space="preserve"> aplicada pelo requerido no contrato de empréstimo consignado, declarando nulas as cláusulas abusivas e determinando a revisão contratual, com a </w:t>
      </w:r>
      <w:r>
        <w:rPr>
          <w:rFonts w:cs="Calibri"/>
          <w:b/>
          <w:bCs/>
        </w:rPr>
        <w:t>redução da taxa de juros ao patamar da taxa média de mercado divulgada pelo Banco Central do Brasil à época da contratação (novembro/2025), qual seja, 6,44% ao mês e 111,49% ao ano</w:t>
      </w:r>
      <w:r>
        <w:rPr>
          <w:rFonts w:cs="Calibri"/>
        </w:rPr>
        <w:t xml:space="preserve">, substituindo-se a taxa originalmente aplicada de </w:t>
      </w:r>
      <w:r>
        <w:rPr>
          <w:rFonts w:cs="Calibri"/>
          <w:b/>
          <w:bCs/>
        </w:rPr>
        <w:t>19,15% a.m. e 718,71% a.a.</w:t>
      </w:r>
      <w:r>
        <w:rPr>
          <w:rFonts w:cs="Calibri"/>
        </w:rPr>
        <w:t>;</w:t>
      </w:r>
    </w:p>
    <w:p>
      <w:pPr>
        <w:pStyle w:val="PargrafodaLista"/>
        <w:spacing w:lineRule="auto" w:line="300" w:before="0" w:after="0"/>
        <w:ind w:firstLine="1418" w:start="0" w:end="0"/>
        <w:contextualSpacing/>
        <w:jc w:val="both"/>
        <w:rPr>
          <w:rFonts w:cs="Calibri"/>
          <w:b/>
          <w:bCs/>
        </w:rPr>
      </w:pPr>
      <w:r>
        <w:rPr>
          <w:rFonts w:cs="Calibri"/>
          <w:b/>
          <w:bCs/>
        </w:rPr>
      </w:r>
    </w:p>
    <w:p>
      <w:pPr>
        <w:pStyle w:val="PargrafodaLista"/>
        <w:spacing w:lineRule="auto" w:line="300" w:before="0" w:after="0"/>
        <w:ind w:firstLine="1418" w:start="0" w:end="0"/>
        <w:contextualSpacing/>
        <w:jc w:val="both"/>
        <w:rPr>
          <w:rFonts w:cs="Calibri"/>
        </w:rPr>
      </w:pPr>
      <w:r>
        <w:rPr>
          <w:rFonts w:cs="Calibri"/>
        </w:rPr>
        <w:t>f.2) Em sendo julgada procedente a revisão da taxa de juros, condenar o banco requerido à restituição, na forma simples, dos valores pagos indevidamente a maior, nos termos do art. 42, parágrafo único, do CDC, a serem apurados em liquidação de sentença, acrescidos de correção monetária a partir da data do efetivo prejuízo (Súmula 43 do STJ) e de juros moratórios de 1% ao mês, a contar do evento danoso (Súmula 54 do STJ);</w:t>
      </w:r>
    </w:p>
    <w:p>
      <w:pPr>
        <w:pStyle w:val="PargrafodaLista"/>
        <w:spacing w:lineRule="auto" w:line="300" w:before="0" w:after="0"/>
        <w:ind w:firstLine="1418" w:start="0" w:end="0"/>
        <w:contextualSpacing/>
        <w:jc w:val="both"/>
        <w:rPr>
          <w:rFonts w:cs="Calibri"/>
        </w:rPr>
      </w:pPr>
      <w:r>
        <w:rPr>
          <w:rFonts w:cs="Calibri"/>
        </w:rPr>
      </w:r>
    </w:p>
    <w:p>
      <w:pPr>
        <w:pStyle w:val="PargrafodaLista"/>
        <w:spacing w:lineRule="auto" w:line="300" w:before="0" w:after="0"/>
        <w:ind w:firstLine="1418" w:start="0" w:end="0"/>
        <w:contextualSpacing/>
        <w:jc w:val="both"/>
        <w:rPr>
          <w:rFonts w:cs="Calibri"/>
        </w:rPr>
      </w:pPr>
      <w:r>
        <w:rPr>
          <w:rFonts w:cs="Calibri"/>
        </w:rPr>
        <w:t xml:space="preserve">f.3) Condenar o requerido ao pagamento de indenização por danos morais, nos termos dos arts. 5º, incisos V e X, da Constituição Federal, art. 6º, inciso VI, do CDC, e arts. 186 e 927 do Código Civil, em valor não inferior a </w:t>
      </w:r>
      <w:r>
        <w:rPr>
          <w:rFonts w:cs="Calibri"/>
          <w:b/>
          <w:bCs/>
        </w:rPr>
        <w:t>R$ 10.000,00 (dez mil reais)</w:t>
      </w:r>
      <w:r>
        <w:rPr>
          <w:rFonts w:cs="Calibri"/>
        </w:rPr>
        <w:t xml:space="preserve"> — ou outro montante que Vossa Excelência entender adequado —, acrescido de correção monetária desde a data do arbitramento (Súmula 362 do STJ) e de juros moratórios de 1% ao mês, a contar do evento danoso (Súmula 54 do STJ);</w:t>
      </w:r>
    </w:p>
    <w:p>
      <w:pPr>
        <w:pStyle w:val="PargrafodaLista"/>
        <w:spacing w:lineRule="auto" w:line="300" w:before="0" w:after="0"/>
        <w:ind w:firstLine="1418" w:start="0" w:end="0"/>
        <w:contextualSpacing/>
        <w:jc w:val="both"/>
        <w:rPr>
          <w:rFonts w:cs="Calibri"/>
        </w:rPr>
      </w:pPr>
      <w:r>
        <w:rPr>
          <w:rFonts w:cs="Calibri"/>
        </w:rPr>
      </w:r>
    </w:p>
    <w:p>
      <w:pPr>
        <w:pStyle w:val="PargrafodaLista"/>
        <w:numPr>
          <w:ilvl w:val="0"/>
          <w:numId w:val="4"/>
        </w:numPr>
        <w:spacing w:lineRule="auto" w:line="300" w:before="0" w:after="0"/>
        <w:ind w:firstLine="1418" w:start="0" w:end="0"/>
        <w:contextualSpacing/>
        <w:jc w:val="both"/>
        <w:rPr>
          <w:rFonts w:cs="Calibri"/>
        </w:rPr>
      </w:pPr>
      <w:r>
        <w:rPr>
          <w:rFonts w:cs="Calibri"/>
        </w:rPr>
        <w:t>Condenar o banco requerido ao pagamento das custas processuais e honorários advocatícios, estes fixados em 20% (vinte por cento) sobre o valor da condenação ou do proveito econômico obtido, nos termos do art. 85, §§ 2º e 11, do CPC;</w:t>
      </w:r>
    </w:p>
    <w:p>
      <w:pPr>
        <w:pStyle w:val="Normal"/>
        <w:spacing w:lineRule="auto" w:line="300"/>
        <w:jc w:val="both"/>
        <w:rPr>
          <w:rFonts w:cs="Calibri"/>
          <w:lang w:val="pt-BR"/>
        </w:rPr>
      </w:pPr>
      <w:r>
        <w:rPr>
          <w:rFonts w:cs="Calibri"/>
          <w:lang w:val="pt-BR"/>
        </w:rPr>
      </w:r>
    </w:p>
    <w:p>
      <w:pPr>
        <w:pStyle w:val="PargrafodaLista"/>
        <w:numPr>
          <w:ilvl w:val="0"/>
          <w:numId w:val="4"/>
        </w:numPr>
        <w:spacing w:lineRule="auto" w:line="300" w:before="0" w:after="0"/>
        <w:ind w:firstLine="1418" w:start="0" w:end="0"/>
        <w:contextualSpacing/>
        <w:jc w:val="both"/>
        <w:rPr>
          <w:rFonts w:cs="Calibri"/>
        </w:rPr>
      </w:pPr>
      <w:r>
        <w:rPr>
          <w:rFonts w:cs="Calibri"/>
        </w:rPr>
        <w:t xml:space="preserve">Determinar que todas as publicações e intimações referente ao presente feito sejam realizadas </w:t>
      </w:r>
      <w:r>
        <w:rPr>
          <w:rFonts w:cs="Calibri"/>
          <w:b/>
          <w:bCs/>
        </w:rPr>
        <w:t>CONJUNTAMENTE</w:t>
      </w:r>
      <w:r>
        <w:rPr>
          <w:rFonts w:cs="Calibri"/>
        </w:rPr>
        <w:t xml:space="preserve"> em nome dos advogados</w:t>
      </w:r>
      <w:r>
        <w:rPr>
          <w:rFonts w:cs="Calibri"/>
          <w:b/>
        </w:rPr>
        <w:t xml:space="preserve"> ANDREY AUGUSTO BENTES RAMOS – OAB/AM 7.526 e GUSTAVO DA SILVA GRILLO – OAB/AM 7.883, sob pena de nulidade, nos termos do art. 272, §5˚, do CPC</w:t>
      </w:r>
      <w:r>
        <w:rPr>
          <w:rFonts w:cs="Calibri"/>
        </w:rPr>
        <w:t>.</w:t>
      </w:r>
    </w:p>
    <w:p>
      <w:pPr>
        <w:pStyle w:val="Normal"/>
        <w:spacing w:lineRule="auto" w:line="300"/>
        <w:ind w:start="2835" w:end="0"/>
        <w:jc w:val="both"/>
        <w:rPr>
          <w:rFonts w:cs="Calibri"/>
          <w:lang w:val="pt-BR"/>
        </w:rPr>
      </w:pPr>
      <w:r>
        <w:rPr>
          <w:rFonts w:cs="Calibri"/>
          <w:lang w:val="pt-BR"/>
        </w:rPr>
      </w:r>
    </w:p>
    <w:p>
      <w:pPr>
        <w:pStyle w:val="Normal"/>
        <w:spacing w:lineRule="auto" w:line="300"/>
        <w:ind w:firstLine="1418" w:end="0"/>
        <w:jc w:val="both"/>
        <w:rPr/>
      </w:pPr>
      <w:r>
        <w:rPr>
          <w:rFonts w:cs="Calibri"/>
          <w:lang w:val="pt-BR"/>
        </w:rPr>
        <w:t>A parte requerente pugna pela produção de todas as provas em direito admitidas, em especial o depoimento pessoal do representante legal do requerido, bem como, prova testemunhal, documental, e de todas outras que façam necessárias ao curso da instrução processual.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b/>
          <w:lang w:val="pt-BR"/>
        </w:rPr>
      </w:pPr>
      <w:r>
        <w:rPr>
          <w:rFonts w:cs="Calibri"/>
          <w:lang w:val="pt-BR"/>
        </w:rPr>
        <w:t xml:space="preserve">Dá-se àcausa o valor de </w:t>
      </w:r>
      <w:r>
        <w:rPr>
          <w:rFonts w:cs="Calibri"/>
          <w:b/>
          <w:lang w:val="pt-BR"/>
        </w:rPr>
        <w:t>R$ 30.000,00 (trinta mil reais).</w:t>
      </w:r>
    </w:p>
    <w:p>
      <w:pPr>
        <w:pStyle w:val="Normal"/>
        <w:tabs>
          <w:tab w:val="clear" w:pos="720"/>
          <w:tab w:val="left" w:pos="2835" w:leader="none"/>
        </w:tabs>
        <w:spacing w:lineRule="auto" w:line="300"/>
        <w:ind w:firstLine="1418"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Nestes termos,</w:t>
      </w:r>
    </w:p>
    <w:p>
      <w:pPr>
        <w:pStyle w:val="Normal"/>
        <w:spacing w:lineRule="auto" w:line="300"/>
        <w:ind w:firstLine="1418" w:end="0"/>
        <w:jc w:val="both"/>
        <w:rPr/>
      </w:pPr>
      <w:r>
        <w:rPr>
          <w:rFonts w:cs="Calibri"/>
          <w:lang w:val="pt-BR"/>
        </w:rPr>
        <w:t>pede deferimento.</w:t>
      </w:r>
    </w:p>
    <w:p>
      <w:pPr>
        <w:pStyle w:val="Normal"/>
        <w:spacing w:lineRule="auto" w:line="300"/>
        <w:ind w:firstLine="1418" w:end="0"/>
        <w:jc w:val="both"/>
        <w:rPr>
          <w:rFonts w:cs="Calibri"/>
          <w:sz w:val="16"/>
          <w:szCs w:val="16"/>
          <w:lang w:val="pt-BR"/>
        </w:rPr>
      </w:pPr>
      <w:r>
        <w:rPr>
          <w:rFonts w:cs="Calibri"/>
          <w:sz w:val="16"/>
          <w:szCs w:val="16"/>
          <w:lang w:val="pt-BR"/>
        </w:rPr>
      </w:r>
    </w:p>
    <w:p>
      <w:pPr>
        <w:pStyle w:val="Normal"/>
        <w:spacing w:lineRule="auto" w:line="300"/>
        <w:ind w:firstLine="1418" w:end="0"/>
        <w:jc w:val="both"/>
        <w:rPr/>
      </w:pPr>
      <w:r>
        <w:rPr>
          <w:rFonts w:cs="Calibri"/>
          <w:lang w:val="pt-BR"/>
        </w:rPr>
        <w:t>Manaus/AM, 02 de março de 2026.</w:t>
      </w:r>
    </w:p>
    <w:p>
      <w:pPr>
        <w:pStyle w:val="Normal"/>
        <w:spacing w:lineRule="auto" w:line="300"/>
        <w:ind w:firstLine="2835" w:end="0"/>
        <w:jc w:val="both"/>
        <w:rPr>
          <w:rFonts w:cs="Calibri"/>
          <w:lang w:val="pt-BR"/>
        </w:rPr>
      </w:pPr>
      <w:r>
        <w:rPr>
          <w:rFonts w:cs="Calibri"/>
          <w:lang w:val="pt-BR"/>
        </w:rPr>
      </w:r>
    </w:p>
    <w:p>
      <w:pPr>
        <w:pStyle w:val="Normal"/>
        <w:spacing w:lineRule="auto" w:line="300"/>
        <w:ind w:firstLine="2835" w:end="0"/>
        <w:jc w:val="both"/>
        <w:rPr>
          <w:rFonts w:cs="Calibri"/>
          <w:lang w:val="pt-BR"/>
        </w:rPr>
      </w:pPr>
      <w:r>
        <w:rPr>
          <w:rFonts w:cs="Calibri"/>
          <w:lang w:val="pt-BR"/>
        </w:rPr>
      </w:r>
    </w:p>
    <w:p>
      <w:pPr>
        <w:pStyle w:val="Normal"/>
        <w:spacing w:lineRule="auto" w:line="300"/>
        <w:jc w:val="center"/>
        <w:rPr>
          <w:rFonts w:cs="Calibri"/>
          <w:lang w:val="pt-BR"/>
        </w:rPr>
      </w:pPr>
      <w:r>
        <w:rPr>
          <w:rFonts w:cs="Calibri"/>
          <w:b/>
          <w:lang w:val="pt-BR"/>
        </w:rPr>
        <w:t>- ASSINADO ELETRONICAMENTE –</w:t>
      </w:r>
    </w:p>
    <w:p>
      <w:pPr>
        <w:pStyle w:val="Normal"/>
        <w:spacing w:lineRule="auto" w:line="300"/>
        <w:jc w:val="center"/>
        <w:rPr>
          <w:rFonts w:cs="Calibri"/>
          <w:b/>
          <w:lang w:val="pt-BR"/>
        </w:rPr>
      </w:pPr>
      <w:r>
        <w:rPr>
          <w:rFonts w:cs="Calibri"/>
          <w:b/>
          <w:lang w:val="pt-BR"/>
        </w:rPr>
        <w:t>ANDREY AUGUSTO BENTES RAMOS</w:t>
      </w:r>
    </w:p>
    <w:p>
      <w:pPr>
        <w:pStyle w:val="Normal"/>
        <w:spacing w:lineRule="auto" w:line="300"/>
        <w:jc w:val="center"/>
        <w:rPr>
          <w:rFonts w:cs="Calibri"/>
          <w:b/>
          <w:lang w:val="pt-BR"/>
        </w:rPr>
      </w:pPr>
      <w:r>
        <w:rPr>
          <w:rFonts w:cs="Calibri"/>
          <w:b/>
          <w:lang w:val="pt-BR"/>
        </w:rPr>
        <w:t>OAB/AM 7.526</w:t>
      </w:r>
    </w:p>
    <w:p>
      <w:pPr>
        <w:pStyle w:val="Normal"/>
        <w:spacing w:lineRule="auto" w:line="300"/>
        <w:jc w:val="both"/>
        <w:rPr>
          <w:rFonts w:cs="Calibri"/>
          <w:b/>
          <w:bCs/>
          <w:lang w:val="pt-BR"/>
        </w:rPr>
      </w:pPr>
      <w:r>
        <w:rPr>
          <w:rFonts w:cs="Calibri"/>
          <w:b/>
          <w:bCs/>
          <w:lang w:val="pt-BR"/>
        </w:rPr>
      </w:r>
    </w:p>
    <w:p>
      <w:pPr>
        <w:pStyle w:val="Normal"/>
        <w:spacing w:lineRule="auto" w:line="300"/>
        <w:rPr>
          <w:rFonts w:cs="Calibri"/>
          <w:bCs/>
          <w:lang w:val="pt-BR"/>
        </w:rPr>
      </w:pPr>
      <w:r>
        <w:rPr>
          <w:rFonts w:cs="Calibri"/>
          <w:bCs/>
          <w:lang w:val="pt-BR"/>
        </w:rPr>
      </w:r>
    </w:p>
    <w:p>
      <w:pPr>
        <w:pStyle w:val="Normal"/>
        <w:spacing w:lineRule="auto" w:line="300"/>
        <w:rPr>
          <w:rFonts w:cs="Calibri"/>
        </w:rPr>
      </w:pPr>
      <w:r>
        <w:rPr>
          <w:rFonts w:cs="Calibri"/>
        </w:rPr>
      </w:r>
    </w:p>
    <w:sectPr>
      <w:headerReference w:type="default" r:id="rId5"/>
      <w:footerReference w:type="default" r:id="rId6"/>
      <w:type w:val="nextPage"/>
      <w:pgSz w:w="11906" w:h="16838"/>
      <w:pgMar w:left="1440" w:right="1275" w:gutter="0" w:header="284" w:top="1440" w:footer="2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ntique Olive">
    <w:charset w:val="00" w:characterSet="windows-1252"/>
    <w:family w:val="swiss"/>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Bookman Old Style">
    <w:charset w:val="00" w:characterSet="windows-1252"/>
    <w:family w:val="roman"/>
    <w:pitch w:val="variable"/>
  </w:font>
  <w:font w:name="Aptos">
    <w:charset w:val="00" w:characterSet="windows-1252"/>
    <w:family w:val="swiss"/>
    <w:pitch w:val="variable"/>
  </w:font>
  <w:font w:name="Segoe UI Emoj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spacing w:lineRule="auto" w:line="240"/>
      <w:jc w:val="both"/>
      <w:rPr>
        <w:sz w:val="14"/>
        <w:szCs w:val="14"/>
        <w:lang w:val="pt-BR"/>
      </w:rPr>
    </w:pPr>
    <w:r>
      <w:rPr>
        <w:rFonts w:cs="Segoe UI Emoji" w:ascii="Segoe UI Emoji" w:hAnsi="Segoe UI Emoji"/>
        <w:sz w:val="14"/>
        <w:szCs w:val="14"/>
      </w:rPr>
      <w:t>🏛️</w:t>
    </w:r>
    <w:r>
      <w:rPr>
        <w:rFonts w:cs="Calibri"/>
        <w:sz w:val="14"/>
        <w:szCs w:val="14"/>
        <w:lang w:val="pt-BR"/>
      </w:rPr>
      <w:t xml:space="preserve"> </w:t>
    </w:r>
    <w:r>
      <w:rPr>
        <w:b/>
        <w:bCs/>
        <w:sz w:val="14"/>
        <w:szCs w:val="14"/>
        <w:lang w:val="pt-BR"/>
      </w:rPr>
      <w:t>BENTES RAMOS ADVOCACIA E CONSULTORIA JURÍDICA</w:t>
    </w:r>
  </w:p>
  <w:p>
    <w:pPr>
      <w:pStyle w:val="Normal"/>
      <w:spacing w:lineRule="auto" w:line="240"/>
      <w:jc w:val="both"/>
      <w:rPr/>
    </w:pPr>
    <w:r>
      <w:rPr>
        <w:rFonts w:cs="Segoe UI Emoji" w:ascii="Segoe UI Emoji" w:hAnsi="Segoe UI Emoji"/>
        <w:sz w:val="14"/>
        <w:szCs w:val="14"/>
      </w:rPr>
      <w:t>📍</w:t>
    </w:r>
    <w:r>
      <w:rPr>
        <w:rFonts w:cs="Calibri"/>
        <w:sz w:val="14"/>
        <w:szCs w:val="14"/>
        <w:lang w:val="pt-BR"/>
      </w:rPr>
      <w:t xml:space="preserve"> </w:t>
    </w:r>
    <w:r>
      <w:rPr>
        <w:sz w:val="14"/>
        <w:szCs w:val="14"/>
        <w:lang w:val="pt-BR"/>
      </w:rPr>
      <w:t>Rua Salvador, 120, Sala 708 – Vieiralves Business Center – Adrianópolis, Manaus/AM – CEP 69057-040</w:t>
    </w:r>
  </w:p>
  <w:p>
    <w:pPr>
      <w:pStyle w:val="Normal"/>
      <w:spacing w:lineRule="auto" w:line="240"/>
      <w:jc w:val="both"/>
      <w:rPr>
        <w:sz w:val="14"/>
        <w:szCs w:val="14"/>
        <w:lang w:val="pt-BR"/>
      </w:rPr>
    </w:pPr>
    <w:r>
      <w:rPr>
        <w:rFonts w:cs="Segoe UI Emoji" w:ascii="Segoe UI Emoji" w:hAnsi="Segoe UI Emoji"/>
        <w:sz w:val="14"/>
        <w:szCs w:val="14"/>
      </w:rPr>
      <w:t>📞</w:t>
    </w:r>
    <w:r>
      <w:rPr>
        <w:rFonts w:cs="Calibri"/>
        <w:sz w:val="14"/>
        <w:szCs w:val="14"/>
        <w:lang w:val="pt-BR"/>
      </w:rPr>
      <w:t xml:space="preserve"> </w:t>
    </w:r>
    <w:r>
      <w:rPr>
        <w:sz w:val="14"/>
        <w:szCs w:val="14"/>
        <w:lang w:val="pt-BR"/>
      </w:rPr>
      <w:t xml:space="preserve">(92) 3343-6173   |   </w:t>
    </w:r>
    <w:r>
      <w:rPr>
        <w:rFonts w:cs="Segoe UI Emoji" w:ascii="Segoe UI Emoji" w:hAnsi="Segoe UI Emoji"/>
        <w:sz w:val="14"/>
        <w:szCs w:val="14"/>
      </w:rPr>
      <w:t>📱</w:t>
    </w:r>
    <w:r>
      <w:rPr>
        <w:sz w:val="14"/>
        <w:szCs w:val="14"/>
        <w:lang w:val="pt-BR"/>
      </w:rPr>
      <w:t xml:space="preserve"> (92) 98223-7330 / (92) 99160-4348 / 98588-8190</w:t>
    </w:r>
  </w:p>
  <w:p>
    <w:pPr>
      <w:pStyle w:val="Footer"/>
      <w:jc w:val="both"/>
      <w:rPr/>
    </w:pPr>
    <w:r>
      <w:rPr>
        <w:rFonts w:cs="Segoe UI Emoji" w:ascii="Segoe UI Emoji" w:hAnsi="Segoe UI Emoji"/>
        <w:sz w:val="14"/>
        <w:szCs w:val="14"/>
        <w:lang w:val="pt-BR"/>
      </w:rPr>
      <w:t>✉</w:t>
    </w:r>
    <w:r>
      <w:rPr>
        <w:rFonts w:cs="Segoe UI Emoji" w:ascii="Segoe UI Emoji" w:hAnsi="Segoe UI Emoji"/>
        <w:sz w:val="14"/>
        <w:szCs w:val="14"/>
      </w:rPr>
      <w:t>️</w:t>
    </w:r>
    <w:r>
      <w:rPr>
        <w:rFonts w:cs="Calibri"/>
        <w:sz w:val="14"/>
        <w:szCs w:val="14"/>
        <w:lang w:val="pt-BR"/>
      </w:rPr>
      <w:t xml:space="preserve"> </w:t>
    </w:r>
    <w:r>
      <w:rPr>
        <w:sz w:val="14"/>
        <w:szCs w:val="14"/>
        <w:lang w:val="pt-BR"/>
      </w:rPr>
      <w:t xml:space="preserve">juridico@bentesramos.adv.br   |   </w:t>
    </w:r>
    <w:r>
      <w:rPr>
        <w:rFonts w:cs="Segoe UI Emoji" w:ascii="Segoe UI Emoji" w:hAnsi="Segoe UI Emoji"/>
        <w:sz w:val="14"/>
        <w:szCs w:val="14"/>
      </w:rPr>
      <w:t>🌐</w:t>
    </w:r>
    <w:r>
      <w:rPr>
        <w:sz w:val="14"/>
        <w:szCs w:val="14"/>
        <w:lang w:val="pt-BR"/>
      </w:rPr>
      <w:t xml:space="preserve"> www.bentesramos.com.br</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lang w:val="pt-BR"/>
      </w:rPr>
      <w:drawing>
        <wp:inline distT="0" distB="0" distL="0" distR="0">
          <wp:extent cx="1837690" cy="99822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7" t="-13" r="-7" b="-13"/>
                  <a:stretch>
                    <a:fillRect/>
                  </a:stretch>
                </pic:blipFill>
                <pic:spPr bwMode="auto">
                  <a:xfrm>
                    <a:off x="0" y="0"/>
                    <a:ext cx="1837690" cy="99822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b/>
      </w:rPr>
    </w:lvl>
    <w:lvl w:ilvl="1">
      <w:start w:val="3"/>
      <w:numFmt w:val="decimal"/>
      <w:lvlText w:val="%1.%2"/>
      <w:lvlJc w:val="start"/>
      <w:pPr>
        <w:tabs>
          <w:tab w:val="num" w:pos="0"/>
        </w:tabs>
        <w:ind w:start="450" w:hanging="360"/>
      </w:pPr>
      <w:rPr>
        <w:b/>
      </w:rPr>
    </w:lvl>
    <w:lvl w:ilvl="2">
      <w:start w:val="1"/>
      <w:numFmt w:val="decimal"/>
      <w:lvlText w:val="%1.%2.%3"/>
      <w:lvlJc w:val="start"/>
      <w:pPr>
        <w:tabs>
          <w:tab w:val="num" w:pos="0"/>
        </w:tabs>
        <w:ind w:start="900" w:hanging="720"/>
      </w:pPr>
      <w:rPr>
        <w:b/>
      </w:rPr>
    </w:lvl>
    <w:lvl w:ilvl="3">
      <w:start w:val="1"/>
      <w:numFmt w:val="decimal"/>
      <w:lvlText w:val="%1.%2.%3.%4"/>
      <w:lvlJc w:val="start"/>
      <w:pPr>
        <w:tabs>
          <w:tab w:val="num" w:pos="0"/>
        </w:tabs>
        <w:ind w:start="990" w:hanging="720"/>
      </w:pPr>
      <w:rPr>
        <w:b/>
      </w:rPr>
    </w:lvl>
    <w:lvl w:ilvl="4">
      <w:start w:val="1"/>
      <w:numFmt w:val="decimal"/>
      <w:lvlText w:val="%1.%2.%3.%4.%5"/>
      <w:lvlJc w:val="start"/>
      <w:pPr>
        <w:tabs>
          <w:tab w:val="num" w:pos="0"/>
        </w:tabs>
        <w:ind w:start="1440" w:hanging="1080"/>
      </w:pPr>
      <w:rPr>
        <w:b/>
      </w:rPr>
    </w:lvl>
    <w:lvl w:ilvl="5">
      <w:start w:val="1"/>
      <w:numFmt w:val="decimal"/>
      <w:lvlText w:val="%1.%2.%3.%4.%5.%6"/>
      <w:lvlJc w:val="start"/>
      <w:pPr>
        <w:tabs>
          <w:tab w:val="num" w:pos="0"/>
        </w:tabs>
        <w:ind w:start="1530" w:hanging="1080"/>
      </w:pPr>
      <w:rPr>
        <w:b/>
      </w:rPr>
    </w:lvl>
    <w:lvl w:ilvl="6">
      <w:start w:val="1"/>
      <w:numFmt w:val="decimal"/>
      <w:lvlText w:val="%1.%2.%3.%4.%5.%6.%7"/>
      <w:lvlJc w:val="start"/>
      <w:pPr>
        <w:tabs>
          <w:tab w:val="num" w:pos="0"/>
        </w:tabs>
        <w:ind w:start="1980" w:hanging="1440"/>
      </w:pPr>
      <w:rPr>
        <w:b/>
      </w:rPr>
    </w:lvl>
    <w:lvl w:ilvl="7">
      <w:start w:val="1"/>
      <w:numFmt w:val="decimal"/>
      <w:lvlText w:val="%1.%2.%3.%4.%5.%6.%7.%8"/>
      <w:lvlJc w:val="start"/>
      <w:pPr>
        <w:tabs>
          <w:tab w:val="num" w:pos="0"/>
        </w:tabs>
        <w:ind w:start="2070" w:hanging="1440"/>
      </w:pPr>
      <w:rPr>
        <w:b/>
      </w:rPr>
    </w:lvl>
    <w:lvl w:ilvl="8">
      <w:start w:val="1"/>
      <w:numFmt w:val="decimal"/>
      <w:lvlText w:val="%1.%2.%3.%4.%5.%6.%7.%8.%9"/>
      <w:lvlJc w:val="start"/>
      <w:pPr>
        <w:tabs>
          <w:tab w:val="num" w:pos="0"/>
        </w:tabs>
        <w:ind w:start="2160" w:hanging="1440"/>
      </w:pPr>
      <w:rPr>
        <w:b/>
      </w:rPr>
    </w:lvl>
  </w:abstractNum>
  <w:abstractNum w:abstractNumId="3">
    <w:lvl w:ilvl="0">
      <w:start w:val="5"/>
      <w:numFmt w:val="decimal"/>
      <w:lvlText w:val="%1"/>
      <w:lvlJc w:val="start"/>
      <w:pPr>
        <w:tabs>
          <w:tab w:val="num" w:pos="0"/>
        </w:tabs>
        <w:ind w:start="720" w:hanging="360"/>
      </w:pPr>
      <w:rPr/>
    </w:lvl>
  </w:abstractNum>
  <w:abstractNum w:abstractNumId="4">
    <w:lvl w:ilvl="0">
      <w:start w:val="8"/>
      <w:numFmt w:val="lowerLetter"/>
      <w:lvlText w:val="%1)"/>
      <w:lvlJc w:val="start"/>
      <w:pPr>
        <w:tabs>
          <w:tab w:val="num" w:pos="0"/>
        </w:tabs>
        <w:ind w:start="720" w:hanging="360"/>
      </w:pPr>
      <w:rPr/>
    </w:lvl>
  </w:abstractNum>
  <w:abstractNum w:abstractNumId="5">
    <w:lvl w:ilvl="0">
      <w:start w:val="1"/>
      <w:numFmt w:val="decimal"/>
      <w:lvlText w:val="%1"/>
      <w:lvlJc w:val="start"/>
      <w:pPr>
        <w:tabs>
          <w:tab w:val="num" w:pos="0"/>
        </w:tabs>
        <w:ind w:start="720" w:hanging="360"/>
      </w:pPr>
      <w:rPr/>
    </w:lvl>
  </w:abstractNum>
  <w:abstractNum w:abstractNumId="6">
    <w:lvl w:ilvl="0">
      <w:start w:val="1"/>
      <w:numFmt w:val="lowerLetter"/>
      <w:lvlText w:val="%1)"/>
      <w:lvlJc w:val="start"/>
      <w:pPr>
        <w:tabs>
          <w:tab w:val="num" w:pos="0"/>
        </w:tabs>
        <w:ind w:start="720" w:hanging="360"/>
      </w:pPr>
      <w:rPr>
        <w:rFonts w:ascii="Calibri" w:hAnsi="Calibri" w:cs="Calibri"/>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40" w:before="480" w:after="0"/>
      <w:outlineLvl w:val="0"/>
    </w:pPr>
    <w:rPr>
      <w:rFonts w:ascii="Calibri Light" w:hAnsi="Calibri Light" w:eastAsia="Times New Roman" w:cs="Calibri Light"/>
      <w:b/>
      <w:bCs/>
      <w:color w:val="2E74B5"/>
      <w:sz w:val="28"/>
      <w:szCs w:val="2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character" w:styleId="WW8Num2z0">
    <w:name w:val="WW8Num2z0"/>
    <w:qFormat/>
    <w:rPr>
      <w:b/>
    </w:rPr>
  </w:style>
  <w:style w:type="character" w:styleId="WW8Num3z0">
    <w:name w:val="WW8Num3z0"/>
    <w:qFormat/>
    <w:rPr/>
  </w:style>
  <w:style w:type="character" w:styleId="WW8Num4z0">
    <w:name w:val="WW8Num4z0"/>
    <w:qFormat/>
    <w:rPr/>
  </w:style>
  <w:style w:type="character" w:styleId="WW8Num5z0">
    <w:name w:val="WW8Num5z0"/>
    <w:qFormat/>
    <w:rPr>
      <w:b w:val="false"/>
      <w:bCs w:val="false"/>
      <w:sz w:val="22"/>
      <w:szCs w:val="22"/>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Calibri" w:hAnsi="Calibri" w:cs="Calibri"/>
      <w:color w:val="000000"/>
    </w:rPr>
  </w:style>
  <w:style w:type="character" w:styleId="Fontepargpadro">
    <w:name w:val="Fonte parág. padrão"/>
    <w:qFormat/>
    <w:rPr/>
  </w:style>
  <w:style w:type="character" w:styleId="Ttulo1Char">
    <w:name w:val="Título 1 Char"/>
    <w:qFormat/>
    <w:rPr>
      <w:rFonts w:ascii="Calibri Light" w:hAnsi="Calibri Light" w:eastAsia="Times New Roman" w:cs="Calibri Light"/>
      <w:b/>
      <w:bCs/>
      <w:color w:val="2E74B5"/>
      <w:sz w:val="28"/>
      <w:szCs w:val="28"/>
    </w:rPr>
  </w:style>
  <w:style w:type="character" w:styleId="Ttulo2Char">
    <w:name w:val="Título 2 Char"/>
    <w:qFormat/>
    <w:rPr>
      <w:rFonts w:ascii="Times New Roman" w:hAnsi="Times New Roman" w:eastAsia="Times New Roman" w:cs="Times New Roman"/>
      <w:b/>
      <w:bCs/>
      <w:sz w:val="36"/>
      <w:szCs w:val="36"/>
    </w:rPr>
  </w:style>
  <w:style w:type="character" w:styleId="CabealhoChar">
    <w:name w:val="Cabeçalho Char"/>
    <w:basedOn w:val="Fontepargpadro"/>
    <w:qFormat/>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Corpodetexto3Char">
    <w:name w:val="Corpo de texto 3 Char"/>
    <w:qFormat/>
    <w:rPr>
      <w:rFonts w:ascii="Antique Olive" w:hAnsi="Antique Olive" w:eastAsia="Times New Roman" w:cs="Antique Olive"/>
      <w:b/>
      <w:sz w:val="22"/>
    </w:rPr>
  </w:style>
  <w:style w:type="character" w:styleId="RecuodecorpodetextoChar">
    <w:name w:val="Recuo de corpo de texto Char"/>
    <w:qFormat/>
    <w:rPr>
      <w:sz w:val="22"/>
      <w:szCs w:val="22"/>
      <w:lang w:val="en-US"/>
    </w:rPr>
  </w:style>
  <w:style w:type="character" w:styleId="CorpodetextoChar">
    <w:name w:val="Corpo de texto Char"/>
    <w:qFormat/>
    <w:rPr>
      <w:sz w:val="22"/>
      <w:szCs w:val="22"/>
      <w:lang w:val="en-US"/>
    </w:rPr>
  </w:style>
  <w:style w:type="character" w:styleId="Recuodecorpodetexto2Char">
    <w:name w:val="Recuo de corpo de texto 2 Char"/>
    <w:qFormat/>
    <w:rPr>
      <w:rFonts w:ascii="Times New Roman" w:hAnsi="Times New Roman" w:eastAsia="Times New Roman" w:cs="Times New Roman"/>
    </w:rPr>
  </w:style>
  <w:style w:type="character" w:styleId="Recuodecorpodetexto3Char">
    <w:name w:val="Recuo de corpo de texto 3 Char"/>
    <w:qFormat/>
    <w:rPr>
      <w:rFonts w:ascii="Times New Roman" w:hAnsi="Times New Roman" w:eastAsia="Times New Roman" w:cs="Times New Roman"/>
      <w:sz w:val="16"/>
      <w:szCs w:val="16"/>
    </w:rPr>
  </w:style>
  <w:style w:type="character" w:styleId="Corpodetexto2Char">
    <w:name w:val="Corpo de texto 2 Char"/>
    <w:qFormat/>
    <w:rPr>
      <w:rFonts w:ascii="Times New Roman" w:hAnsi="Times New Roman" w:eastAsia="Times New Roman" w:cs="Times New Roman"/>
    </w:rPr>
  </w:style>
  <w:style w:type="character" w:styleId="TextodenotaderodapChar">
    <w:name w:val="Texto de nota de rodapé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grame">
    <w:name w:val="grame"/>
    <w:qFormat/>
    <w:rPr/>
  </w:style>
  <w:style w:type="character" w:styleId="Strong">
    <w:name w:val="Strong"/>
    <w:qFormat/>
    <w:rPr>
      <w:b/>
      <w:bCs/>
    </w:rPr>
  </w:style>
  <w:style w:type="character" w:styleId="Emphasis">
    <w:name w:val="Emphasis"/>
    <w:qFormat/>
    <w:rPr>
      <w:i/>
      <w:iCs/>
    </w:rPr>
  </w:style>
  <w:style w:type="character" w:styleId="apple-converted-space">
    <w:name w:val="apple-converted-space"/>
    <w:basedOn w:val="Fontepargpadro"/>
    <w:qFormat/>
    <w:rPr/>
  </w:style>
  <w:style w:type="character" w:styleId="adtext">
    <w:name w:val="adtext"/>
    <w:basedOn w:val="Fontepargpadro"/>
    <w:qFormat/>
    <w:rPr/>
  </w:style>
  <w:style w:type="character" w:styleId="titulopaginas">
    <w:name w:val="titulo_paginas"/>
    <w:basedOn w:val="Fontepargpadro"/>
    <w:qFormat/>
    <w:rPr/>
  </w:style>
  <w:style w:type="character" w:styleId="cite">
    <w:name w:val="cite"/>
    <w:basedOn w:val="Fontepargpadro"/>
    <w:qFormat/>
    <w:rPr/>
  </w:style>
  <w:style w:type="character" w:styleId="MenoPendente">
    <w:name w:val="Menção Pendente"/>
    <w:qFormat/>
    <w:rPr>
      <w:color w:val="605E5C"/>
      <w:shd w:fill="E1DFDD" w:val="clear"/>
    </w:rPr>
  </w:style>
  <w:style w:type="character" w:styleId="PargrafodaListaChar">
    <w:name w:val="Parágrafo da Lista Char"/>
    <w:qFormat/>
    <w:rPr>
      <w:sz w:val="22"/>
      <w:szCs w:val="22"/>
    </w:rPr>
  </w:style>
  <w:style w:type="character" w:styleId="Link">
    <w:name w:val="Link"/>
    <w:qFormat/>
    <w:rPr>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pPr>
    <w:rPr/>
  </w:style>
  <w:style w:type="paragraph" w:styleId="Footer">
    <w:name w:val="Footer"/>
    <w:basedOn w:val="Normal"/>
    <w:pPr>
      <w:spacing w:lineRule="auto" w:line="240"/>
    </w:pPr>
    <w:rPr/>
  </w:style>
  <w:style w:type="paragraph" w:styleId="Textodebalo">
    <w:name w:val="Texto de balão"/>
    <w:basedOn w:val="Normal"/>
    <w:qFormat/>
    <w:pPr>
      <w:spacing w:lineRule="auto" w:line="240"/>
    </w:pPr>
    <w:rPr>
      <w:rFonts w:ascii="Tahoma" w:hAnsi="Tahoma" w:cs="Tahoma"/>
      <w:sz w:val="16"/>
      <w:szCs w:val="16"/>
    </w:rPr>
  </w:style>
  <w:style w:type="paragraph" w:styleId="PARAGRAFO">
    <w:name w:val="PARAGRAFO"/>
    <w:qFormat/>
    <w:pPr>
      <w:widowControl w:val="false"/>
      <w:overflowPunct w:val="false"/>
      <w:autoSpaceDE w:val="false"/>
      <w:bidi w:val="0"/>
      <w:ind w:firstLine="3600" w:start="0" w:end="288"/>
      <w:jc w:val="both"/>
    </w:pPr>
    <w:rPr>
      <w:rFonts w:ascii="Arial" w:hAnsi="Arial" w:eastAsia="Times New Roman" w:cs="Arial"/>
      <w:color w:val="000000"/>
      <w:sz w:val="24"/>
      <w:szCs w:val="20"/>
      <w:lang w:val="pt-BR" w:bidi="ar-SA" w:eastAsia="zh-CN"/>
    </w:rPr>
  </w:style>
  <w:style w:type="paragraph" w:styleId="FREE">
    <w:name w:val="FREE"/>
    <w:qFormat/>
    <w:pPr>
      <w:widowControl w:val="false"/>
      <w:bidi w:val="0"/>
      <w:jc w:val="both"/>
    </w:pPr>
    <w:rPr>
      <w:rFonts w:ascii="Arial" w:hAnsi="Arial" w:eastAsia="Times New Roman" w:cs="Arial"/>
      <w:color w:val="000000"/>
      <w:sz w:val="24"/>
      <w:szCs w:val="20"/>
      <w:lang w:val="pt-BR" w:bidi="ar-SA" w:eastAsia="zh-CN"/>
    </w:rPr>
  </w:style>
  <w:style w:type="paragraph" w:styleId="Corpodetexto3">
    <w:name w:val="Corpo de texto 3"/>
    <w:basedOn w:val="Normal"/>
    <w:qFormat/>
    <w:pPr>
      <w:spacing w:lineRule="auto" w:line="360"/>
      <w:jc w:val="both"/>
    </w:pPr>
    <w:rPr>
      <w:rFonts w:ascii="Antique Olive" w:hAnsi="Antique Olive" w:eastAsia="Times New Roman" w:cs="Antique Olive"/>
      <w:b/>
      <w:szCs w:val="20"/>
    </w:rPr>
  </w:style>
  <w:style w:type="paragraph" w:styleId="BodyTextIndent">
    <w:name w:val="Body Text Indent"/>
    <w:basedOn w:val="Normal"/>
    <w:pPr>
      <w:spacing w:before="0" w:after="120"/>
      <w:ind w:hanging="0" w:start="283" w:end="0"/>
    </w:pPr>
    <w:rPr/>
  </w:style>
  <w:style w:type="paragraph" w:styleId="Corpodetexto21">
    <w:name w:val="Corpo de texto 21"/>
    <w:basedOn w:val="Normal"/>
    <w:qFormat/>
    <w:pPr>
      <w:suppressAutoHyphens w:val="true"/>
      <w:spacing w:lineRule="auto" w:line="240"/>
      <w:ind w:firstLine="1418" w:start="0" w:end="0"/>
      <w:jc w:val="both"/>
    </w:pPr>
    <w:rPr>
      <w:rFonts w:ascii="Times New Roman" w:hAnsi="Times New Roman" w:eastAsia="Times New Roman" w:cs="Times New Roman"/>
      <w:sz w:val="28"/>
      <w:szCs w:val="20"/>
      <w:lang w:val="pt-BR"/>
    </w:rPr>
  </w:style>
  <w:style w:type="paragraph" w:styleId="PADRAO">
    <w:name w:val="PADRAO"/>
    <w:qFormat/>
    <w:pPr>
      <w:widowControl w:val="false"/>
      <w:bidi w:val="0"/>
      <w:jc w:val="both"/>
    </w:pPr>
    <w:rPr>
      <w:rFonts w:ascii="Arial" w:hAnsi="Arial" w:eastAsia="Times New Roman" w:cs="Arial"/>
      <w:color w:val="000000"/>
      <w:sz w:val="24"/>
      <w:szCs w:val="20"/>
      <w:lang w:val="pt-BR" w:bidi="ar-SA" w:eastAsia="zh-CN"/>
    </w:rPr>
  </w:style>
  <w:style w:type="paragraph" w:styleId="Recuodecorpodetexto2">
    <w:name w:val="Recuo de corpo de texto 2"/>
    <w:basedOn w:val="Normal"/>
    <w:qFormat/>
    <w:pPr>
      <w:spacing w:lineRule="auto" w:line="480" w:before="0" w:after="120"/>
      <w:ind w:hanging="0" w:start="283" w:end="0"/>
    </w:pPr>
    <w:rPr>
      <w:rFonts w:ascii="Times New Roman" w:hAnsi="Times New Roman" w:eastAsia="Times New Roman" w:cs="Times New Roman"/>
      <w:sz w:val="20"/>
      <w:szCs w:val="20"/>
    </w:rPr>
  </w:style>
  <w:style w:type="paragraph" w:styleId="Recuodecorpodetexto3">
    <w:name w:val="Recuo de corpo de texto 3"/>
    <w:basedOn w:val="Normal"/>
    <w:qFormat/>
    <w:pPr>
      <w:spacing w:lineRule="auto" w:line="240" w:before="0" w:after="120"/>
      <w:ind w:hanging="0" w:start="283" w:end="0"/>
    </w:pPr>
    <w:rPr>
      <w:rFonts w:ascii="Times New Roman" w:hAnsi="Times New Roman" w:eastAsia="Times New Roman" w:cs="Times New Roman"/>
      <w:sz w:val="16"/>
      <w:szCs w:val="16"/>
    </w:rPr>
  </w:style>
  <w:style w:type="paragraph" w:styleId="Corpodetexto2">
    <w:name w:val="Corpo de texto 2"/>
    <w:basedOn w:val="Normal"/>
    <w:qFormat/>
    <w:pPr>
      <w:spacing w:lineRule="auto" w:line="480" w:before="0" w:after="120"/>
    </w:pPr>
    <w:rPr>
      <w:rFonts w:ascii="Times New Roman" w:hAnsi="Times New Roman" w:eastAsia="Times New Roman" w:cs="Times New Roman"/>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pt-BR"/>
    </w:rPr>
  </w:style>
  <w:style w:type="paragraph" w:styleId="FootnoteText">
    <w:name w:val="Footnote Text"/>
    <w:basedOn w:val="Normal"/>
    <w:pPr>
      <w:spacing w:lineRule="auto" w:line="240"/>
    </w:pPr>
    <w:rPr>
      <w:rFonts w:ascii="Times New Roman" w:hAnsi="Times New Roman" w:eastAsia="Times New Roman" w:cs="Times New Roman"/>
      <w:sz w:val="20"/>
      <w:szCs w:val="20"/>
    </w:rPr>
  </w:style>
  <w:style w:type="paragraph" w:styleId="Recuodecorpodetexto22">
    <w:name w:val="Recuo de corpo de texto 22"/>
    <w:basedOn w:val="Normal"/>
    <w:qFormat/>
    <w:pPr>
      <w:suppressAutoHyphens w:val="true"/>
      <w:spacing w:lineRule="auto" w:line="480" w:before="0" w:after="120"/>
      <w:ind w:hanging="0" w:start="283" w:end="0"/>
    </w:pPr>
    <w:rPr>
      <w:rFonts w:ascii="Times New Roman" w:hAnsi="Times New Roman" w:eastAsia="Times New Roman" w:cs="Times New Roman"/>
      <w:sz w:val="24"/>
      <w:szCs w:val="24"/>
      <w:lang w:val="pt-BR"/>
    </w:rPr>
  </w:style>
  <w:style w:type="paragraph" w:styleId="corpo">
    <w:name w:val="corp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daLista">
    <w:name w:val="Parágrafo da Lista"/>
    <w:basedOn w:val="Normal"/>
    <w:qFormat/>
    <w:pPr>
      <w:spacing w:lineRule="auto" w:line="256" w:before="0" w:after="160"/>
      <w:ind w:hanging="0" w:start="720" w:end="0"/>
      <w:contextualSpacing/>
    </w:pPr>
    <w:rPr>
      <w:lang w:val="pt-BR"/>
    </w:rPr>
  </w:style>
  <w:style w:type="paragraph" w:styleId="spip">
    <w:name w:val="spip"/>
    <w:basedOn w:val="Normal"/>
    <w:qFormat/>
    <w:pPr>
      <w:spacing w:lineRule="auto" w:line="240" w:before="280" w:after="280"/>
    </w:pPr>
    <w:rPr>
      <w:rFonts w:ascii="Times New Roman" w:hAnsi="Times New Roman" w:eastAsia="Times New Roman" w:cs="Times New Roman"/>
      <w:sz w:val="24"/>
      <w:szCs w:val="24"/>
      <w:lang w:val="pt-BR"/>
    </w:rPr>
  </w:style>
  <w:style w:type="paragraph" w:styleId="temapn">
    <w:name w:val="temapn"/>
    <w:basedOn w:val="Normal"/>
    <w:qFormat/>
    <w:pPr>
      <w:spacing w:lineRule="auto" w:line="240" w:before="280" w:after="280"/>
    </w:pPr>
    <w:rPr>
      <w:rFonts w:ascii="Times New Roman" w:hAnsi="Times New Roman" w:eastAsia="Times New Roman" w:cs="Times New Roman"/>
      <w:sz w:val="24"/>
      <w:szCs w:val="24"/>
      <w:lang w:val="pt-BR"/>
    </w:rPr>
  </w:style>
  <w:style w:type="paragraph" w:styleId="textoenun">
    <w:name w:val="textoenun"/>
    <w:basedOn w:val="Normal"/>
    <w:qFormat/>
    <w:pPr>
      <w:spacing w:lineRule="auto" w:line="240" w:before="280" w:after="280"/>
    </w:pPr>
    <w:rPr>
      <w:rFonts w:ascii="Times New Roman" w:hAnsi="Times New Roman" w:eastAsia="Times New Roman" w:cs="Times New Roman"/>
      <w:sz w:val="24"/>
      <w:szCs w:val="24"/>
      <w:lang w:val="pt-BR"/>
    </w:rPr>
  </w:style>
  <w:style w:type="paragraph" w:styleId="Style12">
    <w:name w:val="Style 1"/>
    <w:qFormat/>
    <w:pPr>
      <w:widowControl w:val="false"/>
      <w:autoSpaceDE w:val="false"/>
      <w:bidi w:val="0"/>
    </w:pPr>
    <w:rPr>
      <w:rFonts w:ascii="Times New Roman" w:hAnsi="Times New Roman" w:eastAsia="Times New Roman" w:cs="Times New Roman"/>
      <w:color w:val="auto"/>
      <w:sz w:val="20"/>
      <w:szCs w:val="20"/>
      <w:lang w:val="pt-BR" w:bidi="ar-SA" w:eastAsia="zh-CN"/>
    </w:rPr>
  </w:style>
  <w:style w:type="paragraph" w:styleId="p2">
    <w:name w:val="p2"/>
    <w:basedOn w:val="Normal"/>
    <w:qFormat/>
    <w:pPr>
      <w:widowControl w:val="false"/>
      <w:autoSpaceDE w:val="false"/>
      <w:spacing w:lineRule="atLeast" w:line="272"/>
    </w:pPr>
    <w:rPr>
      <w:rFonts w:ascii="Times New Roman" w:hAnsi="Times New Roman" w:eastAsia="Times New Roman" w:cs="Times New Roman"/>
      <w:sz w:val="24"/>
      <w:szCs w:val="24"/>
    </w:rPr>
  </w:style>
  <w:style w:type="paragraph" w:styleId="Pa3">
    <w:name w:val="Pa3"/>
    <w:basedOn w:val="Normal"/>
    <w:next w:val="Normal"/>
    <w:qFormat/>
    <w:pPr>
      <w:autoSpaceDE w:val="false"/>
      <w:spacing w:lineRule="atLeast" w:line="241"/>
    </w:pPr>
    <w:rPr>
      <w:rFonts w:ascii="Helvetica" w:hAnsi="Helvetica" w:eastAsia="Times New Roman" w:cs="Helvetica"/>
      <w:sz w:val="20"/>
      <w:szCs w:val="24"/>
      <w:lang w:val="pt-BR"/>
    </w:rPr>
  </w:style>
  <w:style w:type="paragraph" w:styleId="Padro">
    <w:name w:val="Padrão"/>
    <w:qFormat/>
    <w:pPr>
      <w:widowControl w:val="false"/>
      <w:tabs>
        <w:tab w:val="clear" w:pos="720"/>
        <w:tab w:val="left" w:pos="708" w:leader="none"/>
      </w:tabs>
      <w:suppressAutoHyphens w:val="true"/>
      <w:bidi w:val="0"/>
      <w:spacing w:lineRule="auto" w:line="276" w:before="0" w:after="200"/>
    </w:pPr>
    <w:rPr>
      <w:rFonts w:ascii="Times New Roman" w:hAnsi="Times New Roman" w:eastAsia="Lucida Sans Unicode" w:cs="Tahoma"/>
      <w:color w:val="00000A"/>
      <w:sz w:val="24"/>
      <w:szCs w:val="24"/>
      <w:lang w:val="pt-BR" w:eastAsia="zh-CN" w:bidi="hi-IN"/>
    </w:rPr>
  </w:style>
  <w:style w:type="paragraph" w:styleId="cab">
    <w:name w:val="cab"/>
    <w:basedOn w:val="Normal"/>
    <w:qFormat/>
    <w:pPr>
      <w:spacing w:lineRule="auto" w:line="240" w:before="280" w:after="280"/>
    </w:pPr>
    <w:rPr>
      <w:rFonts w:ascii="Times New Roman" w:hAnsi="Times New Roman" w:eastAsia="Times New Roman" w:cs="Times New Roman"/>
      <w:sz w:val="24"/>
      <w:szCs w:val="24"/>
      <w:lang w:val="pt-BR"/>
    </w:rPr>
  </w:style>
  <w:style w:type="paragraph" w:styleId="par">
    <w:name w:val="par"/>
    <w:basedOn w:val="Normal"/>
    <w:qFormat/>
    <w:pPr>
      <w:spacing w:lineRule="auto" w:line="240" w:before="280" w:after="280"/>
    </w:pPr>
    <w:rPr>
      <w:rFonts w:ascii="Times New Roman" w:hAnsi="Times New Roman" w:eastAsia="Times New Roman" w:cs="Times New Roman"/>
      <w:sz w:val="24"/>
      <w:szCs w:val="24"/>
      <w:lang w:val="pt-B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paragraph" w:styleId="TextBody">
    <w:name w:val="Text Body"/>
    <w:basedOn w:val="Normal"/>
    <w:qFormat/>
    <w:pPr>
      <w:widowControl w:val="false"/>
      <w:suppressAutoHyphens w:val="true"/>
      <w:spacing w:lineRule="auto" w:line="360" w:before="397" w:after="397"/>
      <w:jc w:val="both"/>
    </w:pPr>
    <w:rPr>
      <w:rFonts w:ascii="Times New Roman" w:hAnsi="Times New Roman" w:eastAsia="Times New Roman" w:cs="Times New Roman"/>
      <w:sz w:val="24"/>
      <w:szCs w:val="24"/>
      <w:lang w:val="pt-BR" w:eastAsia="zh-CN" w:bidi="hi-IN"/>
    </w:rPr>
  </w:style>
  <w:style w:type="paragraph" w:styleId="artigo">
    <w:name w:val="artig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
    <w:name w:val="Parágrafo"/>
    <w:basedOn w:val="Normal"/>
    <w:qFormat/>
    <w:pPr>
      <w:widowControl w:val="false"/>
      <w:spacing w:lineRule="auto" w:line="240"/>
      <w:ind w:firstLine="3515" w:start="0" w:end="0"/>
      <w:jc w:val="both"/>
    </w:pPr>
    <w:rPr>
      <w:rFonts w:ascii="Bookman Old Style" w:hAnsi="Bookman Old Style" w:eastAsia="Times New Roman" w:cs="Bookman Old Style"/>
      <w:sz w:val="24"/>
      <w:szCs w:val="20"/>
      <w:lang w:val="pt-BR"/>
    </w:rPr>
  </w:style>
  <w:style w:type="paragraph" w:styleId="BlockQuote">
    <w:name w:val="Block Quote"/>
    <w:basedOn w:val="Normal"/>
    <w:next w:val="Normal"/>
    <w:qFormat/>
    <w:pPr>
      <w:spacing w:lineRule="auto" w:line="240" w:before="100" w:after="100"/>
    </w:pPr>
    <w:rPr>
      <w:rFonts w:eastAsia="Times New Roman"/>
      <w:bC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ridico@bentesramos.adv.br" TargetMode="External"/><Relationship Id="rId3" Type="http://schemas.openxmlformats.org/officeDocument/2006/relationships/hyperlink" Target="mailto:juridico@bentesramos.adv.br" TargetMode="Externa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2026-03-02T20:58:00Z</dcterms:created>
  <dc:creator>arte-02</dc:creator>
  <dc:description/>
  <cp:keywords/>
  <dc:language>en-US</dc:language>
  <cp:lastModifiedBy>Andrey Ramos</cp:lastModifiedBy>
  <cp:lastPrinted>2026-01-15T20:11:00Z</cp:lastPrinted>
  <dcterms:modified xsi:type="dcterms:W3CDTF">2026-03-02T20:58:00Z</dcterms:modified>
  <cp:revision>3</cp:revision>
  <dc:subject/>
  <dc:title/>
</cp:coreProperties>
</file>