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header1.xml.rels" ContentType="application/vnd.openxmlformats-package.relationships+xml"/>
  <Override PartName="/word/_rels/document.xml.rels" ContentType="application/vnd.openxmlformats-package.relationships+xml"/>
  <Override PartName="/word/media/image1.jpeg" ContentType="image/jpe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jc w:val="both"/>
        <w:rPr/>
      </w:pPr>
      <w:r>
        <w:rPr>
          <w:rFonts w:cs="Calibri"/>
          <w:b/>
          <w:lang w:val="pt-BR"/>
        </w:rPr>
        <w:t>EXCELENTÍSSIMO(A) SENHOR(A) DOUTOR(A) JUIZ(A) DE DIREITO DA M.M. {{VARA_JUIZO}}</w:t>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Default"/>
        <w:spacing w:lineRule="auto" w:line="300"/>
        <w:ind w:firstLine="2835" w:end="0"/>
        <w:jc w:val="both"/>
        <w:rPr>
          <w:rFonts w:cs="Calibri"/>
          <w:b/>
          <w:sz w:val="22"/>
          <w:szCs w:val="22"/>
          <w:lang w:val="pt-BR"/>
        </w:rPr>
      </w:pPr>
      <w:r>
        <w:rPr>
          <w:rFonts w:cs="Calibri"/>
          <w:b/>
          <w:sz w:val="22"/>
          <w:szCs w:val="22"/>
          <w:lang w:val="pt-BR"/>
        </w:rPr>
      </w:r>
    </w:p>
    <w:p>
      <w:pPr>
        <w:pStyle w:val="Default"/>
        <w:spacing w:lineRule="auto" w:line="300"/>
        <w:ind w:firstLine="2835" w:end="0"/>
        <w:jc w:val="both"/>
        <w:rPr>
          <w:b/>
          <w:sz w:val="22"/>
          <w:szCs w:val="22"/>
        </w:rPr>
      </w:pPr>
      <w:r>
        <w:rPr>
          <w:b/>
          <w:sz w:val="22"/>
          <w:szCs w:val="22"/>
        </w:rPr>
      </w:r>
    </w:p>
    <w:p>
      <w:pPr>
        <w:pStyle w:val="Normal"/>
        <w:spacing w:lineRule="auto" w:line="300"/>
        <w:ind w:firstLine="1418" w:end="0"/>
        <w:jc w:val="both"/>
        <w:rPr>
          <w:rFonts w:cs="Calibri"/>
          <w:lang w:val="pt-BR"/>
        </w:rPr>
      </w:pPr>
      <w:r>
        <w:rPr>
          <w:rFonts w:cs="Calibri"/>
          <w:b/>
          <w:lang w:val="pt-BR"/>
        </w:rPr>
        <w:t xml:space="preserve">{{NOME_COMPLETO}}, </w:t>
      </w:r>
      <w:r>
        <w:rPr>
          <w:rFonts w:cs="Calibri"/>
          <w:lang w:val="pt-BR"/>
        </w:rPr>
        <w:t xml:space="preserve">{{QUALIFICACAO}}, detentora da cédula de identidade militar n° {{RG_MILITAR}} e do CPF n° {{CPF}}, residente e domiciliada na {{ENDERECO_CLIENTE}}, por seus advogados que esta subscrevem (procuração anexa), com escritório profissional a Rua Salvador, n˚ 120, sala 708, 7˚ andar – Edifício Vieiralves Business Center, bairro: Adrianópolis, Manaus/AM – Cep: 69.079-210 e e-mail: </w:t>
      </w:r>
      <w:hyperlink r:id="rId2">
        <w:r>
          <w:rPr>
            <w:rStyle w:val="Hyperlink"/>
            <w:rFonts w:cs="Calibri"/>
            <w:b/>
            <w:lang w:val="pt-BR"/>
          </w:rPr>
          <w:t>juridico@bentesramos.adv.br</w:t>
        </w:r>
      </w:hyperlink>
      <w:r>
        <w:rPr>
          <w:rFonts w:cs="Calibri"/>
          <w:b/>
          <w:lang w:val="pt-BR"/>
        </w:rPr>
        <w:t>,</w:t>
      </w:r>
      <w:r>
        <w:rPr>
          <w:rFonts w:cs="Calibri"/>
          <w:lang w:val="pt-BR"/>
        </w:rPr>
        <w:t xml:space="preserve"> onde recebem intimações e demais atos processuais, vem, respeitosamente, a presença de Vossa Excelência, propor a presente</w:t>
      </w:r>
    </w:p>
    <w:p>
      <w:pPr>
        <w:pStyle w:val="Normal"/>
        <w:spacing w:lineRule="auto" w:line="30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lang w:val="pt-BR"/>
        </w:rPr>
      </w:pPr>
      <w:r>
        <w:rPr>
          <w:rFonts w:cs="Calibri"/>
          <w:b/>
          <w:lang w:val="pt-BR"/>
        </w:rPr>
        <w:t>{{TIPO_ACAO}}</w:t>
      </w:r>
    </w:p>
    <w:p>
      <w:pPr>
        <w:pStyle w:val="Normal"/>
        <w:spacing w:lineRule="auto" w:line="300"/>
        <w:jc w:val="center"/>
        <w:rPr>
          <w:rFonts w:cs="Calibri"/>
          <w:b/>
          <w:color w:val="000000"/>
          <w:lang w:val="pt-BR"/>
        </w:rPr>
      </w:pPr>
      <w:r>
        <w:rPr>
          <w:rFonts w:cs="Calibri"/>
          <w:b/>
          <w:color w:val="000000"/>
          <w:lang w:val="pt-BR"/>
        </w:rPr>
      </w:r>
    </w:p>
    <w:p>
      <w:pPr>
        <w:pStyle w:val="Normal"/>
        <w:spacing w:lineRule="auto" w:line="300"/>
        <w:jc w:val="both"/>
        <w:rPr/>
      </w:pPr>
      <w:r>
        <w:rPr>
          <w:rFonts w:cs="Calibri"/>
          <w:lang w:val="pt-BR"/>
        </w:rPr>
        <w:t xml:space="preserve">em face de </w:t>
      </w:r>
      <w:r>
        <w:rPr>
          <w:rFonts w:cs="Calibri"/>
          <w:b/>
          <w:lang w:val="pt-BR"/>
        </w:rPr>
        <w:t>{{REU_NOME}}</w:t>
      </w:r>
      <w:r>
        <w:rPr>
          <w:rFonts w:cs="Calibri"/>
          <w:lang w:val="pt-BR"/>
        </w:rPr>
        <w:t>, pessoa jurídica de direito privado, devidamente inscrita no CNPJ sob o nº {{REU_CNPJ}}, com sede à Avenida Sete de Setembro, n° 895, bairro: Centro, Cep: 69.005-140, Manaus/AM</w:t>
      </w:r>
      <w:r>
        <w:rPr>
          <w:rFonts w:cs="Calibri"/>
          <w:color w:val="000000"/>
          <w:lang w:val="pt-BR"/>
        </w:rPr>
        <w:t xml:space="preserve">: </w:t>
      </w:r>
    </w:p>
    <w:p>
      <w:pPr>
        <w:pStyle w:val="Normal"/>
        <w:spacing w:lineRule="auto" w:line="300"/>
        <w:jc w:val="both"/>
        <w:rPr>
          <w:rFonts w:cs="Calibri"/>
          <w:color w:val="000000"/>
          <w:lang w:val="pt-BR"/>
        </w:rPr>
      </w:pPr>
      <w:r>
        <w:rPr>
          <w:rFonts w:cs="Calibri"/>
          <w:color w:val="000000"/>
          <w:lang w:val="pt-BR"/>
        </w:rPr>
      </w:r>
    </w:p>
    <w:p>
      <w:pPr>
        <w:pStyle w:val="PargrafodaLista"/>
        <w:numPr>
          <w:ilvl w:val="0"/>
          <w:numId w:val="2"/>
        </w:numPr>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hanging="142" w:start="142" w:end="0"/>
        <w:contextualSpacing/>
        <w:jc w:val="center"/>
        <w:rPr>
          <w:rFonts w:cs="Calibri"/>
          <w:b/>
          <w:color w:val="000000"/>
        </w:rPr>
      </w:pPr>
      <w:r>
        <w:rPr>
          <w:rFonts w:cs="Calibri"/>
          <w:b/>
          <w:color w:val="000000"/>
        </w:rPr>
        <w:t>– DOS REQUERIMENTOS PRÉVIOS</w:t>
      </w:r>
    </w:p>
    <w:p>
      <w:pPr>
        <w:pStyle w:val="Normal"/>
        <w:spacing w:lineRule="auto" w:line="300"/>
        <w:jc w:val="both"/>
        <w:rPr>
          <w:rFonts w:cs="Calibri"/>
          <w:b/>
          <w:color w:val="000000"/>
        </w:rPr>
      </w:pPr>
      <w:r>
        <w:rPr>
          <w:rFonts w:cs="Calibri"/>
          <w:b/>
          <w:color w:val="000000"/>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pPr>
      <w:r>
        <w:rPr>
          <w:rFonts w:cs="Calibri"/>
          <w:b/>
          <w:lang w:val="pt-BR"/>
        </w:rPr>
        <w:t>1.1 - DA CONCESSÃO DE JUSTIÇA GRATUITA</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pPr>
        <w:pStyle w:val="Normal"/>
        <w:spacing w:lineRule="auto" w:line="300"/>
        <w:ind w:firstLine="2835" w:end="0"/>
        <w:jc w:val="both"/>
        <w:rPr>
          <w:rFonts w:cs="Calibri"/>
          <w:lang w:val="pt-BR"/>
        </w:rPr>
      </w:pPr>
      <w:r>
        <w:rPr>
          <w:rFonts w:cs="Calibri"/>
          <w:lang w:val="pt-BR"/>
        </w:rPr>
      </w:r>
    </w:p>
    <w:p>
      <w:pPr>
        <w:pStyle w:val="Normal"/>
        <w:spacing w:lineRule="auto" w:line="240"/>
        <w:ind w:start="2268" w:end="0"/>
        <w:jc w:val="both"/>
        <w:rPr>
          <w:rFonts w:cs="Calibri"/>
          <w:b/>
          <w:bCs/>
          <w:sz w:val="20"/>
          <w:szCs w:val="20"/>
          <w:lang w:val="pt-BR"/>
        </w:rPr>
      </w:pPr>
      <w:r>
        <w:rPr>
          <w:rFonts w:cs="Calibri"/>
          <w:b/>
          <w:bCs/>
          <w:sz w:val="20"/>
          <w:szCs w:val="20"/>
          <w:lang w:val="pt-BR"/>
        </w:rPr>
        <w:t>CAPÍTULO III – DA DEFESA DO CONSUMIDOR</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b/>
          <w:bCs/>
          <w:sz w:val="20"/>
          <w:szCs w:val="20"/>
          <w:lang w:val="pt-BR"/>
        </w:rPr>
        <w:t>I – assistência jurídica, integral e gratuita para o consumidor</w:t>
      </w:r>
      <w:r>
        <w:rPr>
          <w:rFonts w:cs="Calibri"/>
          <w:sz w:val="20"/>
          <w:szCs w:val="20"/>
          <w:lang w:val="pt-BR"/>
        </w:rPr>
        <w:t>; (grifo nosso)</w:t>
      </w:r>
    </w:p>
    <w:p>
      <w:pPr>
        <w:pStyle w:val="Normal"/>
        <w:spacing w:lineRule="auto" w:line="300"/>
        <w:ind w:firstLine="1985" w:end="0"/>
        <w:jc w:val="both"/>
        <w:rPr>
          <w:rFonts w:cs="Calibri"/>
          <w:sz w:val="20"/>
          <w:szCs w:val="20"/>
          <w:lang w:val="pt-BR"/>
        </w:rPr>
      </w:pPr>
      <w:r>
        <w:rPr>
          <w:rFonts w:cs="Calibri"/>
          <w:sz w:val="20"/>
          <w:szCs w:val="20"/>
          <w:lang w:val="pt-BR"/>
        </w:rPr>
      </w:r>
    </w:p>
    <w:p>
      <w:pPr>
        <w:pStyle w:val="BlockQuote"/>
        <w:spacing w:lineRule="auto" w:line="300" w:before="0" w:after="0"/>
        <w:ind w:firstLine="1418" w:end="0"/>
        <w:jc w:val="both"/>
        <w:rPr/>
      </w:pPr>
      <w:r>
        <w:rPr>
          <w:rFonts w:eastAsia="Calibri" w:cs="Calibri"/>
          <w:bCs w:val="false"/>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pPr>
        <w:pStyle w:val="Normal"/>
        <w:spacing w:lineRule="auto" w:line="300"/>
        <w:rPr>
          <w:rFonts w:eastAsia="Calibri" w:cs="Calibri"/>
          <w:bCs/>
          <w:sz w:val="22"/>
          <w:szCs w:val="22"/>
          <w:lang w:val="pt-BR"/>
        </w:rPr>
      </w:pPr>
      <w:r>
        <w:rPr>
          <w:rFonts w:eastAsia="Calibri" w:cs="Calibri"/>
          <w:bCs/>
          <w:sz w:val="22"/>
          <w:szCs w:val="22"/>
          <w:lang w:val="pt-BR"/>
        </w:rPr>
      </w:r>
    </w:p>
    <w:p>
      <w:pPr>
        <w:pStyle w:val="Normal"/>
        <w:spacing w:lineRule="auto" w:line="300"/>
        <w:ind w:firstLine="1418" w:end="0"/>
        <w:jc w:val="both"/>
        <w:rPr>
          <w:rFonts w:cs="Calibri"/>
          <w:lang w:val="pt-BR"/>
        </w:rPr>
      </w:pPr>
      <w:r>
        <w:rPr>
          <w:rFonts w:cs="Calibri"/>
          <w:lang w:val="pt-BR"/>
        </w:rPr>
        <w:t>Ressalte-se, ainda, que o simples fato de a parte estar representada por advogado particular não afasta o direito à gratuidade (art. 99, §4º, do CPC), entendimento já pacificado na jurisprudência.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pPr>
        <w:pStyle w:val="Normal"/>
        <w:spacing w:lineRule="auto" w:line="300"/>
        <w:ind w:firstLine="1985" w:end="0"/>
        <w:jc w:val="both"/>
        <w:rPr>
          <w:rFonts w:cs="Calibri"/>
          <w:sz w:val="18"/>
          <w:szCs w:val="18"/>
          <w:lang w:val="pt-BR"/>
        </w:rPr>
      </w:pPr>
      <w:r>
        <w:rPr>
          <w:rFonts w:cs="Calibri"/>
          <w:sz w:val="18"/>
          <w:szCs w:val="18"/>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pPr>
      <w:r>
        <w:rPr>
          <w:rFonts w:cs="Calibri"/>
          <w:b/>
          <w:lang w:val="pt-BR"/>
        </w:rPr>
        <w:t>1.2 - DA DECLARAÇÃO DE AUTENTICIDADE DOS DOCUMENTOS JUNTADOS</w:t>
      </w:r>
    </w:p>
    <w:p>
      <w:pPr>
        <w:pStyle w:val="Normal"/>
        <w:spacing w:lineRule="auto" w:line="300"/>
        <w:jc w:val="both"/>
        <w:rPr>
          <w:rFonts w:cs="Calibri"/>
          <w:b/>
          <w:sz w:val="18"/>
          <w:szCs w:val="18"/>
          <w:lang w:val="pt-BR"/>
        </w:rPr>
      </w:pPr>
      <w:r>
        <w:rPr>
          <w:rFonts w:cs="Calibri"/>
          <w:b/>
          <w:sz w:val="18"/>
          <w:szCs w:val="18"/>
          <w:lang w:val="pt-BR"/>
        </w:rPr>
      </w:r>
    </w:p>
    <w:p>
      <w:pPr>
        <w:pStyle w:val="Normal"/>
        <w:spacing w:lineRule="auto" w:line="300"/>
        <w:ind w:firstLine="1418" w:end="0"/>
        <w:jc w:val="both"/>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pPr>
        <w:pStyle w:val="Normal"/>
        <w:spacing w:lineRule="auto" w:line="300"/>
        <w:ind w:firstLine="1418" w:end="0"/>
        <w:jc w:val="both"/>
        <w:rPr>
          <w:rFonts w:cs="Calibri"/>
          <w:sz w:val="18"/>
          <w:szCs w:val="18"/>
          <w:lang w:val="pt-BR"/>
        </w:rPr>
      </w:pPr>
      <w:r>
        <w:rPr>
          <w:rFonts w:cs="Calibri"/>
          <w:sz w:val="18"/>
          <w:szCs w:val="18"/>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lang w:val="pt-BR"/>
        </w:rPr>
        <w:t>1.3 – DA AUDIÊNCIA DE CONCILIAÇÃO E OPÇÃO PELO JUÍZO 100% DIGITAL</w:t>
      </w:r>
    </w:p>
    <w:p>
      <w:pPr>
        <w:pStyle w:val="Normal"/>
        <w:spacing w:lineRule="auto" w:line="300"/>
        <w:ind w:firstLine="2835" w:end="0"/>
        <w:jc w:val="both"/>
        <w:rPr>
          <w:rFonts w:cs="Calibri"/>
          <w:b/>
          <w:sz w:val="18"/>
          <w:szCs w:val="18"/>
          <w:lang w:val="pt-BR"/>
        </w:rPr>
      </w:pPr>
      <w:r>
        <w:rPr>
          <w:rFonts w:cs="Calibri"/>
          <w:b/>
          <w:sz w:val="18"/>
          <w:szCs w:val="18"/>
          <w:lang w:val="pt-BR"/>
        </w:rPr>
      </w:r>
    </w:p>
    <w:p>
      <w:pPr>
        <w:pStyle w:val="Normal"/>
        <w:spacing w:lineRule="auto" w:line="300"/>
        <w:ind w:firstLine="1418" w:end="0"/>
        <w:jc w:val="both"/>
        <w:rPr>
          <w:rFonts w:cs="Calibri"/>
          <w:lang w:val="pt-BR"/>
        </w:rPr>
      </w:pPr>
      <w:r>
        <w:rPr>
          <w:rFonts w:cs="Calibri"/>
          <w:lang w:val="pt-BR"/>
        </w:rPr>
        <w:t>A parte requerente manifesta interesse na autocomposição e não se opõe à designação de audiência de conciliação, nos termos dos arts. 3º, §§2º e 3º, e 334 do CPC.</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Para o encaminhamento do link de acesso e comunicações operacionais, indica-se o e-mail: </w:t>
      </w:r>
      <w:hyperlink r:id="rId3">
        <w:r>
          <w:rPr>
            <w:rStyle w:val="Hyperlink"/>
            <w:rFonts w:cs="Calibri"/>
            <w:b/>
            <w:bCs/>
            <w:lang w:val="pt-BR"/>
          </w:rPr>
          <w:t>juridico@bentesramos.adv.br</w:t>
        </w:r>
      </w:hyperlink>
      <w:r>
        <w:rPr>
          <w:rFonts w:cs="Calibri"/>
          <w:lang w:val="pt-BR"/>
        </w:rPr>
        <w:t>.</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Subsidiariamente, caso o juízo entenda inviável a modalidade virtual, requer-se a designação de ato presencial, em pauta compatível com as partes e patronos.</w:t>
      </w:r>
    </w:p>
    <w:p>
      <w:pPr>
        <w:pStyle w:val="Normal"/>
        <w:spacing w:lineRule="auto" w:line="30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u w:val="single"/>
          <w:lang w:val="pt-BR"/>
        </w:rPr>
      </w:pPr>
      <w:r>
        <w:rPr>
          <w:rFonts w:cs="Calibri"/>
          <w:b/>
          <w:lang w:val="pt-BR"/>
        </w:rPr>
        <w:t>2 – DOS FATOS</w:t>
      </w:r>
    </w:p>
    <w:p>
      <w:pPr>
        <w:pStyle w:val="Normal"/>
        <w:spacing w:lineRule="auto" w:line="300"/>
        <w:ind w:firstLine="1418" w:end="0"/>
        <w:jc w:val="both"/>
        <w:rPr>
          <w:rFonts w:cs="Calibri"/>
          <w:b/>
          <w:u w:val="single"/>
          <w:lang w:val="pt-BR"/>
        </w:rPr>
      </w:pPr>
      <w:r>
        <w:rPr>
          <w:rFonts w:cs="Calibri"/>
          <w:b/>
          <w:u w:val="single"/>
          <w:lang w:val="pt-BR"/>
        </w:rPr>
      </w:r>
    </w:p>
    <w:p>
      <w:pPr>
        <w:pStyle w:val="Padro"/>
        <w:tabs>
          <w:tab w:val="left" w:pos="567" w:leader="none"/>
          <w:tab w:val="left" w:pos="708" w:leader="none"/>
        </w:tabs>
        <w:spacing w:lineRule="auto" w:line="300" w:before="0" w:after="0"/>
        <w:ind w:firstLine="1418" w:end="0"/>
        <w:jc w:val="both"/>
        <w:rPr/>
      </w:pPr>
      <w:r>
        <w:rPr>
          <w:rFonts w:cs="Calibri" w:ascii="Calibri" w:hAnsi="Calibri"/>
          <w:sz w:val="22"/>
          <w:szCs w:val="22"/>
        </w:rPr>
        <w:t xml:space="preserve">A parte requerente é titular da </w:t>
      </w:r>
      <w:r>
        <w:rPr>
          <w:rFonts w:cs="Calibri" w:ascii="Calibri" w:hAnsi="Calibri"/>
          <w:b/>
          <w:bCs/>
          <w:sz w:val="22"/>
          <w:szCs w:val="22"/>
        </w:rPr>
        <w:t>conta corrente nº 9521-4, agência 3707</w:t>
      </w:r>
      <w:r>
        <w:rPr>
          <w:rFonts w:cs="Calibri" w:ascii="Calibri" w:hAnsi="Calibri"/>
          <w:sz w:val="22"/>
          <w:szCs w:val="22"/>
        </w:rPr>
        <w:t xml:space="preserve">, mantida junto ao banco requerido. Ao analisar os extratos bancários de sua conta, constatou a realização de </w:t>
      </w:r>
      <w:r>
        <w:rPr>
          <w:rFonts w:cs="Calibri" w:ascii="Calibri" w:hAnsi="Calibri"/>
          <w:b/>
          <w:bCs/>
          <w:sz w:val="22"/>
          <w:szCs w:val="22"/>
        </w:rPr>
        <w:t>débitos indevidos</w:t>
      </w:r>
      <w:r>
        <w:rPr>
          <w:rFonts w:cs="Calibri" w:ascii="Calibri" w:hAnsi="Calibri"/>
          <w:sz w:val="22"/>
          <w:szCs w:val="22"/>
        </w:rPr>
        <w:t xml:space="preserve"> no período imprescrito compreendido entre </w:t>
      </w:r>
      <w:r>
        <w:rPr>
          <w:rFonts w:cs="Calibri" w:ascii="Calibri" w:hAnsi="Calibri"/>
          <w:b/>
          <w:bCs/>
          <w:sz w:val="22"/>
          <w:szCs w:val="22"/>
        </w:rPr>
        <w:t>20/03/2017 e 19/12/2025</w:t>
      </w:r>
      <w:r>
        <w:rPr>
          <w:rFonts w:cs="Calibri" w:ascii="Calibri" w:hAnsi="Calibri"/>
          <w:sz w:val="22"/>
          <w:szCs w:val="22"/>
        </w:rPr>
        <w:t xml:space="preserve">, referente à rubrica </w:t>
      </w:r>
      <w:r>
        <w:rPr>
          <w:rFonts w:cs="Calibri" w:ascii="Calibri" w:hAnsi="Calibri"/>
          <w:b/>
          <w:bCs/>
          <w:sz w:val="22"/>
          <w:szCs w:val="22"/>
        </w:rPr>
        <w:t>“Seguro Mais Proteção”</w:t>
      </w:r>
      <w:r>
        <w:rPr>
          <w:rFonts w:cs="Calibri" w:ascii="Calibri" w:hAnsi="Calibri"/>
          <w:sz w:val="22"/>
          <w:szCs w:val="22"/>
        </w:rPr>
        <w:t xml:space="preserve">, </w:t>
      </w:r>
      <w:r>
        <w:rPr>
          <w:rFonts w:cs="Calibri" w:ascii="Calibri" w:hAnsi="Calibri"/>
          <w:b/>
          <w:bCs/>
          <w:sz w:val="22"/>
          <w:szCs w:val="22"/>
        </w:rPr>
        <w:t>sem qualquer autorização ou contratação prévia</w:t>
      </w:r>
      <w:r>
        <w:rPr>
          <w:rFonts w:cs="Calibri" w:ascii="Calibri" w:hAnsi="Calibri"/>
          <w:sz w:val="22"/>
          <w:szCs w:val="22"/>
        </w:rPr>
        <w:t>, conforme se comprova pelos extratos acostados aos autos.</w:t>
      </w:r>
    </w:p>
    <w:p>
      <w:pPr>
        <w:pStyle w:val="Padro"/>
        <w:tabs>
          <w:tab w:val="left" w:pos="567"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r>
    </w:p>
    <w:p>
      <w:pPr>
        <w:pStyle w:val="Padro"/>
        <w:tabs>
          <w:tab w:val="left" w:pos="567" w:leader="none"/>
          <w:tab w:val="left" w:pos="708" w:leader="none"/>
        </w:tabs>
        <w:spacing w:lineRule="auto" w:line="300" w:before="0" w:after="0"/>
        <w:ind w:firstLine="1418" w:end="0"/>
        <w:jc w:val="both"/>
        <w:rPr/>
      </w:pPr>
      <w:r>
        <w:rPr>
          <w:rFonts w:cs="Calibri" w:ascii="Calibri" w:hAnsi="Calibri"/>
          <w:sz w:val="22"/>
          <w:szCs w:val="22"/>
        </w:rPr>
        <w:t xml:space="preserve">Registre-se, desde logo, que a parte requerente </w:t>
      </w:r>
      <w:r>
        <w:rPr>
          <w:rFonts w:cs="Calibri" w:ascii="Calibri" w:hAnsi="Calibri"/>
          <w:b/>
          <w:bCs/>
          <w:sz w:val="22"/>
          <w:szCs w:val="22"/>
        </w:rPr>
        <w:t>jamais autorizou, contratou ou anuiu</w:t>
      </w:r>
      <w:r>
        <w:rPr>
          <w:rFonts w:cs="Calibri" w:ascii="Calibri" w:hAnsi="Calibri"/>
          <w:sz w:val="22"/>
          <w:szCs w:val="22"/>
        </w:rPr>
        <w:t xml:space="preserve"> com a inclusão de quaisquer produtos ou serviços vinculados às mencionadas cobranças, inexistindo relação jurídica válida que pudesse legitimar os lançamentos efetuados em sua conta corrente.</w:t>
      </w:r>
    </w:p>
    <w:p>
      <w:pPr>
        <w:pStyle w:val="Padro"/>
        <w:tabs>
          <w:tab w:val="left" w:pos="567"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r>
    </w:p>
    <w:p>
      <w:pPr>
        <w:pStyle w:val="Padro"/>
        <w:tabs>
          <w:tab w:val="left" w:pos="567" w:leader="none"/>
          <w:tab w:val="left" w:pos="708" w:leader="none"/>
        </w:tabs>
        <w:spacing w:lineRule="auto" w:line="300" w:before="0" w:after="0"/>
        <w:ind w:firstLine="1418" w:end="0"/>
        <w:jc w:val="both"/>
        <w:rPr/>
      </w:pPr>
      <w:r>
        <w:rPr>
          <w:rFonts w:cs="Calibri" w:ascii="Calibri" w:hAnsi="Calibri"/>
          <w:sz w:val="22"/>
          <w:szCs w:val="22"/>
        </w:rPr>
        <w:t>Diante da identificação das cobranças indevidas, a parte requerente buscou, por diversas vezes, solucionar a questão de forma administrativa, dirigindo-se ao banco requerido para obter esclarecimentos e o devido estorno dos valores. O requerido procedeu a suspensão dos descontos, contudo, até o presente momento não houve qualquer providência efetiva para a restituição das quantias indevidamente subtraídas, restando frustrada a tentativa de resolução extrajudicial do conflito.</w:t>
      </w:r>
    </w:p>
    <w:p>
      <w:pPr>
        <w:pStyle w:val="Padro"/>
        <w:tabs>
          <w:tab w:val="left" w:pos="567"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r>
    </w:p>
    <w:p>
      <w:pPr>
        <w:pStyle w:val="Padro"/>
        <w:tabs>
          <w:tab w:val="left" w:pos="567" w:leader="none"/>
          <w:tab w:val="left" w:pos="708" w:leader="none"/>
        </w:tabs>
        <w:spacing w:lineRule="auto" w:line="300" w:before="0" w:after="0"/>
        <w:ind w:firstLine="1418" w:end="0"/>
        <w:jc w:val="both"/>
        <w:rPr/>
      </w:pPr>
      <w:r>
        <w:rPr>
          <w:rFonts w:cs="Calibri" w:ascii="Calibri" w:hAnsi="Calibri"/>
          <w:sz w:val="22"/>
          <w:szCs w:val="22"/>
        </w:rPr>
        <w:t xml:space="preserve">Consoante se extrai dos documentos bancários anexos, os descontos relativos perfazem o montante total de </w:t>
      </w:r>
      <w:r>
        <w:rPr>
          <w:rFonts w:cs="Calibri" w:ascii="Calibri" w:hAnsi="Calibri"/>
          <w:b/>
          <w:bCs/>
          <w:sz w:val="22"/>
          <w:szCs w:val="22"/>
        </w:rPr>
        <w:t>R$ 303,16 (trezentos e três reais e dezesseis centavos)</w:t>
      </w:r>
      <w:r>
        <w:rPr>
          <w:rFonts w:cs="Calibri" w:ascii="Calibri" w:hAnsi="Calibri"/>
          <w:sz w:val="22"/>
          <w:szCs w:val="22"/>
        </w:rPr>
        <w:t>, valor este indevidamente retirado da conta da parte requerente.</w:t>
      </w:r>
    </w:p>
    <w:p>
      <w:pPr>
        <w:pStyle w:val="Padro"/>
        <w:tabs>
          <w:tab w:val="left" w:pos="567"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r>
    </w:p>
    <w:p>
      <w:pPr>
        <w:pStyle w:val="Padro"/>
        <w:tabs>
          <w:tab w:val="left" w:pos="567" w:leader="none"/>
          <w:tab w:val="left" w:pos="708" w:leader="none"/>
        </w:tabs>
        <w:spacing w:lineRule="auto" w:line="300" w:before="0" w:after="0"/>
        <w:ind w:firstLine="1418" w:end="0"/>
        <w:jc w:val="both"/>
        <w:rPr/>
      </w:pPr>
      <w:r>
        <w:rPr>
          <w:rFonts w:cs="Calibri" w:ascii="Calibri" w:hAnsi="Calibri"/>
          <w:sz w:val="22"/>
          <w:szCs w:val="22"/>
        </w:rPr>
        <w:t xml:space="preserve">Ressalte-se, novamente, que inexiste qualquer autorização válida ou manifestação de vontade da parte requerente que pudesse legitimar tais cobranças, evidenciando-se, portanto, a </w:t>
      </w:r>
      <w:r>
        <w:rPr>
          <w:rFonts w:cs="Calibri" w:ascii="Calibri" w:hAnsi="Calibri"/>
          <w:b/>
          <w:bCs/>
          <w:sz w:val="22"/>
          <w:szCs w:val="22"/>
        </w:rPr>
        <w:t>indevida apropriação de valores</w:t>
      </w:r>
      <w:r>
        <w:rPr>
          <w:rFonts w:cs="Calibri" w:ascii="Calibri" w:hAnsi="Calibri"/>
          <w:sz w:val="22"/>
          <w:szCs w:val="22"/>
        </w:rPr>
        <w:t xml:space="preserve"> e a flagrante falha na prestação do serviço bancário.</w:t>
      </w:r>
    </w:p>
    <w:p>
      <w:pPr>
        <w:pStyle w:val="Padro"/>
        <w:tabs>
          <w:tab w:val="left" w:pos="567"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r>
    </w:p>
    <w:p>
      <w:pPr>
        <w:pStyle w:val="Padro"/>
        <w:tabs>
          <w:tab w:val="left" w:pos="567" w:leader="none"/>
          <w:tab w:val="left" w:pos="708" w:leader="none"/>
        </w:tabs>
        <w:spacing w:lineRule="auto" w:line="300" w:before="0" w:after="0"/>
        <w:ind w:firstLine="1418" w:end="0"/>
        <w:jc w:val="both"/>
        <w:rPr/>
      </w:pPr>
      <w:r>
        <w:rPr>
          <w:rFonts w:cs="Calibri" w:ascii="Calibri" w:hAnsi="Calibri"/>
          <w:sz w:val="22"/>
          <w:szCs w:val="22"/>
        </w:rPr>
        <w:t xml:space="preserve">Por fim, diante da reiterada negativa do banco requerido em solucionar administrativamente a irregularidade apontada, restou à parte requerente </w:t>
      </w:r>
      <w:r>
        <w:rPr>
          <w:rFonts w:cs="Calibri" w:ascii="Calibri" w:hAnsi="Calibri"/>
          <w:b/>
          <w:bCs/>
          <w:sz w:val="22"/>
          <w:szCs w:val="22"/>
        </w:rPr>
        <w:t>não outra alternativa senão recorrer ao Poder Judiciário</w:t>
      </w:r>
      <w:r>
        <w:rPr>
          <w:rFonts w:cs="Calibri" w:ascii="Calibri" w:hAnsi="Calibri"/>
          <w:sz w:val="22"/>
          <w:szCs w:val="22"/>
        </w:rPr>
        <w:t>, a fim de ver reconhecida a ilegalidade das cobranças realizadas e obter a devida reparação pelos prejuízos suportados.</w:t>
      </w:r>
    </w:p>
    <w:p>
      <w:pPr>
        <w:pStyle w:val="Padro"/>
        <w:tabs>
          <w:tab w:val="left" w:pos="567"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r>
    </w:p>
    <w:p>
      <w:pPr>
        <w:pStyle w:val="Padro"/>
        <w:tabs>
          <w:tab w:val="left" w:pos="567" w:leader="none"/>
          <w:tab w:val="left" w:pos="708" w:leader="none"/>
        </w:tabs>
        <w:spacing w:lineRule="auto" w:line="300" w:before="0" w:after="0"/>
        <w:ind w:firstLine="1418" w:end="0"/>
        <w:jc w:val="both"/>
        <w:rPr/>
      </w:pPr>
      <w:r>
        <w:rPr>
          <w:rFonts w:cs="Calibri" w:ascii="Calibri" w:hAnsi="Calibri"/>
          <w:sz w:val="22"/>
          <w:szCs w:val="22"/>
        </w:rPr>
        <w:t xml:space="preserve">Dessa forma, à luz dos fatos narrados e devidamente comprovados nos autos, mostra-se </w:t>
      </w:r>
      <w:r>
        <w:rPr>
          <w:rFonts w:cs="Calibri" w:ascii="Calibri" w:hAnsi="Calibri"/>
          <w:b/>
          <w:bCs/>
          <w:sz w:val="22"/>
          <w:szCs w:val="22"/>
        </w:rPr>
        <w:t>inequívoco o dever do requerido de reparar os danos causados à parte requerente</w:t>
      </w:r>
      <w:r>
        <w:rPr>
          <w:rFonts w:cs="Calibri" w:ascii="Calibri" w:hAnsi="Calibri"/>
          <w:sz w:val="22"/>
          <w:szCs w:val="22"/>
        </w:rPr>
        <w:t>, como forma de recompor os prejuízos materiais sofridos e restaurar o equilíbrio da relação de consumo violada.</w:t>
      </w:r>
    </w:p>
    <w:p>
      <w:pPr>
        <w:pStyle w:val="Padro"/>
        <w:tabs>
          <w:tab w:val="clear" w:pos="708"/>
          <w:tab w:val="left" w:pos="567" w:leader="none"/>
        </w:tabs>
        <w:spacing w:lineRule="auto" w:line="300" w:before="0" w:after="0"/>
        <w:ind w:firstLine="1418" w:end="0"/>
        <w:jc w:val="both"/>
        <w:rPr>
          <w:rFonts w:ascii="Calibri" w:hAnsi="Calibri" w:cs="Calibri"/>
          <w:color w:val="000000"/>
          <w:sz w:val="20"/>
          <w:szCs w:val="20"/>
        </w:rPr>
      </w:pPr>
      <w:r>
        <w:rPr>
          <w:rFonts w:cs="Calibri" w:ascii="Calibri" w:hAnsi="Calibri"/>
          <w:color w:val="000000"/>
          <w:sz w:val="20"/>
          <w:szCs w:val="20"/>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lang w:val="pt-BR"/>
        </w:rPr>
      </w:pPr>
      <w:r>
        <w:rPr>
          <w:rFonts w:cs="Calibri"/>
          <w:b/>
          <w:lang w:val="pt-BR"/>
        </w:rPr>
        <w:t>3 – DO DIREITO</w:t>
      </w:r>
    </w:p>
    <w:p>
      <w:pPr>
        <w:pStyle w:val="Normal"/>
        <w:spacing w:lineRule="auto" w:line="300"/>
        <w:ind w:firstLine="2268" w:start="-567" w:end="0"/>
        <w:jc w:val="both"/>
        <w:rPr>
          <w:rFonts w:cs="Calibri"/>
          <w:b/>
          <w:lang w:val="pt-BR"/>
        </w:rPr>
      </w:pPr>
      <w:r>
        <w:rPr>
          <w:rFonts w:cs="Calibri"/>
          <w:b/>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bookmarkStart w:id="0" w:name="_Hlk49872811"/>
      <w:r>
        <w:rPr>
          <w:rFonts w:cs="Calibri"/>
          <w:b/>
          <w:lang w:val="pt-BR"/>
        </w:rPr>
        <w:t xml:space="preserve">3.1 – DA RELAÇÃO DE CONSUMO </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 xml:space="preserve">No caso em exame, verifica-se, de forma inequívoca, a existência de relação de consumo, nos exatos termos delineados pelo Código de Defesa do Consumidor, sendo a parte requerente enquadrada no conceito legal de consumidor, conforme dispõe o art. 2º do referido diploma legal. </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Dispõe o art. 2º do CDC que </w:t>
      </w:r>
      <w:r>
        <w:rPr>
          <w:rFonts w:cs="Calibri"/>
          <w:b/>
          <w:bCs/>
          <w:lang w:val="pt-BR"/>
        </w:rPr>
        <w:t>consumidor é toda pessoa física ou jurídica que adquire ou utiliza produto ou serviço como destinatário final</w:t>
      </w:r>
      <w:r>
        <w:rPr>
          <w:rFonts w:cs="Calibri"/>
          <w:lang w:val="pt-BR"/>
        </w:rPr>
        <w:t>, abrangendo, ainda, por força de seu parágrafo único, a coletividade de pessoas que haja intervindo nas relações de consumo.</w:t>
      </w:r>
    </w:p>
    <w:p>
      <w:pPr>
        <w:pStyle w:val="Normal"/>
        <w:spacing w:lineRule="auto" w:line="300"/>
        <w:ind w:firstLine="2835" w:end="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2° do CDC – </w:t>
      </w:r>
      <w:r>
        <w:rPr>
          <w:rFonts w:cs="Calibri"/>
          <w:b/>
          <w:sz w:val="20"/>
          <w:szCs w:val="20"/>
          <w:lang w:val="pt-BR"/>
        </w:rPr>
        <w:t>Consumidor é toda pessoa física ou jurídica que adquire ou utilize produto ou serviço como destinatário final.</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Parágrafo único. Equipara-se a consumidor a coletividade de pessoas, ainda que indetermináveis, que haja intervindo nas relações de consumo. (Grifo nosso)</w:t>
      </w:r>
    </w:p>
    <w:p>
      <w:pPr>
        <w:pStyle w:val="Normal"/>
        <w:spacing w:lineRule="auto" w:line="300"/>
        <w:ind w:firstLine="2835" w:end="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 xml:space="preserve">De outro lado, figura o requerido na condição de fornecedor, por se tratar de pessoa jurídica de direito privado que atua na prestação de serviços bancários e securitários, enquadrando-se, portanto, no conceito previsto no art. 3º do Código de Defesa do Consumidor. </w:t>
      </w:r>
    </w:p>
    <w:p>
      <w:pPr>
        <w:pStyle w:val="Normal"/>
        <w:spacing w:lineRule="auto" w:line="300"/>
        <w:ind w:firstLine="1701" w:end="0"/>
        <w:jc w:val="both"/>
        <w:rPr>
          <w:rFonts w:cs="Calibri"/>
          <w:lang w:val="pt-BR"/>
        </w:rPr>
      </w:pPr>
      <w:r>
        <w:rPr>
          <w:rFonts w:cs="Calibri"/>
          <w:lang w:val="pt-BR"/>
        </w:rPr>
      </w:r>
    </w:p>
    <w:p>
      <w:pPr>
        <w:pStyle w:val="Normal"/>
        <w:spacing w:lineRule="auto" w:line="240"/>
        <w:ind w:start="2268" w:end="0"/>
        <w:jc w:val="both"/>
        <w:rPr/>
      </w:pPr>
      <w:r>
        <w:rPr>
          <w:rFonts w:cs="Calibr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Pr>
          <w:rFonts w:cs="Calibri"/>
          <w:b/>
          <w:sz w:val="20"/>
          <w:szCs w:val="20"/>
          <w:lang w:val="pt-BR"/>
        </w:rPr>
        <w:t>distribuição ou comercialização de produtos ou prestação de serviços</w:t>
      </w:r>
      <w:r>
        <w:rPr>
          <w:rFonts w:cs="Calibri"/>
          <w:sz w:val="20"/>
          <w:szCs w:val="20"/>
          <w:lang w:val="pt-BR"/>
        </w:rPr>
        <w:t xml:space="preserve">. </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§1° Produto é qualquer bem, móvel ou imóvel, material ou imaterial.</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pPr>
      <w:r>
        <w:rPr>
          <w:rFonts w:cs="Calibr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pPr>
        <w:pStyle w:val="Normal"/>
        <w:spacing w:lineRule="auto" w:line="300"/>
        <w:ind w:firstLine="1701" w:end="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 xml:space="preserve">Nos termos do §2º do art. 3º do CDC, considera-se serviço </w:t>
      </w:r>
      <w:r>
        <w:rPr>
          <w:rFonts w:cs="Calibri"/>
          <w:b/>
          <w:bCs/>
          <w:lang w:val="pt-BR"/>
        </w:rPr>
        <w:t>qualquer atividade fornecida no mercado de consumo mediante remuneração, inclusive as de natureza bancária, financeira, de crédito e securitária</w:t>
      </w:r>
      <w:r>
        <w:rPr>
          <w:rFonts w:cs="Calibri"/>
          <w:lang w:val="pt-BR"/>
        </w:rPr>
        <w:t>, circunstância que reforça, de modo categórico, a incidência das normas consumeristas à hipótese dos autos.</w:t>
      </w:r>
    </w:p>
    <w:p>
      <w:pPr>
        <w:pStyle w:val="Normal"/>
        <w:spacing w:lineRule="auto" w:line="300"/>
        <w:ind w:firstLine="1701"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A propósito, a doutrina é pacífica quanto à amplitude do conceito de fornecedor, consoante leciona </w:t>
      </w:r>
      <w:r>
        <w:rPr>
          <w:rFonts w:cs="Calibri"/>
          <w:b/>
          <w:bCs/>
          <w:lang w:val="pt-BR"/>
        </w:rPr>
        <w:t>Rizzatto Nunes</w:t>
      </w:r>
      <w:r>
        <w:rPr>
          <w:rFonts w:cs="Calibri"/>
          <w:lang w:val="pt-BR"/>
        </w:rPr>
        <w:t>, ao afirmar que:</w:t>
      </w:r>
    </w:p>
    <w:p>
      <w:pPr>
        <w:pStyle w:val="Normal"/>
        <w:spacing w:lineRule="auto" w:line="300"/>
        <w:ind w:firstLine="1701" w:end="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pPr>
        <w:pStyle w:val="Normal"/>
        <w:spacing w:lineRule="auto" w:line="300"/>
        <w:ind w:firstLine="1701" w:end="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 xml:space="preserve">Dessa forma, não subsistem dúvidas quanto à condição da empresa requerida como fornecedora de serviços, devendo, por conseguinte, </w:t>
      </w:r>
      <w:r>
        <w:rPr>
          <w:rFonts w:cs="Calibri"/>
          <w:b/>
          <w:bCs/>
          <w:lang w:val="pt-BR"/>
        </w:rPr>
        <w:t>responder objetivamente pelos atos ilícitos e práticas abusivas perpetradas</w:t>
      </w:r>
      <w:r>
        <w:rPr>
          <w:rFonts w:cs="Calibri"/>
          <w:lang w:val="pt-BR"/>
        </w:rPr>
        <w:t>, nos termos da legislação consumerista, inclusive quanto ao dever de reparação dos danos causados à parte requerente.</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Assim, mostra-se plenamente aplicável o Código de Defesa do Consumidor à presente demanda, porquanto configurados, de maneira cristalina, os elementos subjetivos e objetivos da relação de consumo, inexistindo qualquer óbice jurídico à incidência das normas protetivas previstas no referido diploma legal.</w:t>
      </w:r>
    </w:p>
    <w:p>
      <w:pPr>
        <w:pStyle w:val="Normal"/>
        <w:spacing w:lineRule="auto" w:line="30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 xml:space="preserve">3.2 - DA RESPONSABILIDADE OBJETIVA NO CDC </w:t>
      </w:r>
    </w:p>
    <w:p>
      <w:pPr>
        <w:pStyle w:val="Normal"/>
        <w:spacing w:lineRule="auto" w:line="300"/>
        <w:jc w:val="both"/>
        <w:rPr>
          <w:rFonts w:cs="Calibri"/>
          <w:lang w:val="pt-BR"/>
        </w:rPr>
      </w:pPr>
      <w:r>
        <w:rPr>
          <w:rFonts w:cs="Calibri"/>
          <w:lang w:val="pt-BR"/>
        </w:rPr>
        <w:t xml:space="preserve"> </w:t>
      </w:r>
    </w:p>
    <w:p>
      <w:pPr>
        <w:pStyle w:val="Normal"/>
        <w:tabs>
          <w:tab w:val="clear" w:pos="720"/>
          <w:tab w:val="left" w:pos="1418" w:leader="none"/>
        </w:tabs>
        <w:spacing w:lineRule="auto" w:line="300"/>
        <w:ind w:firstLine="1701" w:end="0"/>
        <w:jc w:val="both"/>
        <w:rPr>
          <w:rFonts w:cs="Calibri"/>
          <w:lang w:val="pt-BR"/>
        </w:rPr>
      </w:pPr>
      <w:r>
        <w:rPr>
          <w:rFonts w:cs="Calibri"/>
          <w:lang w:val="pt-BR"/>
        </w:rPr>
        <w:t>No caso em análise, impõe-se o reconhecimento da responsabilidade objetiva da empresa requerida, na condição de fornecedora e prestadora de serviços, nos termos do art. 14 do Código de Defesa do Consumidor, o qual disciplina, de forma expressa, a responsabilidade civil no âmbito das relações de consumo.</w:t>
      </w:r>
    </w:p>
    <w:p>
      <w:pPr>
        <w:pStyle w:val="Normal"/>
        <w:tabs>
          <w:tab w:val="clear" w:pos="720"/>
          <w:tab w:val="left" w:pos="1418" w:leader="none"/>
        </w:tabs>
        <w:spacing w:lineRule="auto" w:line="300"/>
        <w:ind w:firstLine="1701" w:end="0"/>
        <w:jc w:val="both"/>
        <w:rPr>
          <w:rFonts w:cs="Calibri"/>
          <w:lang w:val="pt-BR"/>
        </w:rPr>
      </w:pPr>
      <w:r>
        <w:rPr>
          <w:rFonts w:cs="Calibri"/>
          <w:lang w:val="pt-BR"/>
        </w:rPr>
      </w:r>
    </w:p>
    <w:p>
      <w:pPr>
        <w:pStyle w:val="Normal"/>
        <w:tabs>
          <w:tab w:val="clear" w:pos="720"/>
          <w:tab w:val="left" w:pos="1418" w:leader="none"/>
        </w:tabs>
        <w:spacing w:lineRule="auto" w:line="300"/>
        <w:ind w:firstLine="1701" w:end="0"/>
        <w:jc w:val="both"/>
        <w:rPr>
          <w:rFonts w:cs="Calibri"/>
          <w:lang w:val="pt-BR"/>
        </w:rPr>
      </w:pPr>
      <w:r>
        <w:rPr>
          <w:rFonts w:cs="Calibri"/>
          <w:lang w:val="pt-BR"/>
        </w:rPr>
        <w:t xml:space="preserve">Dispõe o art. 14 do CDC que o fornecedor de serviços </w:t>
      </w:r>
      <w:r>
        <w:rPr>
          <w:rFonts w:cs="Calibri"/>
          <w:b/>
          <w:bCs/>
          <w:lang w:val="pt-BR"/>
        </w:rPr>
        <w:t>responde independentemente da existência de culpa</w:t>
      </w:r>
      <w:r>
        <w:rPr>
          <w:rFonts w:cs="Calibri"/>
          <w:lang w:val="pt-BR"/>
        </w:rPr>
        <w:t xml:space="preserve"> pela reparação dos danos causados aos consumidores por defeitos relativos à prestação dos serviços, bem como por informações insuficientes ou inadequadas acerca de sua fruição e riscos.</w:t>
      </w:r>
    </w:p>
    <w:p>
      <w:pPr>
        <w:pStyle w:val="Normal"/>
        <w:tabs>
          <w:tab w:val="clear" w:pos="720"/>
          <w:tab w:val="left" w:pos="1418" w:leader="none"/>
        </w:tabs>
        <w:spacing w:lineRule="auto" w:line="300"/>
        <w:ind w:firstLine="1701" w:end="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 1º - O serviço é defeituoso quando não fornece a segurança que o consumidor dele pode esperar, levando-se em consideração as circunstâncias relevantes, entre as quais:</w:t>
      </w:r>
    </w:p>
    <w:p>
      <w:pPr>
        <w:pStyle w:val="Normal"/>
        <w:spacing w:lineRule="auto" w:line="240"/>
        <w:ind w:start="2268" w:end="0"/>
        <w:jc w:val="both"/>
        <w:rPr>
          <w:rFonts w:cs="Calibri"/>
          <w:sz w:val="20"/>
          <w:szCs w:val="20"/>
          <w:lang w:val="pt-BR"/>
        </w:rPr>
      </w:pPr>
      <w:r>
        <w:rPr>
          <w:rFonts w:cs="Calibri"/>
          <w:sz w:val="20"/>
          <w:szCs w:val="20"/>
          <w:lang w:val="pt-BR"/>
        </w:rPr>
        <w:t xml:space="preserve"> </w:t>
      </w:r>
    </w:p>
    <w:p>
      <w:pPr>
        <w:pStyle w:val="Normal"/>
        <w:spacing w:lineRule="auto" w:line="240"/>
        <w:ind w:start="2268" w:end="0"/>
        <w:jc w:val="both"/>
        <w:rPr>
          <w:rFonts w:cs="Calibri"/>
          <w:sz w:val="20"/>
          <w:szCs w:val="20"/>
          <w:lang w:val="pt-BR"/>
        </w:rPr>
      </w:pPr>
      <w:r>
        <w:rPr>
          <w:rFonts w:cs="Calibri"/>
          <w:sz w:val="20"/>
          <w:szCs w:val="20"/>
          <w:lang w:val="pt-BR"/>
        </w:rPr>
        <w:t>I - o modo de seu fornecimento; (...)</w:t>
      </w:r>
    </w:p>
    <w:p>
      <w:pPr>
        <w:pStyle w:val="Normal"/>
        <w:spacing w:lineRule="auto" w:line="300"/>
        <w:ind w:firstLine="2268" w:start="-567" w:end="0"/>
        <w:jc w:val="both"/>
        <w:rPr>
          <w:rFonts w:cs="Calibri"/>
          <w:sz w:val="20"/>
          <w:szCs w:val="20"/>
          <w:lang w:val="pt-BR"/>
        </w:rPr>
      </w:pPr>
      <w:r>
        <w:rPr>
          <w:rFonts w:cs="Calibri"/>
          <w:sz w:val="20"/>
          <w:szCs w:val="20"/>
          <w:lang w:val="pt-BR"/>
        </w:rPr>
      </w:r>
    </w:p>
    <w:p>
      <w:pPr>
        <w:pStyle w:val="Normal"/>
        <w:spacing w:lineRule="auto" w:line="300"/>
        <w:ind w:firstLine="1701" w:end="0"/>
        <w:jc w:val="both"/>
        <w:rPr/>
      </w:pPr>
      <w:r>
        <w:rPr>
          <w:rFonts w:cs="Calibri"/>
          <w:lang w:val="pt-BR"/>
        </w:rPr>
        <w:t xml:space="preserve">Nos termos do §1º do referido dispositivo legal, considera-se defeituoso o serviço que </w:t>
      </w:r>
      <w:r>
        <w:rPr>
          <w:rFonts w:cs="Calibri"/>
          <w:b/>
          <w:bCs/>
          <w:lang w:val="pt-BR"/>
        </w:rPr>
        <w:t>não fornece a segurança que o consumidor dele pode legitimamente esperar</w:t>
      </w:r>
      <w:r>
        <w:rPr>
          <w:rFonts w:cs="Calibri"/>
          <w:lang w:val="pt-BR"/>
        </w:rPr>
        <w:t>, levando-se em conta, dentre outras circunstâncias relevantes, o modo de seu fornecimento.</w:t>
      </w:r>
    </w:p>
    <w:p>
      <w:pPr>
        <w:pStyle w:val="Normal"/>
        <w:spacing w:lineRule="auto" w:line="300"/>
        <w:ind w:firstLine="1701" w:end="0"/>
        <w:jc w:val="both"/>
        <w:rPr>
          <w:rFonts w:cs="Calibri"/>
          <w:lang w:val="pt-BR"/>
        </w:rPr>
      </w:pPr>
      <w:r>
        <w:rPr>
          <w:rFonts w:cs="Calibri"/>
          <w:lang w:val="pt-BR"/>
        </w:rPr>
      </w:r>
    </w:p>
    <w:p>
      <w:pPr>
        <w:pStyle w:val="Normal"/>
        <w:spacing w:lineRule="auto" w:line="300"/>
        <w:ind w:firstLine="1701" w:end="0"/>
        <w:jc w:val="both"/>
        <w:rPr/>
      </w:pPr>
      <w:r>
        <w:rPr>
          <w:rFonts w:cs="Calibri"/>
          <w:lang w:val="pt-BR"/>
        </w:rPr>
        <w:t xml:space="preserve">Desse modo, o ordenamento jurídico pátrio é inequívoco ao estabelecer que, configurada a relação de consumo, o fornecedor de serviços </w:t>
      </w:r>
      <w:r>
        <w:rPr>
          <w:rFonts w:cs="Calibri"/>
          <w:b/>
          <w:bCs/>
          <w:lang w:val="pt-BR"/>
        </w:rPr>
        <w:t>assume o risco da atividade que desenvolve</w:t>
      </w:r>
      <w:r>
        <w:rPr>
          <w:rFonts w:cs="Calibri"/>
          <w:lang w:val="pt-BR"/>
        </w:rPr>
        <w:t>, sendo-lhe imposta a obrigação de indenizar os danos causados ao consumidor, independentemente da demonstração de culpa, bastando a comprovação do defeito na prestação do serviço e do nexo causal com o dano suportado.</w:t>
      </w:r>
    </w:p>
    <w:p>
      <w:pPr>
        <w:pStyle w:val="Normal"/>
        <w:spacing w:lineRule="auto" w:line="300"/>
        <w:ind w:firstLine="1701" w:end="0"/>
        <w:jc w:val="both"/>
        <w:rPr>
          <w:rFonts w:cs="Calibri"/>
          <w:lang w:val="pt-BR"/>
        </w:rPr>
      </w:pPr>
      <w:r>
        <w:rPr>
          <w:rFonts w:cs="Calibri"/>
          <w:lang w:val="pt-BR"/>
        </w:rPr>
      </w:r>
    </w:p>
    <w:p>
      <w:pPr>
        <w:pStyle w:val="Normal"/>
        <w:spacing w:lineRule="auto" w:line="300"/>
        <w:ind w:firstLine="1701" w:end="0"/>
        <w:jc w:val="both"/>
        <w:rPr>
          <w:rFonts w:cs="Calibri"/>
          <w:lang w:val="pt-BR"/>
        </w:rPr>
      </w:pPr>
      <w:r>
        <w:rPr>
          <w:rFonts w:cs="Calibri"/>
          <w:lang w:val="pt-BR"/>
        </w:rPr>
        <w:t xml:space="preserve">No caso concreto, a realização de </w:t>
      </w:r>
      <w:r>
        <w:rPr>
          <w:rFonts w:cs="Calibri"/>
          <w:b/>
          <w:bCs/>
          <w:lang w:val="pt-BR"/>
        </w:rPr>
        <w:t>descontos indevidos e não autorizados</w:t>
      </w:r>
      <w:r>
        <w:rPr>
          <w:rFonts w:cs="Calibri"/>
          <w:lang w:val="pt-BR"/>
        </w:rPr>
        <w:t xml:space="preserve"> na conta bancária da parte requerente evidencia falha na prestação do serviço, caracterizando serviço defeituoso, na medida em que violou a legítima expectativa de segurança, transparência e confiança que o consumidor deposita na instituição financeira, além de lhe ocasionar prejuízos patrimoniais efetivos.</w:t>
      </w:r>
    </w:p>
    <w:p>
      <w:pPr>
        <w:pStyle w:val="Normal"/>
        <w:spacing w:lineRule="auto" w:line="300"/>
        <w:ind w:firstLine="1701" w:end="0"/>
        <w:jc w:val="both"/>
        <w:rPr>
          <w:rFonts w:cs="Calibri"/>
          <w:lang w:val="pt-BR"/>
        </w:rPr>
      </w:pPr>
      <w:r>
        <w:rPr>
          <w:rFonts w:cs="Calibri"/>
          <w:lang w:val="pt-BR"/>
        </w:rPr>
      </w:r>
    </w:p>
    <w:p>
      <w:pPr>
        <w:pStyle w:val="Normal"/>
        <w:spacing w:lineRule="auto" w:line="300"/>
        <w:ind w:firstLine="1701" w:end="0"/>
        <w:jc w:val="both"/>
        <w:rPr>
          <w:rFonts w:cs="Calibri"/>
          <w:lang w:val="pt-BR"/>
        </w:rPr>
      </w:pPr>
      <w:r>
        <w:rPr>
          <w:rFonts w:cs="Calibri"/>
          <w:lang w:val="pt-BR"/>
        </w:rPr>
        <w:t>A doutrina é uníssona ao reconhecer a adoção da responsabilidade objetiva nas relações de consumo, conforme leciona Sílvio de Salvo Venosa, ao afirmar que:</w:t>
      </w:r>
    </w:p>
    <w:p>
      <w:pPr>
        <w:pStyle w:val="Normal"/>
        <w:spacing w:lineRule="auto" w:line="300"/>
        <w:ind w:firstLine="2835" w:end="0"/>
        <w:jc w:val="both"/>
        <w:rPr>
          <w:rFonts w:cs="Calibri"/>
          <w:lang w:val="pt-BR"/>
        </w:rPr>
      </w:pPr>
      <w:r>
        <w:rPr>
          <w:rFonts w:cs="Calibri"/>
          <w:lang w:val="pt-BR"/>
        </w:rPr>
      </w:r>
    </w:p>
    <w:p>
      <w:pPr>
        <w:pStyle w:val="Normal"/>
        <w:spacing w:lineRule="auto" w:line="240"/>
        <w:ind w:start="2268" w:end="0"/>
        <w:jc w:val="both"/>
        <w:rPr/>
      </w:pPr>
      <w:r>
        <w:rPr>
          <w:rFonts w:cs="Calibr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pPr>
        <w:pStyle w:val="Normal"/>
        <w:spacing w:lineRule="auto" w:line="300"/>
        <w:ind w:firstLine="2835" w:end="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 xml:space="preserve">Assim, à luz do art. 14 do Código de Defesa do Consumidor e da doutrina dominante, resta plenamente caracterizada a </w:t>
      </w:r>
      <w:r>
        <w:rPr>
          <w:rFonts w:cs="Calibri"/>
          <w:b/>
          <w:bCs/>
          <w:lang w:val="pt-BR"/>
        </w:rPr>
        <w:t>responsabilidade objetiva da empresa requerida</w:t>
      </w:r>
      <w:r>
        <w:rPr>
          <w:rFonts w:cs="Calibri"/>
          <w:lang w:val="pt-BR"/>
        </w:rPr>
        <w:t>, impondo-se o dever de reparar integralmente os danos causados à parte requerente em decorrência da falha na prestação dos serviços.</w:t>
      </w:r>
    </w:p>
    <w:p>
      <w:pPr>
        <w:pStyle w:val="Normal"/>
        <w:spacing w:lineRule="auto" w:line="300"/>
        <w:ind w:firstLine="283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3.3 – DA VIOLAÇÃO DO PRINCÍPIO DA BOA-FÉ OBJETIVA</w:t>
      </w:r>
    </w:p>
    <w:p>
      <w:pPr>
        <w:pStyle w:val="Normal"/>
        <w:spacing w:lineRule="auto" w:line="300"/>
        <w:jc w:val="both"/>
        <w:rPr>
          <w:rFonts w:cs="Calibri"/>
          <w:b/>
          <w:u w:val="single"/>
          <w:lang w:val="pt-BR"/>
        </w:rPr>
      </w:pPr>
      <w:r>
        <w:rPr>
          <w:rFonts w:cs="Calibri"/>
          <w:b/>
          <w:u w:val="single"/>
          <w:lang w:val="pt-BR"/>
        </w:rPr>
      </w:r>
    </w:p>
    <w:p>
      <w:pPr>
        <w:pStyle w:val="Normal"/>
        <w:tabs>
          <w:tab w:val="clear" w:pos="720"/>
          <w:tab w:val="left" w:pos="1720" w:leader="none"/>
        </w:tabs>
        <w:spacing w:lineRule="auto" w:line="300"/>
        <w:ind w:firstLine="1418" w:end="0"/>
        <w:jc w:val="both"/>
        <w:rPr/>
      </w:pPr>
      <w:r>
        <w:rPr>
          <w:rFonts w:cs="Calibri"/>
          <w:lang w:val="pt-BR"/>
        </w:rPr>
        <w:t xml:space="preserve">À luz da tutela da confiança que rege as relações de consumo, impõe-se que as condições contratuais sejam apresentadas ao consumidor de forma </w:t>
      </w:r>
      <w:r>
        <w:rPr>
          <w:rFonts w:cs="Calibri"/>
          <w:b/>
          <w:bCs/>
          <w:lang w:val="pt-BR"/>
        </w:rPr>
        <w:t>clara, precisa e transparente</w:t>
      </w:r>
      <w:r>
        <w:rPr>
          <w:rFonts w:cs="Calibri"/>
          <w:lang w:val="pt-BR"/>
        </w:rPr>
        <w:t xml:space="preserve">, não se admitindo condutas dissimuladas ou expedientes que comprometam a lealdade contratual, como aqueles verificados no caso em exame, porquanto frontalmente incompatíveis com o </w:t>
      </w:r>
      <w:r>
        <w:rPr>
          <w:rFonts w:cs="Calibri"/>
          <w:b/>
          <w:bCs/>
          <w:i/>
          <w:iCs/>
          <w:lang w:val="pt-BR"/>
        </w:rPr>
        <w:t>standard</w:t>
      </w:r>
      <w:r>
        <w:rPr>
          <w:rFonts w:cs="Calibri"/>
          <w:b/>
          <w:bCs/>
          <w:lang w:val="pt-BR"/>
        </w:rPr>
        <w:t xml:space="preserve"> de boa-fé objetiva</w:t>
      </w:r>
      <w:r>
        <w:rPr>
          <w:rFonts w:cs="Calibri"/>
          <w:lang w:val="pt-BR"/>
        </w:rPr>
        <w:t xml:space="preserve"> consagrado pela legislação consumerista.</w:t>
      </w:r>
    </w:p>
    <w:p>
      <w:pPr>
        <w:pStyle w:val="Normal"/>
        <w:tabs>
          <w:tab w:val="clear" w:pos="720"/>
          <w:tab w:val="left" w:pos="1720" w:leader="none"/>
        </w:tabs>
        <w:spacing w:lineRule="auto" w:line="300"/>
        <w:ind w:firstLine="1418" w:end="0"/>
        <w:jc w:val="both"/>
        <w:rPr>
          <w:rFonts w:cs="Calibri"/>
          <w:lang w:val="pt-BR"/>
        </w:rPr>
      </w:pPr>
      <w:r>
        <w:rPr>
          <w:rFonts w:cs="Calibri"/>
          <w:lang w:val="pt-BR"/>
        </w:rPr>
      </w:r>
    </w:p>
    <w:p>
      <w:pPr>
        <w:pStyle w:val="Normal"/>
        <w:tabs>
          <w:tab w:val="clear" w:pos="720"/>
          <w:tab w:val="left" w:pos="1720" w:leader="none"/>
        </w:tabs>
        <w:spacing w:lineRule="auto" w:line="300"/>
        <w:ind w:firstLine="1418" w:end="0"/>
        <w:jc w:val="both"/>
        <w:rPr>
          <w:rFonts w:cs="Calibri"/>
          <w:lang w:val="pt-BR"/>
        </w:rPr>
      </w:pPr>
      <w:r>
        <w:rPr>
          <w:rFonts w:cs="Calibri"/>
          <w:lang w:val="pt-BR"/>
        </w:rPr>
        <w:t>É incontroverso que, no contexto da relação jurídica estabelecida entre as partes, foram violados princípios basilares do Direito do Consumidor, em especial o princípio da boa-fé objetiva, o qual constitui verdadeiro pilar do direito contratual contemporâneo.</w:t>
      </w:r>
    </w:p>
    <w:p>
      <w:pPr>
        <w:pStyle w:val="Normal"/>
        <w:tabs>
          <w:tab w:val="clear" w:pos="720"/>
          <w:tab w:val="left" w:pos="1720" w:leader="none"/>
        </w:tabs>
        <w:spacing w:lineRule="auto" w:line="300"/>
        <w:ind w:firstLine="1418" w:end="0"/>
        <w:jc w:val="both"/>
        <w:rPr>
          <w:rFonts w:cs="Calibri"/>
          <w:lang w:val="pt-BR"/>
        </w:rPr>
      </w:pPr>
      <w:r>
        <w:rPr>
          <w:rFonts w:cs="Calibri"/>
          <w:lang w:val="pt-BR"/>
        </w:rPr>
      </w:r>
    </w:p>
    <w:p>
      <w:pPr>
        <w:pStyle w:val="Normal"/>
        <w:tabs>
          <w:tab w:val="clear" w:pos="720"/>
          <w:tab w:val="left" w:pos="1720" w:leader="none"/>
        </w:tabs>
        <w:spacing w:lineRule="auto" w:line="300"/>
        <w:ind w:firstLine="1418" w:end="0"/>
        <w:jc w:val="both"/>
        <w:rPr/>
      </w:pPr>
      <w:r>
        <w:rPr>
          <w:rFonts w:cs="Calibri"/>
          <w:lang w:val="pt-BR"/>
        </w:rPr>
        <w:t>A boa-fé objetiva impõe às partes um dever de lealdade, cooperação e correção de conduta, que se projeta antes, durante e após a formação do vínculo contratual, independentemente de previsão expressa no instrumento contratual, uma vez que se trata de princípio dotado de força normativa cogente, insuscetível de afastamento pela vontade das partes.</w:t>
      </w:r>
    </w:p>
    <w:p>
      <w:pPr>
        <w:pStyle w:val="Normal"/>
        <w:tabs>
          <w:tab w:val="clear" w:pos="720"/>
          <w:tab w:val="left" w:pos="1720" w:leader="none"/>
        </w:tabs>
        <w:spacing w:lineRule="auto" w:line="300"/>
        <w:ind w:firstLine="1418" w:end="0"/>
        <w:jc w:val="both"/>
        <w:rPr>
          <w:rFonts w:cs="Calibri"/>
          <w:lang w:val="pt-BR"/>
        </w:rPr>
      </w:pPr>
      <w:r>
        <w:rPr>
          <w:rFonts w:cs="Calibri"/>
          <w:lang w:val="pt-BR"/>
        </w:rPr>
      </w:r>
    </w:p>
    <w:p>
      <w:pPr>
        <w:pStyle w:val="Normal"/>
        <w:tabs>
          <w:tab w:val="clear" w:pos="720"/>
          <w:tab w:val="left" w:pos="1720" w:leader="none"/>
        </w:tabs>
        <w:spacing w:lineRule="auto" w:line="300"/>
        <w:ind w:firstLine="1418" w:end="0"/>
        <w:jc w:val="both"/>
        <w:rPr/>
      </w:pPr>
      <w:r>
        <w:rPr>
          <w:rFonts w:cs="Calibri"/>
          <w:lang w:val="pt-BR"/>
        </w:rPr>
        <w:t>Nesse contexto, o dever de informação revela-se como corolário lógico e indissociável da boa-fé objetiva, permeando toda a relação contratual, desde a fase pré-contratual até o momento posterior à sua extinção. Eventuais vícios ou omissões informacionais na fase pré-negocial comprometem a própria validade do vínculo jurídico, por afrontarem a função social dos contratos e a legítima expectativa de confiança do consumidor, situação manifestamente inadmissível nas relações de consumo.</w:t>
      </w:r>
    </w:p>
    <w:p>
      <w:pPr>
        <w:pStyle w:val="Normal"/>
        <w:tabs>
          <w:tab w:val="clear" w:pos="720"/>
          <w:tab w:val="left" w:pos="1720" w:leader="none"/>
        </w:tabs>
        <w:spacing w:lineRule="auto" w:line="300"/>
        <w:ind w:firstLine="1418" w:end="0"/>
        <w:jc w:val="both"/>
        <w:rPr>
          <w:rFonts w:cs="Calibri"/>
          <w:lang w:val="pt-BR"/>
        </w:rPr>
      </w:pPr>
      <w:r>
        <w:rPr>
          <w:rFonts w:cs="Calibri"/>
          <w:lang w:val="pt-BR"/>
        </w:rPr>
      </w:r>
    </w:p>
    <w:p>
      <w:pPr>
        <w:pStyle w:val="Normal"/>
        <w:tabs>
          <w:tab w:val="clear" w:pos="720"/>
          <w:tab w:val="left" w:pos="1720" w:leader="none"/>
        </w:tabs>
        <w:spacing w:lineRule="auto" w:line="300"/>
        <w:ind w:firstLine="1418" w:end="0"/>
        <w:jc w:val="both"/>
        <w:rPr/>
      </w:pPr>
      <w:r>
        <w:rPr>
          <w:rFonts w:cs="Calibri"/>
          <w:lang w:val="pt-BR"/>
        </w:rPr>
        <w:t>Ressalte-se que a boa-fé objetiva, nos contratos de consumo, não se restringe ao conteúdo literal das cláusulas contratuais, mas abrange toda e qualquer conduta adotada no âmbito da relação jurídica, compreendida como verdadeiro contato social existente entre fornecedor e consumidor. Assim, práticas abusivas, ainda que não expressamente previstas no instrumento contratual, configuram violação à boa-fé objetiva.</w:t>
      </w:r>
    </w:p>
    <w:p>
      <w:pPr>
        <w:pStyle w:val="Normal"/>
        <w:tabs>
          <w:tab w:val="clear" w:pos="720"/>
          <w:tab w:val="left" w:pos="1720" w:leader="none"/>
        </w:tabs>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Com efeito, foi exatamente essa a razão pela qual o legislador elevou a boa-fé objetiva à categoria de princípio geral das relações de consumo, nos termos do art. 4º, inciso III, do Código de Defesa do Consumidor, bem como previu, ao longo do diploma legal, um rol exemplificativo de práticas abusivas, notadamente para coibir condutas contratuais veladas ou disfarçadas, cuja identificação e comprovação se mostram, muitas vezes, mais complexas no plano fático.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Ademais, os contratos, em especial os de consumo, encontram-se necessariamente comprometidos com sua função social, sendo orientados pelos princípios da probidade, equidade e boa-fé, em detrimento de uma concepção absoluta da autonomia da vontade.</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O alcance normativo da boa-fé objetiva encontra respaldo expresso no art. 422 do Código Civil, segundo o qual </w:t>
      </w:r>
      <w:r>
        <w:rPr>
          <w:rFonts w:cs="Calibri"/>
          <w:i/>
          <w:iCs/>
          <w:lang w:val="pt-BR"/>
        </w:rPr>
        <w:t>“os contratantes são obrigados a guardar, assim na conclusão do contrato, como em sua execução, os princípios da probidade e da boa-fé”</w:t>
      </w:r>
      <w:r>
        <w:rPr>
          <w:rFonts w:cs="Calibri"/>
          <w:lang w:val="pt-BR"/>
        </w:rPr>
        <w:t>.</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Dessa forma, resta plenamente caracterizada a </w:t>
      </w:r>
      <w:r>
        <w:rPr>
          <w:rFonts w:cs="Calibri"/>
          <w:b/>
          <w:bCs/>
          <w:lang w:val="pt-BR"/>
        </w:rPr>
        <w:t>conduta ilícita e abusiva da empresa requerida</w:t>
      </w:r>
      <w:r>
        <w:rPr>
          <w:rFonts w:cs="Calibri"/>
          <w:lang w:val="pt-BR"/>
        </w:rPr>
        <w:t>, que, ao promover descontos indevidos e não autorizados na conta da parte requerente, violou de maneira frontal o princípio da boa-fé objetiva, ensejando a responsabilização civil e o consequente dever de reparação dos danos causados.</w:t>
      </w:r>
    </w:p>
    <w:p>
      <w:pPr>
        <w:pStyle w:val="Normal"/>
        <w:spacing w:lineRule="auto" w:line="300"/>
        <w:ind w:firstLine="283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 xml:space="preserve">3.4 – DO PEDIDO DE DECLARAÇÃO DE INEXISTÊNCIA DE DÉBITO </w:t>
      </w:r>
    </w:p>
    <w:p>
      <w:pPr>
        <w:pStyle w:val="Normal"/>
        <w:spacing w:lineRule="auto" w:line="300"/>
        <w:ind w:firstLine="2268" w:start="-567" w:end="0"/>
        <w:jc w:val="both"/>
        <w:rPr>
          <w:rFonts w:cs="Calibri"/>
          <w:lang w:val="pt-BR"/>
        </w:rPr>
      </w:pPr>
      <w:r>
        <w:rPr>
          <w:rFonts w:cs="Calibri"/>
          <w:lang w:val="pt-BR"/>
        </w:rPr>
        <w:t xml:space="preserve"> </w:t>
      </w:r>
    </w:p>
    <w:p>
      <w:pPr>
        <w:pStyle w:val="Normal"/>
        <w:spacing w:lineRule="auto" w:line="300"/>
        <w:ind w:firstLine="1418" w:end="0"/>
        <w:jc w:val="both"/>
        <w:rPr>
          <w:rFonts w:cs="Calibri"/>
          <w:lang w:val="pt-BR"/>
        </w:rPr>
      </w:pPr>
      <w:r>
        <w:rPr>
          <w:rFonts w:cs="Calibri"/>
          <w:lang w:val="pt-BR"/>
        </w:rPr>
        <w:t xml:space="preserve">Conforme amplamente demonstrado nos autos, a parte requerente </w:t>
      </w:r>
      <w:r>
        <w:rPr>
          <w:rFonts w:cs="Calibri"/>
          <w:b/>
          <w:bCs/>
          <w:lang w:val="pt-BR"/>
        </w:rPr>
        <w:t>jamais contratou</w:t>
      </w:r>
      <w:r>
        <w:rPr>
          <w:rFonts w:cs="Calibri"/>
          <w:lang w:val="pt-BR"/>
        </w:rPr>
        <w:t xml:space="preserve"> com o requerido o produto ou serviço denominado de </w:t>
      </w:r>
      <w:r>
        <w:rPr>
          <w:rFonts w:cs="Calibri"/>
          <w:b/>
          <w:bCs/>
          <w:lang w:val="pt-BR"/>
        </w:rPr>
        <w:t>“Seguro Mais Proteção”</w:t>
      </w:r>
      <w:r>
        <w:rPr>
          <w:rFonts w:cs="Calibri"/>
          <w:lang w:val="pt-BR"/>
        </w:rPr>
        <w:t>, inexistindo, portanto, suporte fático ou jurídico que legitime a realização de cobranças relacionadas a tal rubrica.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Dessa forma, revela-se manifestamente </w:t>
      </w:r>
      <w:r>
        <w:rPr>
          <w:rFonts w:cs="Calibri"/>
          <w:b/>
          <w:bCs/>
          <w:lang w:val="pt-BR"/>
        </w:rPr>
        <w:t>indevida qualquer exigência financeira</w:t>
      </w:r>
      <w:r>
        <w:rPr>
          <w:rFonts w:cs="Calibri"/>
          <w:lang w:val="pt-BR"/>
        </w:rPr>
        <w:t xml:space="preserve"> vinculada ao mencionado produto, uma vez que ausente a formação válida de relação contratual entre as partes.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Nesse contexto, assiste razão à parte requerente quanto ao direito de ver </w:t>
      </w:r>
      <w:r>
        <w:rPr>
          <w:rFonts w:cs="Calibri"/>
          <w:b/>
          <w:bCs/>
          <w:lang w:val="pt-BR"/>
        </w:rPr>
        <w:t>declarada judicialmente a inexistência de débito</w:t>
      </w:r>
      <w:r>
        <w:rPr>
          <w:rFonts w:cs="Calibri"/>
          <w:lang w:val="pt-BR"/>
        </w:rPr>
        <w:t>, nos termos do art. 19 do Código de Processo Civil, haja vista não possuir qualquer obrigação perante o requerido, porquanto jamais anuiu ou contratou os serviços que deram ensejo às cobranças impugnadas.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Dispõe o art. 19 do CPC que o interesse do autor pode limitar-se à declaração da existência, da inexistência ou do modo de ser de uma relação jurídica, o que se amolda perfeitamente à hipótese dos autos, em que se busca o reconhecimento da </w:t>
      </w:r>
      <w:r>
        <w:rPr>
          <w:rFonts w:cs="Calibri"/>
          <w:b/>
          <w:bCs/>
          <w:lang w:val="pt-BR"/>
        </w:rPr>
        <w:t>inexistência de relação jurídica obrigacional</w:t>
      </w:r>
      <w:r>
        <w:rPr>
          <w:rFonts w:cs="Calibri"/>
          <w:lang w:val="pt-BR"/>
        </w:rPr>
        <w:t xml:space="preserve"> entre as partes.</w:t>
      </w:r>
    </w:p>
    <w:p>
      <w:pPr>
        <w:pStyle w:val="Normal"/>
        <w:spacing w:lineRule="auto" w:line="300"/>
        <w:ind w:firstLine="1701" w:start="-567" w:end="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Art. 19. O interesse do autor pode limitar-se à declaração:</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pPr>
      <w:r>
        <w:rPr>
          <w:rFonts w:cs="Calibri"/>
          <w:sz w:val="20"/>
          <w:szCs w:val="20"/>
          <w:lang w:val="pt-BR"/>
        </w:rPr>
        <w:t xml:space="preserve">I- da existência, da inexistência ou do modo de ser de uma relação jurídica; </w:t>
      </w:r>
    </w:p>
    <w:p>
      <w:pPr>
        <w:pStyle w:val="Normal"/>
        <w:spacing w:lineRule="auto" w:line="300"/>
        <w:ind w:start="1701"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 xml:space="preserve">Outrossim, constitui direito básico do consumidor a proteção contra </w:t>
      </w:r>
      <w:r>
        <w:rPr>
          <w:rFonts w:cs="Calibri"/>
          <w:b/>
          <w:bCs/>
          <w:lang w:val="pt-BR"/>
        </w:rPr>
        <w:t>práticas abusivas</w:t>
      </w:r>
      <w:r>
        <w:rPr>
          <w:rFonts w:cs="Calibri"/>
          <w:lang w:val="pt-BR"/>
        </w:rPr>
        <w:t>, conforme estabelece o art. 6º, inciso IV, do Código de Defesa do Consumidor, o qual veda métodos comerciais desleais, bem como a imposição de produtos ou serviços não solicitados pelo consumidor.</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6º - (omissis) </w:t>
      </w:r>
    </w:p>
    <w:p>
      <w:pPr>
        <w:pStyle w:val="Normal"/>
        <w:spacing w:lineRule="auto" w:line="240"/>
        <w:ind w:start="2268" w:end="0"/>
        <w:jc w:val="both"/>
        <w:rPr>
          <w:rFonts w:cs="Calibri"/>
          <w:sz w:val="20"/>
          <w:szCs w:val="20"/>
          <w:lang w:val="pt-BR"/>
        </w:rPr>
      </w:pPr>
      <w:r>
        <w:rPr>
          <w:rFonts w:cs="Calibri"/>
          <w:sz w:val="20"/>
          <w:szCs w:val="20"/>
          <w:lang w:val="pt-BR"/>
        </w:rPr>
        <w:t>(...)</w:t>
      </w:r>
    </w:p>
    <w:p>
      <w:pPr>
        <w:pStyle w:val="Normal"/>
        <w:spacing w:lineRule="auto" w:line="240"/>
        <w:ind w:start="2268" w:end="0"/>
        <w:jc w:val="both"/>
        <w:rPr/>
      </w:pPr>
      <w:r>
        <w:rPr>
          <w:rFonts w:cs="Calibri"/>
          <w:sz w:val="20"/>
          <w:szCs w:val="20"/>
          <w:lang w:val="pt-BR"/>
        </w:rPr>
        <w:t xml:space="preserve">IV - a proteção contra a publicidade enganosa e abusiva, métodos comerciais coercitivos ou desleais, bem como contra práticas e cláusulas abusivas ou impostas no fornecimento de produtos e serviços; </w:t>
      </w:r>
    </w:p>
    <w:p>
      <w:pPr>
        <w:pStyle w:val="Normal"/>
        <w:spacing w:lineRule="auto" w:line="300"/>
        <w:ind w:firstLine="2268" w:start="-567"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 xml:space="preserve">A doutrina consumerista, ao interpretar tais garantias, é firme ao reconhecer o caráter protetivo do sistema, como bem observa </w:t>
      </w:r>
      <w:r>
        <w:rPr>
          <w:rFonts w:cs="Calibri"/>
          <w:b/>
          <w:bCs/>
          <w:lang w:val="pt-BR"/>
        </w:rPr>
        <w:t>Gérard Cas</w:t>
      </w:r>
      <w:r>
        <w:rPr>
          <w:rFonts w:cs="Calibri"/>
          <w:lang w:val="pt-BR"/>
        </w:rPr>
        <w:t xml:space="preserve">, ao asseverar que o legislador busca proteger os mais vulneráveis na relação de consumo, impondo limites à atuação dos fornecedores em observância à chamada </w:t>
      </w:r>
      <w:r>
        <w:rPr>
          <w:rFonts w:cs="Calibri"/>
          <w:b/>
          <w:bCs/>
          <w:lang w:val="pt-BR"/>
        </w:rPr>
        <w:t>ordem pública econômica</w:t>
      </w:r>
      <w:r>
        <w:rPr>
          <w:rFonts w:cs="Calibri"/>
          <w:lang w:val="pt-BR"/>
        </w:rPr>
        <w:t>, que visa ao equilíbrio e à justiça contratual.</w:t>
      </w:r>
    </w:p>
    <w:p>
      <w:pPr>
        <w:pStyle w:val="Normal"/>
        <w:spacing w:lineRule="auto" w:line="300"/>
        <w:ind w:firstLine="1701"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Assim, diante da </w:t>
      </w:r>
      <w:r>
        <w:rPr>
          <w:rFonts w:cs="Calibri"/>
          <w:b/>
          <w:bCs/>
          <w:lang w:val="pt-BR"/>
        </w:rPr>
        <w:t>ausência de contratação</w:t>
      </w:r>
      <w:r>
        <w:rPr>
          <w:rFonts w:cs="Calibri"/>
          <w:lang w:val="pt-BR"/>
        </w:rPr>
        <w:t xml:space="preserve">, da caracterização de prática abusiva e da violação aos direitos básicos do consumidor, impõe-se o reconhecimento da </w:t>
      </w:r>
      <w:r>
        <w:rPr>
          <w:rFonts w:cs="Calibri"/>
          <w:b/>
          <w:bCs/>
          <w:lang w:val="pt-BR"/>
        </w:rPr>
        <w:t>inexistência do débito</w:t>
      </w:r>
      <w:r>
        <w:rPr>
          <w:rFonts w:cs="Calibri"/>
          <w:lang w:val="pt-BR"/>
        </w:rPr>
        <w:t xml:space="preserve"> e, por conseguinte, a </w:t>
      </w:r>
      <w:r>
        <w:rPr>
          <w:rFonts w:cs="Calibri"/>
          <w:b/>
          <w:bCs/>
          <w:lang w:val="pt-BR"/>
        </w:rPr>
        <w:t>inexigibilidade de qualquer cobrança</w:t>
      </w:r>
      <w:r>
        <w:rPr>
          <w:rFonts w:cs="Calibri"/>
          <w:lang w:val="pt-BR"/>
        </w:rPr>
        <w:t xml:space="preserve"> em desfavor da parte requerente relacionada ao produto denominado de </w:t>
      </w:r>
      <w:r>
        <w:rPr>
          <w:rFonts w:cs="Calibri"/>
          <w:b/>
          <w:bCs/>
          <w:lang w:val="pt-BR"/>
        </w:rPr>
        <w:t>“Seguro Mais Proteção”</w:t>
      </w:r>
      <w:r>
        <w:rPr>
          <w:rFonts w:cs="Calibri"/>
          <w:lang w:val="pt-BR"/>
        </w:rPr>
        <w:t>, objeto da presente demanda.</w:t>
      </w:r>
    </w:p>
    <w:p>
      <w:pPr>
        <w:pStyle w:val="Normal"/>
        <w:spacing w:lineRule="auto" w:line="300"/>
        <w:ind w:firstLine="283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3.5 - DO DANO MATERIAL – DA REPETIÇÃO DO INDÉBITO (ART. 42, PARÁGRAFO ÚNICO, DO CDC)</w:t>
      </w:r>
    </w:p>
    <w:p>
      <w:pPr>
        <w:pStyle w:val="Normal"/>
        <w:spacing w:lineRule="auto" w:line="300"/>
        <w:ind w:firstLine="2835" w:end="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 xml:space="preserve">Conforme amplamente demonstrado, a parte requerente sofreu, no período imprescrito compreendido entre </w:t>
      </w:r>
      <w:r>
        <w:rPr>
          <w:rFonts w:cs="Calibri"/>
          <w:b/>
          <w:bCs/>
          <w:lang w:val="pt-BR"/>
        </w:rPr>
        <w:t>20/03/2017 e 19/12/2025</w:t>
      </w:r>
      <w:r>
        <w:rPr>
          <w:rFonts w:cs="Calibri"/>
          <w:lang w:val="pt-BR"/>
        </w:rPr>
        <w:t xml:space="preserve">, </w:t>
      </w:r>
      <w:r>
        <w:rPr>
          <w:rFonts w:cs="Calibri"/>
          <w:b/>
          <w:bCs/>
          <w:lang w:val="pt-BR"/>
        </w:rPr>
        <w:t>descontos indevidos</w:t>
      </w:r>
      <w:r>
        <w:rPr>
          <w:rFonts w:cs="Calibri"/>
          <w:lang w:val="pt-BR"/>
        </w:rPr>
        <w:t xml:space="preserve"> em sua conta bancária, sob a rubrica de </w:t>
      </w:r>
      <w:r>
        <w:rPr>
          <w:rFonts w:cs="Calibri"/>
          <w:b/>
          <w:bCs/>
          <w:lang w:val="pt-BR"/>
        </w:rPr>
        <w:t>“Seguro Mais Proteção”</w:t>
      </w:r>
      <w:r>
        <w:rPr>
          <w:rFonts w:cs="Calibri"/>
          <w:lang w:val="pt-BR"/>
        </w:rPr>
        <w:t xml:space="preserve">, perfazendo o montante de </w:t>
      </w:r>
      <w:r>
        <w:rPr>
          <w:rFonts w:cs="Calibri"/>
          <w:b/>
          <w:bCs/>
          <w:lang w:val="pt-BR"/>
        </w:rPr>
        <w:t>R$ 303,16 (trezentos e três reais e dezesseis centavos)</w:t>
      </w:r>
      <w:r>
        <w:rPr>
          <w:rFonts w:cs="Calibri"/>
          <w:lang w:val="pt-BR"/>
        </w:rPr>
        <w:t>, conforme comprovam os extratos bancários acostados aos autos.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Cumpre destacar que tais descontos são </w:t>
      </w:r>
      <w:r>
        <w:rPr>
          <w:rFonts w:cs="Calibri"/>
          <w:b/>
          <w:bCs/>
          <w:lang w:val="pt-BR"/>
        </w:rPr>
        <w:t>manifestamente ilícitos</w:t>
      </w:r>
      <w:r>
        <w:rPr>
          <w:rFonts w:cs="Calibri"/>
          <w:lang w:val="pt-BR"/>
        </w:rPr>
        <w:t xml:space="preserve">, uma vez que a parte requerente </w:t>
      </w:r>
      <w:r>
        <w:rPr>
          <w:rFonts w:cs="Calibri"/>
          <w:b/>
          <w:bCs/>
          <w:lang w:val="pt-BR"/>
        </w:rPr>
        <w:t>jamais contratou, autorizou ou anuiu</w:t>
      </w:r>
      <w:r>
        <w:rPr>
          <w:rFonts w:cs="Calibri"/>
          <w:lang w:val="pt-BR"/>
        </w:rPr>
        <w:t xml:space="preserve"> com a contratação do referido produto, inexistindo relação jurídica válida que pudesse legitimar as cobranças realizadas.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 xml:space="preserve">Diante do flagrante descumprimento das normas consumeristas, faz jus a parte requerente à </w:t>
      </w:r>
      <w:r>
        <w:rPr>
          <w:rFonts w:cs="Calibri"/>
          <w:b/>
          <w:bCs/>
          <w:lang w:val="pt-BR"/>
        </w:rPr>
        <w:t>repetição do indébito em dobro</w:t>
      </w:r>
      <w:r>
        <w:rPr>
          <w:rFonts w:cs="Calibri"/>
          <w:lang w:val="pt-BR"/>
        </w:rPr>
        <w:t xml:space="preserve">, nos termos do art. 42, parágrafo único, do Código de Defesa do Consumidor, o qual dispõe que o consumidor cobrado em quantia indevida tem direito à restituição em valor correspondente ao </w:t>
      </w:r>
      <w:r>
        <w:rPr>
          <w:rFonts w:cs="Calibri"/>
          <w:b/>
          <w:bCs/>
          <w:lang w:val="pt-BR"/>
        </w:rPr>
        <w:t>dobro do que pagou em excesso</w:t>
      </w:r>
      <w:r>
        <w:rPr>
          <w:rFonts w:cs="Calibri"/>
          <w:lang w:val="pt-BR"/>
        </w:rPr>
        <w:t>, acrescido de correção monetária e juros legais, salvo hipótese de engano justificável.</w:t>
      </w:r>
    </w:p>
    <w:p>
      <w:pPr>
        <w:pStyle w:val="Normal"/>
        <w:spacing w:lineRule="auto" w:line="300"/>
        <w:ind w:firstLine="1701" w:end="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42 (...) </w:t>
      </w:r>
    </w:p>
    <w:p>
      <w:pPr>
        <w:pStyle w:val="Normal"/>
        <w:spacing w:lineRule="auto" w:line="240"/>
        <w:ind w:start="2268" w:end="0"/>
        <w:jc w:val="both"/>
        <w:rPr/>
      </w:pPr>
      <w:r>
        <w:rPr>
          <w:rFonts w:cs="Calibri"/>
          <w:sz w:val="20"/>
          <w:szCs w:val="20"/>
          <w:lang w:val="pt-BR"/>
        </w:rPr>
        <w:t xml:space="preserve">Parágrafo Único. </w:t>
      </w:r>
      <w:r>
        <w:rPr>
          <w:rFonts w:cs="Calibri"/>
          <w:b/>
          <w:sz w:val="20"/>
          <w:szCs w:val="20"/>
          <w:lang w:val="pt-BR"/>
        </w:rPr>
        <w:t>O consumidor cobrado em quantia indevida tem direito à repetição do indébito, por valor igual ao dobro do que pagou em excesso, acrescido de correção monetária e juros legais,</w:t>
      </w:r>
      <w:r>
        <w:rPr>
          <w:rFonts w:cs="Calibri"/>
          <w:sz w:val="20"/>
          <w:szCs w:val="20"/>
          <w:lang w:val="pt-BR"/>
        </w:rPr>
        <w:t xml:space="preserve"> salvo hipótese de engano justificável.  (Grifo nosso)</w:t>
      </w:r>
    </w:p>
    <w:p>
      <w:pPr>
        <w:pStyle w:val="Normal"/>
        <w:spacing w:lineRule="auto" w:line="30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 xml:space="preserve">A doutrina é firme ao reconhecer que, no sistema do CDC, o engano na cobrança é, em regra, </w:t>
      </w:r>
      <w:r>
        <w:rPr>
          <w:rFonts w:cs="Calibri"/>
          <w:b/>
          <w:bCs/>
          <w:lang w:val="pt-BR"/>
        </w:rPr>
        <w:t>injustificável</w:t>
      </w:r>
      <w:r>
        <w:rPr>
          <w:rFonts w:cs="Calibri"/>
          <w:lang w:val="pt-BR"/>
        </w:rPr>
        <w:t xml:space="preserve">, cabendo ao fornecedor o ônus de demonstrar eventual exceção. </w:t>
      </w:r>
      <w:r>
        <w:rPr>
          <w:rFonts w:cs="Calibri"/>
        </w:rPr>
        <w:t xml:space="preserve">Nesse sentido, leciona </w:t>
      </w:r>
      <w:r>
        <w:rPr>
          <w:rFonts w:cs="Calibri"/>
          <w:b/>
          <w:bCs/>
        </w:rPr>
        <w:t>Cláudia Lima Marques</w:t>
      </w:r>
      <w:r>
        <w:rPr>
          <w:rFonts w:cs="Calibri"/>
        </w:rPr>
        <w:t xml:space="preserve"> que:</w:t>
      </w:r>
    </w:p>
    <w:p>
      <w:pPr>
        <w:pStyle w:val="Normal"/>
        <w:spacing w:lineRule="auto" w:line="300"/>
        <w:ind w:firstLine="2835" w:end="0"/>
        <w:jc w:val="both"/>
        <w:rPr>
          <w:rFonts w:cs="Calibri"/>
          <w:lang w:val="pt-BR"/>
        </w:rPr>
      </w:pPr>
      <w:r>
        <w:rPr>
          <w:rFonts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“No sistema do CDC, todo o engano na cobrança de consumo é, em princípio, injustificável, mesmo o baseado em cláusulas abusivas inseridas no contrato de adesão, ex vi o disposto no parágrafo único do art. 42. Caberia ao fornecedor provar que seu engano na cobrança, no caso concreto, foi justificado”. (MARQUES, Cláudia Lima. </w:t>
      </w:r>
      <w:r>
        <w:rPr>
          <w:rFonts w:cs="Calibri"/>
          <w:i/>
          <w:iCs/>
          <w:sz w:val="20"/>
          <w:szCs w:val="20"/>
          <w:lang w:val="pt-BR"/>
        </w:rPr>
        <w:t>Comentários ao Código de Defesa do Consumidor</w:t>
      </w:r>
      <w:r>
        <w:rPr>
          <w:rFonts w:cs="Calibri"/>
          <w:sz w:val="20"/>
          <w:szCs w:val="20"/>
          <w:lang w:val="pt-BR"/>
        </w:rPr>
        <w:t>. 2ª ed. São Paulo: RT, 2006, p. 593).</w:t>
      </w:r>
    </w:p>
    <w:p>
      <w:pPr>
        <w:pStyle w:val="Normal"/>
        <w:spacing w:lineRule="auto" w:line="300"/>
        <w:ind w:firstLine="2835"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cs="Calibri"/>
          <w:lang w:val="pt-BR"/>
        </w:rPr>
        <w:t xml:space="preserve">O Superior Tribunal de Justiça, ao julgar o </w:t>
      </w:r>
      <w:r>
        <w:rPr>
          <w:rFonts w:cs="Calibri"/>
          <w:b/>
          <w:bCs/>
          <w:lang w:val="pt-BR"/>
        </w:rPr>
        <w:t>EAREsp nº 676.608/RS</w:t>
      </w:r>
      <w:r>
        <w:rPr>
          <w:rFonts w:cs="Calibri"/>
          <w:lang w:val="pt-BR"/>
        </w:rPr>
        <w:t xml:space="preserve">, sob o rito dos recursos repetitivos, pacificou o entendimento de que </w:t>
      </w:r>
      <w:r>
        <w:rPr>
          <w:rFonts w:cs="Calibri"/>
          <w:b/>
          <w:bCs/>
          <w:lang w:val="pt-BR"/>
        </w:rPr>
        <w:t>a restituição em dobro independe da comprovação de má-fé do fornecedor</w:t>
      </w:r>
      <w:r>
        <w:rPr>
          <w:rFonts w:cs="Calibri"/>
          <w:lang w:val="pt-BR"/>
        </w:rPr>
        <w:t>, sendo suficiente que a cobrança indevida consubstancie conduta contrária à boa-fé objetiva, o que se verifica no caso concreto.</w:t>
      </w:r>
    </w:p>
    <w:p>
      <w:pPr>
        <w:pStyle w:val="Normal"/>
        <w:spacing w:lineRule="auto" w:line="300"/>
        <w:ind w:firstLine="2835" w:end="0"/>
        <w:jc w:val="both"/>
        <w:rPr>
          <w:rFonts w:cs="Calibri"/>
          <w:lang w:val="pt-BR"/>
        </w:rPr>
      </w:pPr>
      <w:r>
        <w:rPr>
          <w:rFonts w:cs="Calibri"/>
          <w:lang w:val="pt-BR"/>
        </w:rPr>
      </w:r>
    </w:p>
    <w:p>
      <w:pPr>
        <w:pStyle w:val="Normal"/>
        <w:spacing w:lineRule="auto" w:line="240"/>
        <w:ind w:start="2268" w:end="0"/>
        <w:jc w:val="both"/>
        <w:rPr/>
      </w:pPr>
      <w:r>
        <w:rPr>
          <w:rFonts w:cs="Calibri"/>
          <w:sz w:val="20"/>
          <w:szCs w:val="20"/>
          <w:lang w:val="pt-BR"/>
        </w:rPr>
        <w:t xml:space="preserve">EMBARGOS DE DIVERGÊNCIA EM AGRAVO EM RECURSO ESPECIAL CIVIL. PROCESSUAL CIVIL. TELEFONIA FIXA. COBRANÇA INDEVIDA. AÇÃO DE REPETIÇÃO DE INDÉBITO DE TARIFAS. </w:t>
      </w:r>
      <w:r>
        <w:rPr>
          <w:rFonts w:cs="Calibri"/>
          <w:b/>
          <w:bCs/>
          <w:sz w:val="20"/>
          <w:szCs w:val="20"/>
          <w:lang w:val="pt-BR"/>
        </w:rPr>
        <w:t>1) RESTITUIÇÃO EM DOBRO DO INDÉBITO (PARÁGRAFO ÚNICO DO ARTIGO 42 DO CDC). DESINFLUÊNCIA DA NATUREZA DO ELEMENTO VOLITIVO DO FORNECEDOR QUE REALIZOU A COBRANÇA INDEVIDA. DOBRA CABÍVEL QUANDO A REFERIDA COBRANÇA CONSUBSTANCIAR CONDUTA CONTRÁRIA À BOA-FÉ OBJETIVA.</w:t>
      </w:r>
      <w:r>
        <w:rPr>
          <w:rFonts w:cs="Calibri"/>
          <w:sz w:val="20"/>
          <w:szCs w:val="20"/>
          <w:lang w:val="pt-BR"/>
        </w:rPr>
        <w:t xml:space="preserve"> 2) APLICAÇÃO DO PRAZO PRESCRICIONAL DECENAL DO CÓDIGO CIVIL (ART. 205 DO CÓDIGO CIVIL). APLICAÇÃO ANALÓGICA DA SÚMULA 412/STJ. 3) MODULAÇÃO PARCIAL DOS EFEITOS DA DECISÃO. CONHECIMENTO E PROVIMENTO INTEGRAL DO RECURSO.” (EAREsp 676608/RS, Relator(a) Ministro OG FERNANDES, Órgão Julgador: CE – Corte Especial, Data de Julgamento: 21/10/2020, Data da Publicação: Dje 30/03/2021) (grifo nosso)</w:t>
      </w:r>
    </w:p>
    <w:p>
      <w:pPr>
        <w:pStyle w:val="Normal"/>
        <w:spacing w:lineRule="auto" w:line="300"/>
        <w:ind w:firstLine="2835" w:end="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 xml:space="preserve">Assim, à luz do entendimento consolidado pelo STJ e diante da ausência de qualquer engano justificável, impõe-se a condenação do requerido à </w:t>
      </w:r>
      <w:r>
        <w:rPr>
          <w:rFonts w:cs="Calibri"/>
          <w:b/>
          <w:bCs/>
          <w:lang w:val="pt-BR"/>
        </w:rPr>
        <w:t>restituição em dobro</w:t>
      </w:r>
      <w:r>
        <w:rPr>
          <w:rFonts w:cs="Calibri"/>
          <w:lang w:val="pt-BR"/>
        </w:rPr>
        <w:t xml:space="preserve"> dos valores indevidamente descontados da conta da parte requerente. </w:t>
      </w:r>
    </w:p>
    <w:p>
      <w:pPr>
        <w:pStyle w:val="Normal"/>
        <w:spacing w:lineRule="auto" w:line="300"/>
        <w:ind w:firstLine="1418" w:end="0"/>
        <w:jc w:val="both"/>
        <w:rPr>
          <w:rFonts w:cs="Calibri"/>
          <w:lang w:val="pt-BR"/>
        </w:rPr>
      </w:pPr>
      <w:r>
        <w:rPr>
          <w:rFonts w:cs="Calibri"/>
          <w:lang w:val="pt-BR"/>
        </w:rPr>
      </w:r>
    </w:p>
    <w:p>
      <w:pPr>
        <w:pStyle w:val="PargrafodaLista"/>
        <w:spacing w:lineRule="auto" w:line="300" w:before="0" w:after="0"/>
        <w:ind w:firstLine="1418" w:start="0" w:end="0"/>
        <w:contextualSpacing/>
        <w:jc w:val="both"/>
        <w:rPr/>
      </w:pPr>
      <w:r>
        <w:rPr>
          <w:rFonts w:cs="Calibri"/>
        </w:rPr>
        <w:t xml:space="preserve">Dessa forma, requer a parte autora que o requerido seja condenado a restituir, em dobro, os valores descontados indevidamente de sua conta bancária referente ao produto </w:t>
      </w:r>
      <w:r>
        <w:rPr>
          <w:rFonts w:cs="Calibri"/>
          <w:b/>
          <w:bCs/>
        </w:rPr>
        <w:t>“Seguro Mais Proteção”</w:t>
      </w:r>
      <w:r>
        <w:rPr>
          <w:rFonts w:cs="Calibri"/>
        </w:rPr>
        <w:t xml:space="preserve">, no período de </w:t>
      </w:r>
      <w:r>
        <w:rPr>
          <w:rFonts w:cs="Calibri"/>
          <w:b/>
          <w:bCs/>
        </w:rPr>
        <w:t>20/03/2017 e 19/12/2025</w:t>
      </w:r>
      <w:r>
        <w:rPr>
          <w:rFonts w:cs="Calibri"/>
        </w:rPr>
        <w:t xml:space="preserve">, totalizando o valor de </w:t>
      </w:r>
      <w:r>
        <w:rPr>
          <w:rFonts w:cs="Calibri"/>
          <w:b/>
          <w:bCs/>
        </w:rPr>
        <w:t>R$ 303,16</w:t>
      </w:r>
      <w:r>
        <w:rPr>
          <w:rFonts w:cs="Calibri"/>
        </w:rPr>
        <w:t xml:space="preserve">, o que perfaz em dobro o montante de </w:t>
      </w:r>
      <w:r>
        <w:rPr>
          <w:rFonts w:cs="Calibri"/>
          <w:b/>
          <w:bCs/>
        </w:rPr>
        <w:t>R$ 606,32 (seiscentos e seis reais e trinta e dois centavos)</w:t>
      </w:r>
      <w:r>
        <w:rPr>
          <w:rFonts w:cs="Calibri"/>
        </w:rPr>
        <w:t>, acrescido de correção monetária e juros legais, bem como a restituição, também em dobro, de eventuais valores que venham a ser indevidamente descontados durante a tramitação do feito.</w:t>
      </w:r>
    </w:p>
    <w:p>
      <w:pPr>
        <w:pStyle w:val="PargrafodaLista"/>
        <w:spacing w:lineRule="auto" w:line="300" w:before="0" w:after="0"/>
        <w:ind w:firstLine="1418" w:start="0" w:end="0"/>
        <w:contextualSpacing/>
        <w:jc w:val="both"/>
        <w:rPr>
          <w:rFonts w:cs="Calibri"/>
        </w:rPr>
      </w:pPr>
      <w:r>
        <w:rPr>
          <w:rFonts w:cs="Calibri"/>
        </w:rPr>
      </w:r>
    </w:p>
    <w:p>
      <w:pPr>
        <w:pStyle w:val="PargrafodaLista"/>
        <w:spacing w:lineRule="auto" w:line="300" w:before="0" w:after="0"/>
        <w:ind w:firstLine="1418" w:start="0" w:end="0"/>
        <w:contextualSpacing/>
        <w:jc w:val="both"/>
        <w:rPr/>
      </w:pPr>
      <w:r>
        <w:rPr>
          <w:rFonts w:cs="Calibri"/>
        </w:rPr>
        <w:t xml:space="preserve">Subsidiariamente, caso não seja esse o entendimento de Vossa Excelência, requer-se a </w:t>
      </w:r>
      <w:r>
        <w:rPr>
          <w:rFonts w:cs="Calibri"/>
          <w:b/>
          <w:bCs/>
        </w:rPr>
        <w:t>restituição simples</w:t>
      </w:r>
      <w:r>
        <w:rPr>
          <w:rFonts w:cs="Calibri"/>
        </w:rPr>
        <w:t xml:space="preserve"> dos valores indevidamente descontados, devidamente atualizados, inclusive quanto às parcelas que porventura venham a ser cobradas no curso da demanda, como medida de justiça.</w:t>
      </w:r>
    </w:p>
    <w:p>
      <w:pPr>
        <w:pStyle w:val="PargrafodaLista"/>
        <w:spacing w:lineRule="auto" w:line="300" w:before="0" w:after="0"/>
        <w:ind w:firstLine="1418" w:start="0" w:end="0"/>
        <w:contextualSpacing/>
        <w:jc w:val="both"/>
        <w:rPr>
          <w:rFonts w:cs="Calibri"/>
        </w:rPr>
      </w:pPr>
      <w:r>
        <w:rPr>
          <w:rFonts w:cs="Calibri"/>
        </w:rPr>
      </w:r>
    </w:p>
    <w:p>
      <w:pPr>
        <w:pStyle w:val="PargrafodaLista"/>
        <w:spacing w:lineRule="auto" w:line="300" w:before="0" w:after="0"/>
        <w:ind w:firstLine="1418" w:start="0" w:end="0"/>
        <w:contextualSpacing/>
        <w:jc w:val="both"/>
        <w:rPr/>
      </w:pPr>
      <w:r>
        <w:rPr>
          <w:rFonts w:cs="Calibri"/>
        </w:rPr>
        <w:t>Por fim, em sendo julgado procedente o pedido, requer-se a aplicação de correção monetária a partir da data do efetivo prejuízo, nos termos da Súmula 43 do STJ, e juros de mora de 1% ao mês, conforme orientação da Súmula 54 do STJ, tudo como expressão da mais lídima justiça.</w:t>
      </w:r>
    </w:p>
    <w:p>
      <w:pPr>
        <w:pStyle w:val="Normal"/>
        <w:spacing w:lineRule="auto" w:line="300"/>
        <w:ind w:firstLine="2835" w:end="0"/>
        <w:jc w:val="both"/>
        <w:rPr>
          <w:rFonts w:cs="Calibri"/>
          <w:sz w:val="18"/>
          <w:szCs w:val="18"/>
          <w:lang w:val="pt-BR"/>
        </w:rPr>
      </w:pPr>
      <w:r>
        <w:rPr>
          <w:rFonts w:cs="Calibri"/>
          <w:sz w:val="18"/>
          <w:szCs w:val="18"/>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lang w:val="pt-BR"/>
        </w:rPr>
        <w:t xml:space="preserve">4.6 – DO DANO MORAL E DO DEVER DE INDENIZAR </w:t>
      </w:r>
    </w:p>
    <w:p>
      <w:pPr>
        <w:pStyle w:val="Normal"/>
        <w:spacing w:lineRule="auto" w:line="300"/>
        <w:jc w:val="both"/>
        <w:rPr>
          <w:rFonts w:cs="Calibri"/>
          <w:b/>
          <w:u w:val="single"/>
          <w:lang w:val="pt-BR"/>
        </w:rPr>
      </w:pPr>
      <w:r>
        <w:rPr>
          <w:rFonts w:cs="Calibri"/>
          <w:b/>
          <w:u w:val="single"/>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 xml:space="preserve">Inicialmente, cumpre destacar que a parte requerente, na condição de </w:t>
      </w:r>
      <w:r>
        <w:rPr>
          <w:rFonts w:cs="Calibri"/>
          <w:b/>
          <w:bCs/>
          <w:lang w:val="pt-BR"/>
        </w:rPr>
        <w:t>consumidora</w:t>
      </w:r>
      <w:r>
        <w:rPr>
          <w:rFonts w:cs="Calibri"/>
          <w:lang w:val="pt-BR"/>
        </w:rPr>
        <w:t xml:space="preserve">, é reconhecidamente </w:t>
      </w:r>
      <w:r>
        <w:rPr>
          <w:rFonts w:cs="Calibri"/>
          <w:b/>
          <w:bCs/>
          <w:lang w:val="pt-BR"/>
        </w:rPr>
        <w:t>vulnerável e hipossuficiente</w:t>
      </w:r>
      <w:r>
        <w:rPr>
          <w:rFonts w:cs="Calibri"/>
          <w:lang w:val="pt-BR"/>
        </w:rPr>
        <w:t xml:space="preserve"> na relação jurídica estabelecida com a instituição financeira requerida. Em razão dessa condição, o Código de Defesa do Consumidor, em seu art. 6º, assegura-lhe direitos básicos, dentre os quais se destaca a </w:t>
      </w:r>
      <w:r>
        <w:rPr>
          <w:rFonts w:cs="Calibri"/>
          <w:b/>
          <w:bCs/>
          <w:lang w:val="pt-BR"/>
        </w:rPr>
        <w:t>proteção contra práticas ilícitas e abusivas</w:t>
      </w:r>
      <w:r>
        <w:rPr>
          <w:rFonts w:cs="Calibri"/>
          <w:lang w:val="pt-BR"/>
        </w:rPr>
        <w:t>.</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rFonts w:cs="Calibri"/>
          <w:b/>
          <w:lang w:val="pt-BR"/>
        </w:rPr>
      </w:pPr>
      <w:r>
        <w:rPr>
          <w:rFonts w:cs="Calibri"/>
          <w:bCs/>
          <w:lang w:val="pt-BR"/>
        </w:rPr>
        <w:t xml:space="preserve">No caso em apreço, restou amplamente comprovada a ocorrência de descontos indevidos e reiterados na conta corrente da parte requerente, sob a rubrica </w:t>
      </w:r>
      <w:r>
        <w:rPr>
          <w:rFonts w:cs="Calibri"/>
          <w:b/>
          <w:bCs/>
          <w:lang w:val="pt-BR"/>
        </w:rPr>
        <w:t>“Seguro Mais Proteção”</w:t>
      </w:r>
      <w:r>
        <w:rPr>
          <w:rFonts w:cs="Calibri"/>
          <w:bCs/>
          <w:lang w:val="pt-BR"/>
        </w:rPr>
        <w:t>, sem qualquer autorização ou contratação válida, conforme demonstram os extratos bancários da</w:t>
      </w:r>
      <w:r>
        <w:rPr>
          <w:rFonts w:cs="Calibri"/>
          <w:b/>
          <w:lang w:val="pt-BR"/>
        </w:rPr>
        <w:t xml:space="preserve"> conta corrente nº </w:t>
      </w:r>
      <w:r>
        <w:rPr>
          <w:rFonts w:cs="Calibri"/>
          <w:b/>
          <w:bCs/>
          <w:lang w:val="pt-BR"/>
        </w:rPr>
        <w:t>9521-4</w:t>
      </w:r>
      <w:r>
        <w:rPr>
          <w:rFonts w:cs="Calibri"/>
          <w:b/>
          <w:lang w:val="pt-BR"/>
        </w:rPr>
        <w:t xml:space="preserve">, agência </w:t>
      </w:r>
      <w:r>
        <w:rPr>
          <w:rFonts w:cs="Calibri"/>
          <w:b/>
          <w:bCs/>
          <w:lang w:val="pt-BR"/>
        </w:rPr>
        <w:t>3707</w:t>
      </w:r>
      <w:r>
        <w:rPr>
          <w:rFonts w:cs="Calibri"/>
          <w:bCs/>
          <w:lang w:val="pt-BR"/>
        </w:rPr>
        <w:t>, devidamente acostados aos autos.</w:t>
      </w:r>
    </w:p>
    <w:p>
      <w:pPr>
        <w:pStyle w:val="Normal"/>
        <w:tabs>
          <w:tab w:val="clear" w:pos="720"/>
          <w:tab w:val="left" w:pos="2694" w:leader="none"/>
        </w:tabs>
        <w:spacing w:lineRule="auto" w:line="300"/>
        <w:ind w:firstLine="1418" w:end="0"/>
        <w:jc w:val="both"/>
        <w:rPr>
          <w:rFonts w:cs="Calibri"/>
          <w:b/>
          <w:lang w:val="pt-BR"/>
        </w:rPr>
      </w:pPr>
      <w:r>
        <w:rPr>
          <w:rFonts w:cs="Calibri"/>
          <w:b/>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 xml:space="preserve">A conduta do requerido evidencia </w:t>
      </w:r>
      <w:r>
        <w:rPr>
          <w:rFonts w:cs="Calibri"/>
          <w:b/>
          <w:bCs/>
          <w:lang w:val="pt-BR"/>
        </w:rPr>
        <w:t>falha grave na prestação do serviço</w:t>
      </w:r>
      <w:r>
        <w:rPr>
          <w:rFonts w:cs="Calibri"/>
          <w:lang w:val="pt-BR"/>
        </w:rPr>
        <w:t xml:space="preserve">, além de violação direta às normas consumeristas, revelando-se </w:t>
      </w:r>
      <w:r>
        <w:rPr>
          <w:rFonts w:cs="Calibri"/>
          <w:b/>
          <w:bCs/>
          <w:lang w:val="pt-BR"/>
        </w:rPr>
        <w:t>ilícita e abusiva</w:t>
      </w:r>
      <w:r>
        <w:rPr>
          <w:rFonts w:cs="Calibri"/>
          <w:lang w:val="pt-BR"/>
        </w:rPr>
        <w:t>, uma vez que promoveu cobranças não autorizadas, em manifesto desrespeito aos deveres de boa-fé, transparência e segurança que devem nortear a atuação das instituições financeiras.</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rFonts w:cs="Calibri"/>
          <w:lang w:val="pt-BR"/>
        </w:rPr>
      </w:pPr>
      <w:r>
        <w:rPr>
          <w:rFonts w:cs="Calibri"/>
          <w:bCs/>
          <w:lang w:val="pt-BR"/>
        </w:rPr>
        <w:t xml:space="preserve">É inegável, portanto, o </w:t>
      </w:r>
      <w:r>
        <w:rPr>
          <w:rFonts w:cs="Calibri"/>
          <w:b/>
          <w:bCs/>
          <w:lang w:val="pt-BR"/>
        </w:rPr>
        <w:t>dano moral suportado pela parte requerente</w:t>
      </w:r>
      <w:r>
        <w:rPr>
          <w:rFonts w:cs="Calibri"/>
          <w:bCs/>
          <w:lang w:val="pt-BR"/>
        </w:rPr>
        <w:t xml:space="preserve">, decorrente da indevida violação de sua </w:t>
      </w:r>
      <w:r>
        <w:rPr>
          <w:rFonts w:cs="Calibri"/>
          <w:b/>
          <w:bCs/>
          <w:lang w:val="pt-BR"/>
        </w:rPr>
        <w:t>segurança patrimonial</w:t>
      </w:r>
      <w:r>
        <w:rPr>
          <w:rFonts w:cs="Calibri"/>
          <w:bCs/>
          <w:lang w:val="pt-BR"/>
        </w:rPr>
        <w:t xml:space="preserve">. Os descontos mensais não autorizados extrapolam o mero aborrecimento cotidiano, configurando situação apta a gerar angústia, insegurança e sensação de impotência, sobretudo quando se considera que a parte requerente é </w:t>
      </w:r>
      <w:r>
        <w:rPr>
          <w:rFonts w:cs="Calibri"/>
          <w:b/>
          <w:bCs/>
          <w:lang w:val="pt-BR"/>
        </w:rPr>
        <w:t>assalariada</w:t>
      </w:r>
      <w:r>
        <w:rPr>
          <w:rFonts w:cs="Calibri"/>
          <w:bCs/>
          <w:lang w:val="pt-BR"/>
        </w:rPr>
        <w:t xml:space="preserve"> e enfrenta, como a maioria da população brasileira, dificuldades financeiras, sendo certo que qualquer subtração indevida de sua renda compromete o equilíbrio de seu orçamento familiar.</w:t>
      </w:r>
    </w:p>
    <w:p>
      <w:pPr>
        <w:pStyle w:val="Normal"/>
        <w:tabs>
          <w:tab w:val="clear" w:pos="720"/>
          <w:tab w:val="left" w:pos="2694" w:leader="none"/>
        </w:tabs>
        <w:spacing w:lineRule="auto" w:line="300"/>
        <w:ind w:firstLine="1418" w:end="0"/>
        <w:jc w:val="both"/>
        <w:rPr>
          <w:rFonts w:cs="Calibri"/>
          <w:b/>
          <w:lang w:val="pt-BR"/>
        </w:rPr>
      </w:pPr>
      <w:r>
        <w:rPr>
          <w:rFonts w:cs="Calibri"/>
          <w:b/>
          <w:lang w:val="pt-BR"/>
        </w:rPr>
      </w:r>
    </w:p>
    <w:p>
      <w:pPr>
        <w:pStyle w:val="Normal"/>
        <w:tabs>
          <w:tab w:val="clear" w:pos="720"/>
          <w:tab w:val="left" w:pos="2694" w:leader="none"/>
        </w:tabs>
        <w:spacing w:lineRule="auto" w:line="300"/>
        <w:ind w:firstLine="1418" w:end="0"/>
        <w:jc w:val="both"/>
        <w:rPr>
          <w:rFonts w:cs="Calibri"/>
          <w:bCs/>
          <w:lang w:val="pt-BR"/>
        </w:rPr>
      </w:pPr>
      <w:r>
        <w:rPr>
          <w:rFonts w:cs="Calibri"/>
          <w:bCs/>
          <w:lang w:val="pt-BR"/>
        </w:rPr>
        <w:t>Nessa perspectiva, a jurisprudência pátria é firme no sentido de que a cobrança indevida e reiterada em conta bancária configura</w:t>
      </w:r>
      <w:r>
        <w:rPr>
          <w:rFonts w:cs="Calibri"/>
          <w:b/>
          <w:bCs/>
          <w:lang w:val="pt-BR"/>
        </w:rPr>
        <w:t xml:space="preserve"> dano moral presumido (in re ipsa)</w:t>
      </w:r>
      <w:r>
        <w:rPr>
          <w:rFonts w:cs="Calibri"/>
          <w:b/>
          <w:lang w:val="pt-BR"/>
        </w:rPr>
        <w:t xml:space="preserve">, sendo </w:t>
      </w:r>
      <w:r>
        <w:rPr>
          <w:rFonts w:cs="Calibri"/>
          <w:b/>
          <w:bCs/>
          <w:lang w:val="pt-BR"/>
        </w:rPr>
        <w:t>dispensável a comprovação do prejuízo extrapatrimonial</w:t>
      </w:r>
      <w:r>
        <w:rPr>
          <w:rFonts w:cs="Calibri"/>
          <w:bCs/>
          <w:lang w:val="pt-BR"/>
        </w:rPr>
        <w:t>, porquanto o próprio fato ilícito é suficiente para ensejar a reparação.</w:t>
      </w:r>
    </w:p>
    <w:p>
      <w:pPr>
        <w:pStyle w:val="Normal"/>
        <w:tabs>
          <w:tab w:val="clear" w:pos="720"/>
          <w:tab w:val="left" w:pos="2694" w:leader="none"/>
        </w:tabs>
        <w:spacing w:lineRule="auto" w:line="300"/>
        <w:ind w:firstLine="1418" w:end="0"/>
        <w:jc w:val="both"/>
        <w:rPr>
          <w:rFonts w:cs="Calibri"/>
          <w:b/>
          <w:bCs/>
          <w:lang w:val="pt-BR"/>
        </w:rPr>
      </w:pPr>
      <w:r>
        <w:rPr>
          <w:rFonts w:cs="Calibri"/>
          <w:b/>
          <w:bCs/>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 xml:space="preserve">Com efeito, resta plenamente configurado o </w:t>
      </w:r>
      <w:r>
        <w:rPr>
          <w:rFonts w:cs="Calibri"/>
          <w:b/>
          <w:bCs/>
          <w:lang w:val="pt-BR"/>
        </w:rPr>
        <w:t>nexo de causalidade</w:t>
      </w:r>
      <w:r>
        <w:rPr>
          <w:rFonts w:cs="Calibri"/>
          <w:lang w:val="pt-BR"/>
        </w:rPr>
        <w:t xml:space="preserve"> entre a conduta ilícita do requerido e os danos experimentados pela parte requerente, o que autoriza a condenação à indenização por danos morais, nos termos do art. 5º, incisos V e X, da Constituição Federal, do art. 6º, inciso VI, do Código de Defesa do Consumidor, bem como dos arts. </w:t>
      </w:r>
      <w:r>
        <w:rPr>
          <w:rFonts w:cs="Calibri"/>
        </w:rPr>
        <w:t>186 e 927, parágrafo único, do Código Civil.</w:t>
      </w:r>
    </w:p>
    <w:p>
      <w:pPr>
        <w:pStyle w:val="Normal"/>
        <w:tabs>
          <w:tab w:val="clear" w:pos="720"/>
          <w:tab w:val="left" w:pos="2694" w:leader="none"/>
        </w:tabs>
        <w:spacing w:lineRule="auto" w:line="300"/>
        <w:ind w:firstLine="1701" w:end="0"/>
        <w:jc w:val="both"/>
        <w:rPr>
          <w:rFonts w:cs="Calibri"/>
          <w:iCs/>
          <w:lang w:val="pt-BR"/>
        </w:rPr>
      </w:pPr>
      <w:r>
        <w:rPr>
          <w:rFonts w:cs="Calibri"/>
          <w:iCs/>
          <w:lang w:val="pt-BR"/>
        </w:rPr>
      </w:r>
    </w:p>
    <w:p>
      <w:pPr>
        <w:pStyle w:val="Normal"/>
        <w:spacing w:lineRule="auto" w:line="240"/>
        <w:ind w:start="2268" w:end="0"/>
        <w:jc w:val="both"/>
        <w:rPr>
          <w:rFonts w:cs="Calibri"/>
          <w:bCs/>
          <w:iCs/>
          <w:sz w:val="20"/>
          <w:szCs w:val="20"/>
          <w:lang w:val="pt-BR"/>
        </w:rPr>
      </w:pPr>
      <w:r>
        <w:rPr>
          <w:rFonts w:cs="Calibri"/>
          <w:bCs/>
          <w:iCs/>
          <w:sz w:val="20"/>
          <w:szCs w:val="20"/>
          <w:lang w:val="pt-BR"/>
        </w:rPr>
        <w:t>Artigo 5º - (...)</w:t>
      </w:r>
    </w:p>
    <w:p>
      <w:pPr>
        <w:pStyle w:val="Normal"/>
        <w:spacing w:lineRule="auto" w:line="240"/>
        <w:ind w:start="2268" w:end="0"/>
        <w:jc w:val="both"/>
        <w:rPr>
          <w:rFonts w:cs="Calibri"/>
          <w:bCs/>
          <w:iCs/>
          <w:sz w:val="20"/>
          <w:szCs w:val="20"/>
          <w:lang w:val="pt-BR"/>
        </w:rPr>
      </w:pPr>
      <w:r>
        <w:rPr>
          <w:rFonts w:cs="Calibri"/>
          <w:bCs/>
          <w:iCs/>
          <w:sz w:val="20"/>
          <w:szCs w:val="20"/>
          <w:lang w:val="pt-BR"/>
        </w:rPr>
        <w:t>V – É assegurado o direito de resposta, proporcional ao agravo, além da indenização por dano material, moral ou à imagem;</w:t>
      </w:r>
    </w:p>
    <w:p>
      <w:pPr>
        <w:pStyle w:val="Normal"/>
        <w:spacing w:lineRule="auto" w:line="240"/>
        <w:ind w:start="2268" w:end="0"/>
        <w:jc w:val="both"/>
        <w:rPr>
          <w:rFonts w:cs="Calibri"/>
          <w:bCs/>
          <w:iCs/>
          <w:sz w:val="20"/>
          <w:szCs w:val="20"/>
          <w:lang w:val="pt-BR"/>
        </w:rPr>
      </w:pPr>
      <w:r>
        <w:rPr>
          <w:rFonts w:cs="Calibri"/>
          <w:bCs/>
          <w:iCs/>
          <w:sz w:val="20"/>
          <w:szCs w:val="20"/>
          <w:lang w:val="pt-BR"/>
        </w:rPr>
        <w:t>(...)</w:t>
      </w:r>
    </w:p>
    <w:p>
      <w:pPr>
        <w:pStyle w:val="Normal"/>
        <w:spacing w:lineRule="auto" w:line="240"/>
        <w:ind w:start="2268" w:end="0"/>
        <w:jc w:val="both"/>
        <w:rPr>
          <w:rFonts w:cs="Calibri"/>
          <w:sz w:val="20"/>
          <w:szCs w:val="20"/>
          <w:lang w:val="pt-BR"/>
        </w:rPr>
      </w:pPr>
      <w:r>
        <w:rPr>
          <w:rFonts w:cs="Calibri"/>
          <w:bCs/>
          <w:iCs/>
          <w:sz w:val="20"/>
          <w:szCs w:val="20"/>
          <w:lang w:val="pt-BR"/>
        </w:rPr>
        <w:t>X – São invioláveis a intimidade, a vida privada, a honra e a imagem das pessoas, assegurado o direito à indenização pelo dano material ou moral decorrente de sua violação;</w:t>
      </w:r>
    </w:p>
    <w:p>
      <w:pPr>
        <w:pStyle w:val="Normal"/>
        <w:tabs>
          <w:tab w:val="clear" w:pos="720"/>
          <w:tab w:val="left" w:pos="2694" w:leader="none"/>
        </w:tabs>
        <w:spacing w:lineRule="auto" w:line="240"/>
        <w:ind w:start="2268" w:end="0"/>
        <w:jc w:val="both"/>
        <w:rPr>
          <w:rFonts w:cs="Calibri"/>
          <w:sz w:val="20"/>
          <w:szCs w:val="20"/>
          <w:lang w:val="pt-BR"/>
        </w:rPr>
      </w:pPr>
      <w:r>
        <w:rPr>
          <w:rFonts w:cs="Calibri"/>
          <w:sz w:val="20"/>
          <w:szCs w:val="20"/>
          <w:lang w:val="pt-BR"/>
        </w:rPr>
        <w:t xml:space="preserve"> </w:t>
      </w:r>
    </w:p>
    <w:p>
      <w:pPr>
        <w:pStyle w:val="Normal"/>
        <w:tabs>
          <w:tab w:val="clear" w:pos="720"/>
          <w:tab w:val="left" w:pos="2694" w:leader="none"/>
        </w:tabs>
        <w:spacing w:lineRule="auto" w:line="240"/>
        <w:ind w:start="2268" w:end="0"/>
        <w:jc w:val="both"/>
        <w:rPr>
          <w:rFonts w:cs="Calibri"/>
          <w:sz w:val="20"/>
          <w:szCs w:val="20"/>
          <w:lang w:val="pt-BR"/>
        </w:rPr>
      </w:pPr>
      <w:r>
        <w:rPr>
          <w:rFonts w:cs="Calibri"/>
          <w:sz w:val="20"/>
          <w:szCs w:val="20"/>
          <w:lang w:val="pt-BR"/>
        </w:rPr>
        <w:t>Artigo 6° - (...)</w:t>
      </w:r>
    </w:p>
    <w:p>
      <w:pPr>
        <w:pStyle w:val="Normal"/>
        <w:tabs>
          <w:tab w:val="clear" w:pos="720"/>
          <w:tab w:val="left" w:pos="2694" w:leader="none"/>
        </w:tabs>
        <w:spacing w:lineRule="auto" w:line="240"/>
        <w:ind w:start="2268" w:end="0"/>
        <w:jc w:val="both"/>
        <w:rPr/>
      </w:pPr>
      <w:r>
        <w:rPr>
          <w:rFonts w:cs="Calibri"/>
          <w:sz w:val="20"/>
          <w:szCs w:val="20"/>
          <w:lang w:val="pt-BR"/>
        </w:rPr>
        <w:t>VI – a efetiva prevenção e reparação de danos patrimoniais e morais, individuais, coletivos e difusos;</w:t>
      </w:r>
    </w:p>
    <w:p>
      <w:pPr>
        <w:pStyle w:val="Normal"/>
        <w:tabs>
          <w:tab w:val="clear" w:pos="720"/>
          <w:tab w:val="left" w:pos="2694" w:leader="none"/>
        </w:tabs>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Artigo 186 – Aquele que, por ação ou omissão voluntária, negligência ou imprudência, violar direito e causar dano a outrem, ainda que exclusivamente moral, comete ato ilícito.</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Artigo 927 – Aquele que, por ato ilícito (arts. 186 e 187), causar dano a outrem, fica obrigado a repará-lo.</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pPr>
      <w:r>
        <w:rPr>
          <w:rFonts w:cs="Calibri"/>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pPr>
        <w:pStyle w:val="Normal"/>
        <w:tabs>
          <w:tab w:val="clear" w:pos="720"/>
          <w:tab w:val="left" w:pos="2694" w:leader="none"/>
        </w:tabs>
        <w:spacing w:lineRule="auto" w:line="300"/>
        <w:ind w:firstLine="2835" w:end="0"/>
        <w:jc w:val="both"/>
        <w:rPr>
          <w:rFonts w:cs="Calibri"/>
          <w:sz w:val="20"/>
          <w:szCs w:val="20"/>
          <w:lang w:val="pt-BR"/>
        </w:rPr>
      </w:pPr>
      <w:r>
        <w:rPr>
          <w:rFonts w:cs="Calibri"/>
          <w:sz w:val="20"/>
          <w:szCs w:val="20"/>
          <w:lang w:val="pt-BR"/>
        </w:rPr>
      </w:r>
    </w:p>
    <w:p>
      <w:pPr>
        <w:pStyle w:val="Normal"/>
        <w:tabs>
          <w:tab w:val="clear" w:pos="720"/>
          <w:tab w:val="left" w:pos="2694" w:leader="none"/>
        </w:tabs>
        <w:spacing w:lineRule="auto" w:line="300"/>
        <w:ind w:firstLine="1418" w:end="0"/>
        <w:jc w:val="both"/>
        <w:rPr/>
      </w:pPr>
      <w:r>
        <w:rPr>
          <w:rFonts w:cs="Calibri"/>
          <w:lang w:val="pt-BR"/>
        </w:rPr>
        <w:t xml:space="preserve">Registre-se que, comprovada a falha na prestação do serviço, a responsabilidade do fornecedor é </w:t>
      </w:r>
      <w:r>
        <w:rPr>
          <w:rFonts w:cs="Calibri"/>
          <w:b/>
          <w:bCs/>
          <w:lang w:val="pt-BR"/>
        </w:rPr>
        <w:t>objetiva</w:t>
      </w:r>
      <w:r>
        <w:rPr>
          <w:rFonts w:cs="Calibri"/>
          <w:lang w:val="pt-BR"/>
        </w:rPr>
        <w:t>, sendo desnecessária a comprovação de culpa, conforme já amplamente reconhecido pela doutrina e jurisprudência pátrias.</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 xml:space="preserve">A indenização por dano moral possui </w:t>
      </w:r>
      <w:r>
        <w:rPr>
          <w:rFonts w:cs="Calibri"/>
          <w:b/>
          <w:bCs/>
          <w:lang w:val="pt-BR"/>
        </w:rPr>
        <w:t>dupla finalidade</w:t>
      </w:r>
      <w:r>
        <w:rPr>
          <w:rFonts w:cs="Calibri"/>
          <w:lang w:val="pt-BR"/>
        </w:rPr>
        <w:t xml:space="preserve">: de um lado, </w:t>
      </w:r>
      <w:r>
        <w:rPr>
          <w:rFonts w:cs="Calibri"/>
          <w:b/>
          <w:bCs/>
          <w:lang w:val="pt-BR"/>
        </w:rPr>
        <w:t>compensar a vítima</w:t>
      </w:r>
      <w:r>
        <w:rPr>
          <w:rFonts w:cs="Calibri"/>
          <w:lang w:val="pt-BR"/>
        </w:rPr>
        <w:t xml:space="preserve"> pelos transtornos e sofrimento injustamente suportados; de outro, </w:t>
      </w:r>
      <w:r>
        <w:rPr>
          <w:rFonts w:cs="Calibri"/>
          <w:b/>
          <w:bCs/>
          <w:lang w:val="pt-BR"/>
        </w:rPr>
        <w:t>punir o ofensor</w:t>
      </w:r>
      <w:r>
        <w:rPr>
          <w:rFonts w:cs="Calibri"/>
          <w:lang w:val="pt-BR"/>
        </w:rPr>
        <w:t xml:space="preserve">, de modo a desestimular a reiteração da conduta ilícita. Assim, o quantum indenizatório deve ser fixado com observância aos princípios da </w:t>
      </w:r>
      <w:r>
        <w:rPr>
          <w:rFonts w:cs="Calibri"/>
          <w:b/>
          <w:bCs/>
          <w:lang w:val="pt-BR"/>
        </w:rPr>
        <w:t>razoabilidade e proporcionalidade</w:t>
      </w:r>
      <w:r>
        <w:rPr>
          <w:rFonts w:cs="Calibri"/>
          <w:lang w:val="pt-BR"/>
        </w:rPr>
        <w:t>, levando-se em conta a gravidade da ofensa, a condição econômica das partes e o caráter pedagógico da condenação.</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Nesse sentido, a doutrina clássica é uníssona ao reconhecer que o valor da indenização não pode ser irrisório, a ponto de estimular o ilícito, nem excessivo, de modo a ensejar enriquecimento sem causa, devendo atender às peculiaridades do caso concreto.</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 xml:space="preserve">Diante de todo o exposto, mostra-se </w:t>
      </w:r>
      <w:r>
        <w:rPr>
          <w:rFonts w:cs="Calibri"/>
          <w:b/>
          <w:bCs/>
          <w:lang w:val="pt-BR"/>
        </w:rPr>
        <w:t>incontroverso o direito da parte requerente à indenização por danos morais</w:t>
      </w:r>
      <w:r>
        <w:rPr>
          <w:rFonts w:cs="Calibri"/>
          <w:lang w:val="pt-BR"/>
        </w:rPr>
        <w:t xml:space="preserve">, razão pela qual requer a condenação do requerido ao pagamento do valor de </w:t>
      </w:r>
      <w:r>
        <w:rPr>
          <w:rFonts w:cs="Calibri"/>
          <w:b/>
          <w:bCs/>
          <w:lang w:val="pt-BR"/>
        </w:rPr>
        <w:t>R$ 10.000,00 (dez mil reais)</w:t>
      </w:r>
      <w:r>
        <w:rPr>
          <w:rFonts w:cs="Calibri"/>
          <w:lang w:val="pt-BR"/>
        </w:rPr>
        <w:t>, ou outro montante que Vossa Excelência entender adequado, acrescido de correção monetária a partir da data do arbitramento, nos termos da Súmula 362 do STJ, e juros de mora de 1% ao mês desde o evento danoso, conforme dispõe a Súmula 54 do STJ, como medida de justiça e efetiva tutela do consumidor.</w:t>
      </w:r>
    </w:p>
    <w:p>
      <w:pPr>
        <w:pStyle w:val="Normal"/>
        <w:spacing w:lineRule="auto" w:line="300"/>
        <w:jc w:val="both"/>
        <w:rPr>
          <w:rFonts w:cs="Calibri"/>
          <w:lang w:val="pt-BR"/>
        </w:rPr>
      </w:pPr>
      <w:r>
        <w:rPr>
          <w:rFonts w:cs="Calibri"/>
          <w:lang w:val="pt-BR"/>
        </w:rPr>
      </w:r>
    </w:p>
    <w:p>
      <w:pPr>
        <w:pStyle w:val="Normal"/>
        <w:pBdr>
          <w:top w:val="single" w:sz="12" w:space="0"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lang w:val="pt-BR"/>
        </w:rPr>
      </w:pPr>
      <w:r>
        <w:rPr>
          <w:rFonts w:cs="Calibri"/>
          <w:b/>
          <w:lang w:val="pt-BR"/>
        </w:rPr>
        <w:t>5 - DO PEDIDO DE TUTELA ANTECIPADA</w:t>
      </w:r>
    </w:p>
    <w:p>
      <w:pPr>
        <w:pStyle w:val="Normal"/>
        <w:spacing w:lineRule="auto" w:line="300"/>
        <w:ind w:firstLine="1701" w:end="0"/>
        <w:jc w:val="both"/>
        <w:rPr>
          <w:rFonts w:cs="Calibri"/>
          <w:b/>
          <w:u w:val="single"/>
          <w:lang w:val="pt-BR"/>
        </w:rPr>
      </w:pPr>
      <w:r>
        <w:rPr>
          <w:rFonts w:cs="Calibri"/>
          <w:b/>
          <w:u w:val="single"/>
          <w:lang w:val="pt-BR"/>
        </w:rPr>
      </w:r>
    </w:p>
    <w:p>
      <w:pPr>
        <w:pStyle w:val="Padro"/>
        <w:tabs>
          <w:tab w:val="left" w:pos="0" w:leader="none"/>
          <w:tab w:val="left" w:pos="708" w:leader="none"/>
        </w:tabs>
        <w:spacing w:lineRule="auto" w:line="300" w:before="0" w:after="0"/>
        <w:ind w:firstLine="1418" w:end="0"/>
        <w:jc w:val="both"/>
        <w:rPr>
          <w:rFonts w:ascii="Calibri" w:hAnsi="Calibri" w:eastAsia="Arial" w:cs="Calibri"/>
          <w:bCs/>
          <w:sz w:val="22"/>
          <w:szCs w:val="22"/>
        </w:rPr>
      </w:pPr>
      <w:r>
        <w:rPr>
          <w:rFonts w:eastAsia="Arial" w:cs="Calibri" w:ascii="Calibri" w:hAnsi="Calibri"/>
          <w:bCs/>
          <w:sz w:val="22"/>
          <w:szCs w:val="22"/>
        </w:rPr>
        <w:t xml:space="preserve">Senhor Julgador, é evidentemente que não se assegura um resultado útil à lide quando pela demora do processo na solução do litígio, perpetua-se uma situação danosa que tende a agredir a necessária igualdade entre as partes litigantes. </w:t>
      </w:r>
    </w:p>
    <w:p>
      <w:pPr>
        <w:pStyle w:val="Padro"/>
        <w:tabs>
          <w:tab w:val="left" w:pos="0" w:leader="none"/>
          <w:tab w:val="left" w:pos="708" w:leader="none"/>
        </w:tabs>
        <w:spacing w:lineRule="auto" w:line="300" w:before="0" w:after="0"/>
        <w:ind w:firstLine="1418" w:end="0"/>
        <w:jc w:val="both"/>
        <w:rPr>
          <w:rFonts w:ascii="Calibri" w:hAnsi="Calibri" w:eastAsia="Arial" w:cs="Calibri"/>
          <w:bCs/>
          <w:sz w:val="22"/>
          <w:szCs w:val="22"/>
        </w:rPr>
      </w:pPr>
      <w:r>
        <w:rPr>
          <w:rFonts w:eastAsia="Arial" w:cs="Calibri" w:ascii="Calibri" w:hAnsi="Calibri"/>
          <w:bCs/>
          <w:sz w:val="22"/>
          <w:szCs w:val="22"/>
        </w:rPr>
      </w:r>
    </w:p>
    <w:p>
      <w:pPr>
        <w:pStyle w:val="Padro"/>
        <w:tabs>
          <w:tab w:val="left" w:pos="0" w:leader="none"/>
          <w:tab w:val="left" w:pos="708" w:leader="none"/>
        </w:tabs>
        <w:spacing w:lineRule="auto" w:line="300" w:before="0" w:after="0"/>
        <w:ind w:firstLine="1418" w:end="0"/>
        <w:jc w:val="both"/>
        <w:rPr/>
      </w:pPr>
      <w:r>
        <w:rPr>
          <w:rFonts w:eastAsia="Arial" w:cs="Calibri" w:ascii="Calibri" w:hAnsi="Calibri"/>
          <w:bCs/>
          <w:sz w:val="22"/>
          <w:szCs w:val="22"/>
        </w:rPr>
        <w:t>Importante ainda destacar que o preceito disposto nos arts. 294 e 300, ambos do NCPC/2015, o legislador visa proteger direito que esteja prestes a ser molestado e a verossimilhança da existência de possibilidade de danos ou o risco ao resultado útil do processo.</w:t>
      </w:r>
    </w:p>
    <w:p>
      <w:pPr>
        <w:pStyle w:val="Normal"/>
        <w:tabs>
          <w:tab w:val="clear" w:pos="720"/>
          <w:tab w:val="left" w:pos="1440" w:leader="none"/>
        </w:tabs>
        <w:spacing w:lineRule="auto" w:line="300"/>
        <w:ind w:firstLine="1418" w:end="0"/>
        <w:jc w:val="both"/>
        <w:rPr>
          <w:rFonts w:ascii="Calibri" w:hAnsi="Calibri" w:eastAsia="Verdana" w:cs="Calibri"/>
          <w:bCs/>
          <w:color w:val="000000"/>
          <w:sz w:val="22"/>
          <w:szCs w:val="22"/>
          <w:shd w:fill="FFFFFF" w:val="clear"/>
          <w:lang w:val="pt-BR"/>
        </w:rPr>
      </w:pPr>
      <w:r>
        <w:rPr>
          <w:rFonts w:eastAsia="Verdana" w:cs="Calibri"/>
          <w:bCs/>
          <w:color w:val="000000"/>
          <w:sz w:val="22"/>
          <w:szCs w:val="22"/>
          <w:shd w:fill="FFFFFF" w:val="clear"/>
          <w:lang w:val="pt-BR"/>
        </w:rPr>
      </w:r>
    </w:p>
    <w:p>
      <w:pPr>
        <w:pStyle w:val="Padro"/>
        <w:tabs>
          <w:tab w:val="left" w:pos="0" w:leader="none"/>
          <w:tab w:val="left" w:pos="708" w:leader="none"/>
        </w:tabs>
        <w:spacing w:lineRule="auto" w:line="300" w:before="0" w:after="0"/>
        <w:ind w:firstLine="1418" w:end="0"/>
        <w:jc w:val="both"/>
        <w:rPr/>
      </w:pPr>
      <w:r>
        <w:rPr>
          <w:rFonts w:eastAsia="Arial" w:cs="Calibri" w:ascii="Calibri" w:hAnsi="Calibri"/>
          <w:bCs/>
          <w:sz w:val="22"/>
          <w:szCs w:val="22"/>
        </w:rPr>
        <w:t xml:space="preserve">Desta forma passamos a destacar o contido nos arts. 294 e 300 ambos do NCPC/2015, </w:t>
      </w:r>
      <w:r>
        <w:rPr>
          <w:rFonts w:eastAsia="Arial" w:cs="Calibri" w:ascii="Calibri" w:hAnsi="Calibri"/>
          <w:bCs/>
          <w:i/>
          <w:sz w:val="22"/>
          <w:szCs w:val="22"/>
        </w:rPr>
        <w:t>in verbis</w:t>
      </w:r>
      <w:r>
        <w:rPr>
          <w:rFonts w:eastAsia="Arial" w:cs="Calibri" w:ascii="Calibri" w:hAnsi="Calibri"/>
          <w:bCs/>
          <w:sz w:val="22"/>
          <w:szCs w:val="22"/>
        </w:rPr>
        <w:t>:</w:t>
      </w:r>
    </w:p>
    <w:p>
      <w:pPr>
        <w:pStyle w:val="Padro"/>
        <w:tabs>
          <w:tab w:val="left" w:pos="0" w:leader="none"/>
          <w:tab w:val="left" w:pos="708" w:leader="none"/>
        </w:tabs>
        <w:spacing w:lineRule="auto" w:line="300" w:before="0" w:after="0"/>
        <w:ind w:firstLine="1701" w:end="0"/>
        <w:jc w:val="both"/>
        <w:rPr>
          <w:rFonts w:ascii="Calibri" w:hAnsi="Calibri" w:eastAsia="Arial" w:cs="Calibri"/>
          <w:bCs/>
          <w:sz w:val="22"/>
          <w:szCs w:val="22"/>
        </w:rPr>
      </w:pPr>
      <w:r>
        <w:rPr>
          <w:rFonts w:eastAsia="Arial" w:cs="Calibri" w:ascii="Calibri" w:hAnsi="Calibri"/>
          <w:bCs/>
          <w:sz w:val="22"/>
          <w:szCs w:val="22"/>
        </w:rPr>
      </w:r>
    </w:p>
    <w:p>
      <w:pPr>
        <w:pStyle w:val="Normal"/>
        <w:spacing w:lineRule="auto" w:line="240"/>
        <w:ind w:start="2268" w:end="0"/>
        <w:jc w:val="both"/>
        <w:rPr>
          <w:rFonts w:cs="Calibri"/>
          <w:sz w:val="20"/>
          <w:szCs w:val="20"/>
          <w:lang w:val="pt-BR"/>
        </w:rPr>
      </w:pPr>
      <w:r>
        <w:rPr>
          <w:rFonts w:cs="Calibri"/>
          <w:sz w:val="20"/>
          <w:szCs w:val="20"/>
          <w:lang w:val="pt-BR"/>
        </w:rPr>
        <w:t>Art. 294. A tutela provisória pode fundamentar-se em urgência ou evidência.</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Parágrafo único. A tutela provisória de urgência, cautelar ou antecipada, poder ser concedida em caráter antecedente ou incidental.</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300. </w:t>
      </w:r>
      <w:r>
        <w:rPr>
          <w:rFonts w:cs="Calibri"/>
          <w:b/>
          <w:sz w:val="20"/>
          <w:szCs w:val="20"/>
          <w:lang w:val="pt-BR"/>
        </w:rPr>
        <w:t>A tutela de urgência será concedida quando houver elementos que evidenciem a probabilidade do direito e o perigo de dano ou o risco ao resultado útil do processo.</w:t>
      </w:r>
    </w:p>
    <w:p>
      <w:pPr>
        <w:pStyle w:val="Normal"/>
        <w:tabs>
          <w:tab w:val="clear" w:pos="720"/>
          <w:tab w:val="left" w:pos="1440" w:leader="none"/>
        </w:tabs>
        <w:spacing w:lineRule="auto" w:line="300"/>
        <w:ind w:firstLine="2835" w:end="0"/>
        <w:jc w:val="both"/>
        <w:rPr>
          <w:rFonts w:eastAsia="Verdana" w:cs="Calibri"/>
          <w:color w:val="000000"/>
          <w:sz w:val="20"/>
          <w:szCs w:val="20"/>
          <w:shd w:fill="FFFFFF" w:val="clear"/>
          <w:lang w:val="pt-BR"/>
        </w:rPr>
      </w:pPr>
      <w:r>
        <w:rPr>
          <w:rFonts w:eastAsia="Verdana" w:cs="Calibri"/>
          <w:color w:val="000000"/>
          <w:sz w:val="20"/>
          <w:szCs w:val="20"/>
          <w:shd w:fill="FFFFFF" w:val="clear"/>
          <w:lang w:val="pt-BR"/>
        </w:rPr>
      </w:r>
    </w:p>
    <w:p>
      <w:pPr>
        <w:pStyle w:val="Normal"/>
        <w:tabs>
          <w:tab w:val="clear" w:pos="720"/>
          <w:tab w:val="left" w:pos="1440" w:leader="none"/>
        </w:tabs>
        <w:spacing w:lineRule="auto" w:line="300"/>
        <w:ind w:firstLine="1429" w:start="-11" w:end="0"/>
        <w:jc w:val="both"/>
        <w:rPr/>
      </w:pPr>
      <w:r>
        <w:rPr>
          <w:rFonts w:eastAsia="Verdana" w:cs="Calibri"/>
          <w:lang w:val="pt-BR"/>
        </w:rPr>
        <w:t>Assim, tem-se que a antecipação de tutela é totalmente possível, bastando para tal a comprovação dos requisitos necessários, como por exemplo, a probabilidade do direito e o perigo de dano, uma vez que, conforme se extrai dos documentos acostados a parte requerente está sendo vítima de débitos indevidos em sua conta corrente, conforme atestam e comprovam os extratos que seguem anexo a esta exordial.</w:t>
      </w:r>
      <w:r>
        <w:rPr>
          <w:rFonts w:eastAsia="Arial" w:cs="Calibri"/>
          <w:b/>
          <w:bCs/>
          <w:lang w:val="pt-BR"/>
        </w:rPr>
        <w:t xml:space="preserve"> </w:t>
      </w:r>
    </w:p>
    <w:p>
      <w:pPr>
        <w:pStyle w:val="Padro"/>
        <w:tabs>
          <w:tab w:val="left" w:pos="0" w:leader="none"/>
          <w:tab w:val="left" w:pos="708" w:leader="none"/>
        </w:tabs>
        <w:spacing w:lineRule="auto" w:line="300" w:before="0" w:after="0"/>
        <w:ind w:firstLine="1429" w:end="0"/>
        <w:jc w:val="both"/>
        <w:rPr>
          <w:rFonts w:ascii="Calibri" w:hAnsi="Calibri" w:eastAsia="Arial" w:cs="Calibri"/>
          <w:b/>
          <w:bCs/>
          <w:sz w:val="22"/>
          <w:szCs w:val="22"/>
          <w:lang w:val="pt-BR"/>
        </w:rPr>
      </w:pPr>
      <w:r>
        <w:rPr>
          <w:rFonts w:eastAsia="Arial" w:cs="Calibri" w:ascii="Calibri" w:hAnsi="Calibri"/>
          <w:b/>
          <w:bCs/>
          <w:sz w:val="22"/>
          <w:szCs w:val="22"/>
          <w:lang w:val="pt-BR"/>
        </w:rPr>
      </w:r>
    </w:p>
    <w:p>
      <w:pPr>
        <w:pStyle w:val="PargrafodaLista"/>
        <w:spacing w:lineRule="auto" w:line="300" w:before="0" w:after="0"/>
        <w:ind w:firstLine="1429" w:start="0" w:end="0"/>
        <w:contextualSpacing/>
        <w:jc w:val="both"/>
        <w:rPr/>
      </w:pPr>
      <w:r>
        <w:rPr>
          <w:rFonts w:cs="Calibri"/>
        </w:rPr>
        <w:t>Ademais, conforme demonstrado na narração dos fatos urge, no presente caso, a concessão da tutela antecipada, com a finalidade de que seja cessado os lançamentos de débitos indevido na conta corrente da autora, objeto da lide, até o julgamento final desta ação.</w:t>
      </w:r>
    </w:p>
    <w:p>
      <w:pPr>
        <w:pStyle w:val="Padro"/>
        <w:tabs>
          <w:tab w:val="left" w:pos="0" w:leader="none"/>
          <w:tab w:val="left" w:pos="708" w:leader="none"/>
        </w:tabs>
        <w:spacing w:lineRule="auto" w:line="300" w:before="0" w:after="0"/>
        <w:ind w:firstLine="1429" w:end="0"/>
        <w:jc w:val="both"/>
        <w:rPr>
          <w:rFonts w:ascii="Calibri" w:hAnsi="Calibri" w:eastAsia="Arial" w:cs="Calibri"/>
          <w:bCs/>
          <w:sz w:val="22"/>
          <w:szCs w:val="22"/>
        </w:rPr>
      </w:pPr>
      <w:r>
        <w:rPr>
          <w:rFonts w:eastAsia="Arial" w:cs="Calibri" w:ascii="Calibri" w:hAnsi="Calibri"/>
          <w:bCs/>
          <w:sz w:val="22"/>
          <w:szCs w:val="22"/>
        </w:rPr>
      </w:r>
    </w:p>
    <w:p>
      <w:pPr>
        <w:pStyle w:val="Padro"/>
        <w:tabs>
          <w:tab w:val="left" w:pos="0" w:leader="none"/>
          <w:tab w:val="left" w:pos="708" w:leader="none"/>
        </w:tabs>
        <w:spacing w:lineRule="auto" w:line="300" w:before="0" w:after="0"/>
        <w:ind w:firstLine="1429" w:end="0"/>
        <w:jc w:val="both"/>
        <w:rPr>
          <w:rFonts w:ascii="Calibri" w:hAnsi="Calibri" w:cs="Calibri"/>
          <w:sz w:val="22"/>
          <w:szCs w:val="22"/>
        </w:rPr>
      </w:pPr>
      <w:r>
        <w:rPr>
          <w:rFonts w:eastAsia="Arial" w:cs="Calibri" w:ascii="Calibri" w:hAnsi="Calibri"/>
          <w:bCs/>
          <w:sz w:val="22"/>
          <w:szCs w:val="22"/>
        </w:rPr>
        <w:t>O CDC em seu art. 84, §§ 3° e 4°, dispõe que é perfeitamente possível a antecipação de tutela, bastando que os fatos apresentados sejam relevantes e ainda, ficará ao arbítrio de Vossa Excelência, a estipulação de multa diária nos moldes do parágrafo 4°.</w:t>
      </w:r>
    </w:p>
    <w:p>
      <w:pPr>
        <w:pStyle w:val="Padro"/>
        <w:spacing w:lineRule="auto" w:line="300" w:before="0" w:after="0"/>
        <w:ind w:firstLine="1712" w:start="4111" w:end="0"/>
        <w:jc w:val="both"/>
        <w:rPr>
          <w:rFonts w:ascii="Calibri" w:hAnsi="Calibri" w:eastAsia="Arial" w:cs="Calibri"/>
          <w:b/>
          <w:bCs/>
          <w:sz w:val="22"/>
          <w:szCs w:val="22"/>
        </w:rPr>
      </w:pPr>
      <w:r>
        <w:rPr>
          <w:rFonts w:eastAsia="Arial" w:cs="Calibri" w:ascii="Calibri" w:hAnsi="Calibri"/>
          <w:b/>
          <w:bCs/>
          <w:sz w:val="22"/>
          <w:szCs w:val="22"/>
        </w:rPr>
      </w:r>
    </w:p>
    <w:p>
      <w:pPr>
        <w:pStyle w:val="Normal"/>
        <w:spacing w:lineRule="auto" w:line="240"/>
        <w:ind w:start="2268" w:end="0"/>
        <w:jc w:val="both"/>
        <w:rPr/>
      </w:pPr>
      <w:r>
        <w:rPr>
          <w:rFonts w:cs="Calibri"/>
          <w:sz w:val="20"/>
          <w:szCs w:val="20"/>
          <w:lang w:val="pt-BR"/>
        </w:rPr>
        <w:t>Art. 84 do CDC – Na ação que tenha por objeto o cumprimento da obrigação de fazer ou não fazer, o juiz concederá a tutela específica da obrigação ou determinará providências que assegurem o resultado prático equivalente ao do adimplemento.</w:t>
      </w:r>
    </w:p>
    <w:p>
      <w:pPr>
        <w:pStyle w:val="Normal"/>
        <w:spacing w:lineRule="auto" w:line="240"/>
        <w:ind w:start="2268" w:end="0"/>
        <w:jc w:val="both"/>
        <w:rPr>
          <w:rFonts w:cs="Calibri"/>
          <w:sz w:val="20"/>
          <w:szCs w:val="20"/>
          <w:lang w:val="pt-BR"/>
        </w:rPr>
      </w:pPr>
      <w:r>
        <w:rPr>
          <w:rFonts w:cs="Calibri"/>
          <w:sz w:val="20"/>
          <w:szCs w:val="20"/>
          <w:lang w:val="pt-BR"/>
        </w:rPr>
        <w:t>§1° (...)</w:t>
      </w:r>
    </w:p>
    <w:p>
      <w:pPr>
        <w:pStyle w:val="Normal"/>
        <w:spacing w:lineRule="auto" w:line="240"/>
        <w:ind w:start="2268" w:end="0"/>
        <w:jc w:val="both"/>
        <w:rPr>
          <w:rFonts w:cs="Calibri"/>
          <w:sz w:val="20"/>
          <w:szCs w:val="20"/>
          <w:lang w:val="pt-BR"/>
        </w:rPr>
      </w:pPr>
      <w:r>
        <w:rPr>
          <w:rFonts w:cs="Calibri"/>
          <w:sz w:val="20"/>
          <w:szCs w:val="20"/>
          <w:lang w:val="pt-BR"/>
        </w:rPr>
        <w:t>§2° (...)</w:t>
      </w:r>
    </w:p>
    <w:p>
      <w:pPr>
        <w:pStyle w:val="Normal"/>
        <w:spacing w:lineRule="auto" w:line="240"/>
        <w:ind w:start="2268" w:end="0"/>
        <w:jc w:val="both"/>
        <w:rPr>
          <w:rFonts w:cs="Calibri"/>
          <w:sz w:val="20"/>
          <w:szCs w:val="20"/>
          <w:lang w:val="pt-BR"/>
        </w:rPr>
      </w:pPr>
      <w:r>
        <w:rPr>
          <w:rFonts w:cs="Calibri"/>
          <w:sz w:val="20"/>
          <w:szCs w:val="20"/>
          <w:lang w:val="pt-BR"/>
        </w:rPr>
        <w:t>§3° Sendo relevante o fundamento da demanda e havendo justificado receio de ineficácia do provimento final, é lícito ao juiz conceder a tutela liminarmente ou após justificação prévia, citado o réu.</w:t>
      </w:r>
    </w:p>
    <w:p>
      <w:pPr>
        <w:pStyle w:val="Normal"/>
        <w:spacing w:lineRule="auto" w:line="240"/>
        <w:ind w:start="2268" w:end="0"/>
        <w:jc w:val="both"/>
        <w:rPr/>
      </w:pPr>
      <w:r>
        <w:rPr>
          <w:rFonts w:cs="Calibri"/>
          <w:sz w:val="20"/>
          <w:szCs w:val="20"/>
          <w:lang w:val="pt-BR"/>
        </w:rPr>
        <w:t>§4° O juiz poderá, na hipótese do § 3° ou na sentença impor multa diária ao réu, independentemente, de pedido do autor, se for suficiente ou compatível com a obrigação, fixando prazo razoável para o cumprimento do preceito.</w:t>
      </w:r>
    </w:p>
    <w:p>
      <w:pPr>
        <w:pStyle w:val="Normal"/>
        <w:spacing w:lineRule="auto" w:line="240"/>
        <w:ind w:start="2268" w:end="0"/>
        <w:jc w:val="both"/>
        <w:rPr>
          <w:rFonts w:cs="Calibri"/>
          <w:sz w:val="20"/>
          <w:szCs w:val="20"/>
          <w:lang w:val="pt-BR"/>
        </w:rPr>
      </w:pPr>
      <w:r>
        <w:rPr>
          <w:rFonts w:cs="Calibri"/>
          <w:sz w:val="20"/>
          <w:szCs w:val="20"/>
          <w:lang w:val="pt-BR"/>
        </w:rPr>
        <w:t>§5° (...)</w:t>
      </w:r>
    </w:p>
    <w:p>
      <w:pPr>
        <w:pStyle w:val="Padro"/>
        <w:spacing w:lineRule="auto" w:line="300" w:before="0" w:after="0"/>
        <w:ind w:start="4111" w:end="0"/>
        <w:jc w:val="both"/>
        <w:rPr>
          <w:rFonts w:ascii="Calibri" w:hAnsi="Calibri" w:eastAsia="Arial" w:cs="Calibri"/>
          <w:b/>
          <w:bCs/>
          <w:sz w:val="22"/>
          <w:szCs w:val="22"/>
          <w:lang w:val="pt-BR"/>
        </w:rPr>
      </w:pPr>
      <w:r>
        <w:rPr>
          <w:rFonts w:eastAsia="Arial" w:cs="Calibri" w:ascii="Calibri" w:hAnsi="Calibri"/>
          <w:b/>
          <w:bCs/>
          <w:sz w:val="22"/>
          <w:szCs w:val="22"/>
          <w:lang w:val="pt-BR"/>
        </w:rPr>
      </w:r>
    </w:p>
    <w:p>
      <w:pPr>
        <w:pStyle w:val="PargrafodaLista"/>
        <w:spacing w:lineRule="auto" w:line="300" w:before="0" w:after="0"/>
        <w:ind w:firstLine="1418" w:start="0" w:end="0"/>
        <w:contextualSpacing/>
        <w:jc w:val="both"/>
        <w:rPr/>
      </w:pPr>
      <w:r>
        <w:rPr>
          <w:rFonts w:cs="Calibri"/>
        </w:rPr>
        <w:t xml:space="preserve">No caso, está presente o </w:t>
      </w:r>
      <w:r>
        <w:rPr>
          <w:rFonts w:cs="Calibri"/>
          <w:i/>
        </w:rPr>
        <w:t xml:space="preserve">periculum in mora, </w:t>
      </w:r>
      <w:r>
        <w:rPr>
          <w:rFonts w:cs="Calibri"/>
        </w:rPr>
        <w:t>visto que há restrição irreparável de direitos intrínsecos à pessoa da parte requerente. Outrossim, no caso em tela, há mais do que a probabilidade do direito, há sim, a certeza da sua procedência e a eficiência do provimento final quanto ao constrangimento a que a parte requerente vem passando.</w:t>
      </w:r>
    </w:p>
    <w:p>
      <w:pPr>
        <w:pStyle w:val="PargrafodaLista"/>
        <w:spacing w:lineRule="auto" w:line="300" w:before="0" w:after="0"/>
        <w:ind w:firstLine="1418" w:start="0" w:end="0"/>
        <w:contextualSpacing/>
        <w:jc w:val="both"/>
        <w:rPr>
          <w:rFonts w:cs="Calibri"/>
        </w:rPr>
      </w:pPr>
      <w:r>
        <w:rPr>
          <w:rFonts w:cs="Calibri"/>
        </w:rPr>
      </w:r>
    </w:p>
    <w:p>
      <w:pPr>
        <w:pStyle w:val="Normal"/>
        <w:spacing w:lineRule="auto" w:line="300"/>
        <w:ind w:firstLine="1418" w:end="0"/>
        <w:jc w:val="both"/>
        <w:rPr/>
      </w:pPr>
      <w:r>
        <w:rPr>
          <w:rFonts w:cs="Calibri"/>
          <w:lang w:val="pt-BR"/>
        </w:rPr>
        <w:t xml:space="preserve">Portanto, resta evidente a probabilidade do direito e o </w:t>
      </w:r>
      <w:r>
        <w:rPr>
          <w:rFonts w:cs="Calibri"/>
          <w:i/>
          <w:lang w:val="pt-BR"/>
        </w:rPr>
        <w:t>periculum in mora</w:t>
      </w:r>
      <w:r>
        <w:rPr>
          <w:rFonts w:cs="Calibri"/>
          <w:lang w:val="pt-BR"/>
        </w:rPr>
        <w:t xml:space="preserve">, que justifica a concessão da </w:t>
      </w:r>
      <w:r>
        <w:rPr>
          <w:rFonts w:cs="Calibri"/>
          <w:b/>
          <w:lang w:val="pt-BR"/>
        </w:rPr>
        <w:t xml:space="preserve">TUTELA ANTECIPADA </w:t>
      </w:r>
      <w:r>
        <w:rPr>
          <w:rFonts w:cs="Calibri"/>
          <w:lang w:val="pt-BR"/>
        </w:rPr>
        <w:t xml:space="preserve">com fundamento nos arts. 294 c/c 300, ambos do NCPC/2015, para que o requerido </w:t>
      </w:r>
      <w:r>
        <w:rPr>
          <w:rFonts w:cs="Calibri"/>
          <w:b/>
          <w:lang w:val="pt-BR"/>
        </w:rPr>
        <w:t xml:space="preserve">SUSPENDA os descontos denominados de </w:t>
      </w:r>
      <w:r>
        <w:rPr>
          <w:rFonts w:cs="Calibri"/>
          <w:b/>
          <w:bCs/>
          <w:color w:val="000000"/>
          <w:lang w:val="pt-BR"/>
        </w:rPr>
        <w:t>“Seguro Mais Proteção”</w:t>
      </w:r>
      <w:r>
        <w:rPr>
          <w:rFonts w:cs="Calibri"/>
          <w:b/>
          <w:color w:val="000000"/>
          <w:lang w:val="pt-BR"/>
        </w:rPr>
        <w:t xml:space="preserve">, </w:t>
      </w:r>
      <w:r>
        <w:rPr>
          <w:rFonts w:cs="Calibri"/>
          <w:b/>
          <w:lang w:val="pt-BR"/>
        </w:rPr>
        <w:t xml:space="preserve">realizados na </w:t>
      </w:r>
      <w:r>
        <w:rPr>
          <w:rFonts w:cs="Calibri"/>
          <w:b/>
          <w:color w:val="000000"/>
          <w:lang w:val="pt-BR"/>
        </w:rPr>
        <w:t>conta corrente 9521-4, agência 3707</w:t>
      </w:r>
      <w:r>
        <w:rPr>
          <w:rFonts w:cs="Calibri"/>
          <w:b/>
          <w:lang w:val="pt-BR"/>
        </w:rPr>
        <w:t xml:space="preserve">, de titularidade da parte requerente, sob pena de multa a ser fixada no valor de R$ 500,00 (quinhentos reais), a título sugestivo, </w:t>
      </w:r>
      <w:r>
        <w:rPr>
          <w:rFonts w:cs="Calibri"/>
          <w:b/>
          <w:u w:val="single"/>
          <w:lang w:val="pt-BR"/>
        </w:rPr>
        <w:t>por cada desconto realizado</w:t>
      </w:r>
      <w:r>
        <w:rPr>
          <w:rFonts w:cs="Calibri"/>
          <w:b/>
          <w:lang w:val="pt-BR"/>
        </w:rPr>
        <w:t>, conforme preceitua o art. 537 do CPC/2015.</w:t>
      </w:r>
    </w:p>
    <w:p>
      <w:pPr>
        <w:pStyle w:val="Normal"/>
        <w:spacing w:lineRule="auto" w:line="300"/>
        <w:jc w:val="both"/>
        <w:rPr>
          <w:rFonts w:cs="Calibri"/>
          <w:b/>
          <w:lang w:val="pt-BR"/>
        </w:rPr>
      </w:pPr>
      <w:r>
        <w:rPr>
          <w:rFonts w:cs="Calibri"/>
          <w:b/>
          <w:lang w:val="pt-BR"/>
        </w:rPr>
      </w:r>
    </w:p>
    <w:p>
      <w:pPr>
        <w:pStyle w:val="PargrafodaLista"/>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start="0" w:end="0"/>
        <w:contextualSpacing/>
        <w:jc w:val="center"/>
        <w:rPr/>
      </w:pPr>
      <w:r>
        <w:rPr>
          <w:rFonts w:cs="Calibri"/>
          <w:b/>
        </w:rPr>
        <w:t>6 - DA INVERSÃO DO ÔNUS DA PROVA</w:t>
      </w:r>
    </w:p>
    <w:p>
      <w:pPr>
        <w:pStyle w:val="Normal"/>
        <w:spacing w:lineRule="auto" w:line="300"/>
        <w:ind w:firstLine="1416" w:end="0"/>
        <w:jc w:val="both"/>
        <w:textAlignment w:val="top"/>
        <w:rPr>
          <w:rFonts w:cs="Calibri"/>
          <w:b/>
          <w:lang w:val="pt-BR"/>
        </w:rPr>
      </w:pPr>
      <w:r>
        <w:rPr>
          <w:rFonts w:cs="Calibri"/>
          <w:b/>
          <w:lang w:val="pt-BR"/>
        </w:rPr>
      </w:r>
    </w:p>
    <w:p>
      <w:pPr>
        <w:pStyle w:val="Normal"/>
        <w:spacing w:lineRule="auto" w:line="300"/>
        <w:ind w:firstLine="1418" w:end="0"/>
        <w:jc w:val="both"/>
        <w:textAlignment w:val="top"/>
        <w:rPr>
          <w:rFonts w:cs="Calibri"/>
          <w:lang w:val="pt-BR"/>
        </w:rPr>
      </w:pPr>
      <w:r>
        <w:rPr>
          <w:rFonts w:cs="Calibri"/>
          <w:lang w:val="pt-BR"/>
        </w:rPr>
        <w:t>A distribuição do ônus da prova assume especial relevância no âmbito das relações de consumo, uma vez que sua inadequada aplicação pode acarretar prejuízos significativos à parte mais vulnerável da relação jurídica, notadamente o consumidor.</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Em regra, dispõe o art. 373, incisos I e II, do Código de Processo Civil, que o ônus da prova incumbe ao autor quanto ao fato constitutivo de seu direito e ao réu quanto à existência de fato impeditivo, modificativo ou extintivo do direito alegado. Todavia, tal sistemática não se aplica de forma absoluta às relações de consumo.</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 xml:space="preserve">Com efeito, o Código de Defesa do Consumidor, ao reconhecer a desigualdade técnica, econômica e informacional existente entre consumidor e fornecedor, instituiu mecanismo de </w:t>
      </w:r>
      <w:r>
        <w:rPr>
          <w:rFonts w:cs="Calibri"/>
          <w:b/>
          <w:bCs/>
          <w:lang w:val="pt-BR"/>
        </w:rPr>
        <w:t>equilíbrio processual</w:t>
      </w:r>
      <w:r>
        <w:rPr>
          <w:rFonts w:cs="Calibri"/>
          <w:lang w:val="pt-BR"/>
        </w:rPr>
        <w:t xml:space="preserve">, admitindo a </w:t>
      </w:r>
      <w:r>
        <w:rPr>
          <w:rFonts w:cs="Calibri"/>
          <w:b/>
          <w:bCs/>
          <w:lang w:val="pt-BR"/>
        </w:rPr>
        <w:t>inversão do ônus da prova</w:t>
      </w:r>
      <w:r>
        <w:rPr>
          <w:rFonts w:cs="Calibri"/>
          <w:lang w:val="pt-BR"/>
        </w:rPr>
        <w:t xml:space="preserve"> como direito básico do consumidor, justamente para mitigar a disparidade de forças entre os polos da demanda.</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 xml:space="preserve">Nessa perspectiva, o art. 6º, inciso VIII, do CDC estabelece que é direito básico do consumidor a facilitação da defesa de seus direitos, inclusive mediante a inversão do ônus da prova, </w:t>
      </w:r>
      <w:r>
        <w:rPr>
          <w:rFonts w:cs="Calibri"/>
          <w:b/>
          <w:bCs/>
          <w:lang w:val="pt-BR"/>
        </w:rPr>
        <w:t>a critério do magistrado</w:t>
      </w:r>
      <w:r>
        <w:rPr>
          <w:rFonts w:cs="Calibri"/>
          <w:lang w:val="pt-BR"/>
        </w:rPr>
        <w:t xml:space="preserve">, quando presentes a </w:t>
      </w:r>
      <w:r>
        <w:rPr>
          <w:rFonts w:cs="Calibri"/>
          <w:b/>
          <w:bCs/>
          <w:lang w:val="pt-BR"/>
        </w:rPr>
        <w:t>verossimilhança das alegações</w:t>
      </w:r>
      <w:r>
        <w:rPr>
          <w:rFonts w:cs="Calibri"/>
          <w:lang w:val="pt-BR"/>
        </w:rPr>
        <w:t xml:space="preserve"> e/ou a </w:t>
      </w:r>
      <w:r>
        <w:rPr>
          <w:rFonts w:cs="Calibri"/>
          <w:b/>
          <w:bCs/>
          <w:lang w:val="pt-BR"/>
        </w:rPr>
        <w:t>hipossuficiência</w:t>
      </w:r>
      <w:r>
        <w:rPr>
          <w:rFonts w:cs="Calibri"/>
          <w:lang w:val="pt-BR"/>
        </w:rPr>
        <w:t xml:space="preserve"> do consumidor.</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rFonts w:cs="Calibri"/>
          <w:lang w:val="pt-BR"/>
        </w:rPr>
      </w:pPr>
      <w:r>
        <w:rPr>
          <w:rFonts w:cs="Calibri"/>
          <w:lang w:val="pt-BR"/>
        </w:rPr>
        <w:t xml:space="preserve">Da interpretação do referido dispositivo legal, extrai-se que são </w:t>
      </w:r>
      <w:r>
        <w:rPr>
          <w:rFonts w:cs="Calibri"/>
          <w:b/>
          <w:bCs/>
          <w:lang w:val="pt-BR"/>
        </w:rPr>
        <w:t>dois os requisitos alternativos</w:t>
      </w:r>
      <w:r>
        <w:rPr>
          <w:rFonts w:cs="Calibri"/>
          <w:lang w:val="pt-BR"/>
        </w:rPr>
        <w:t xml:space="preserve"> aptos a ensejar a inversão do ônus probatório:</w:t>
      </w:r>
    </w:p>
    <w:p>
      <w:pPr>
        <w:pStyle w:val="Normal"/>
        <w:spacing w:lineRule="auto" w:line="300"/>
        <w:ind w:start="2268" w:end="0"/>
        <w:jc w:val="both"/>
        <w:textAlignment w:val="top"/>
        <w:rPr>
          <w:rFonts w:cs="Calibri"/>
          <w:lang w:val="pt-BR"/>
        </w:rPr>
      </w:pPr>
      <w:r>
        <w:rPr>
          <w:rFonts w:cs="Calibri"/>
          <w:lang w:val="pt-BR"/>
        </w:rPr>
        <w:br/>
        <w:t>(i) a verossimilhança das alegações deduzidas em juízo; e</w:t>
      </w:r>
    </w:p>
    <w:p>
      <w:pPr>
        <w:pStyle w:val="Normal"/>
        <w:spacing w:lineRule="auto" w:line="300"/>
        <w:ind w:start="2268" w:end="0"/>
        <w:jc w:val="both"/>
        <w:textAlignment w:val="top"/>
        <w:rPr/>
      </w:pPr>
      <w:r>
        <w:rPr>
          <w:rFonts w:cs="Calibri"/>
          <w:lang w:val="pt-BR"/>
        </w:rPr>
        <w:t>(ii) a hipossuficiência do consumidor, seja ela técnica, econômica ou informacional.</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 xml:space="preserve">No caso em exame, ambos os requisitos encontram-se </w:t>
      </w:r>
      <w:r>
        <w:rPr>
          <w:rFonts w:cs="Calibri"/>
          <w:b/>
          <w:bCs/>
          <w:lang w:val="pt-BR"/>
        </w:rPr>
        <w:t>plenamente caracterizados</w:t>
      </w:r>
      <w:r>
        <w:rPr>
          <w:rFonts w:cs="Calibri"/>
          <w:lang w:val="pt-BR"/>
        </w:rPr>
        <w:t xml:space="preserve">. A </w:t>
      </w:r>
      <w:r>
        <w:rPr>
          <w:rFonts w:cs="Calibri"/>
          <w:b/>
          <w:bCs/>
          <w:lang w:val="pt-BR"/>
        </w:rPr>
        <w:t>verossimilhança das alegações</w:t>
      </w:r>
      <w:r>
        <w:rPr>
          <w:rFonts w:cs="Calibri"/>
          <w:lang w:val="pt-BR"/>
        </w:rPr>
        <w:t xml:space="preserve"> resta demonstrada pelos documentos que instruem a inicial, especialmente os extratos bancários que evidenciam a realização de descontos indevidos e não autorizados. De igual modo, a </w:t>
      </w:r>
      <w:r>
        <w:rPr>
          <w:rFonts w:cs="Calibri"/>
          <w:b/>
          <w:bCs/>
          <w:lang w:val="pt-BR"/>
        </w:rPr>
        <w:t>hipossuficiência da parte requerente</w:t>
      </w:r>
      <w:r>
        <w:rPr>
          <w:rFonts w:cs="Calibri"/>
          <w:lang w:val="pt-BR"/>
        </w:rPr>
        <w:t xml:space="preserve"> é manifesta, uma vez que se trata de consumidora sem acesso aos sistemas internos, contratos, gravações, autorizações e registros mantidos exclusivamente pela instituição financeira requerida.</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 xml:space="preserve">Ressalte-se que a inversão do ônus da prova revela-se medida indispensável para assegurar a </w:t>
      </w:r>
      <w:r>
        <w:rPr>
          <w:rFonts w:cs="Calibri"/>
          <w:b/>
          <w:bCs/>
          <w:lang w:val="pt-BR"/>
        </w:rPr>
        <w:t>efetividade da tutela jurisdicional</w:t>
      </w:r>
      <w:r>
        <w:rPr>
          <w:rFonts w:cs="Calibri"/>
          <w:lang w:val="pt-BR"/>
        </w:rPr>
        <w:t>, impondo ao fornecedor — que detém maior capacidade técnica e probatória — o dever de demonstrar a regularidade da contratação e a legitimidade das cobranças realizadas.</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 xml:space="preserve">Dessa forma, diante da relação de consumo estabelecida, da verossimilhança das alegações e da hipossuficiência da parte requerente, impõe-se a aplicação do art. 6º, inciso VIII, do Código de Defesa do Consumidor, razão pela qual requer-se, desde já, a </w:t>
      </w:r>
      <w:r>
        <w:rPr>
          <w:rFonts w:cs="Calibri"/>
          <w:b/>
          <w:bCs/>
          <w:lang w:val="pt-BR"/>
        </w:rPr>
        <w:t>inversão do ônus da prova</w:t>
      </w:r>
      <w:r>
        <w:rPr>
          <w:rFonts w:cs="Calibri"/>
          <w:lang w:val="pt-BR"/>
        </w:rPr>
        <w:t>, competindo ao requerido comprovar a existência de contratação válida e a regularidade dos descontos efetuados.</w:t>
      </w:r>
    </w:p>
    <w:p>
      <w:pPr>
        <w:pStyle w:val="Normal"/>
        <w:spacing w:lineRule="auto" w:line="300"/>
        <w:ind w:firstLine="2835" w:end="0"/>
        <w:jc w:val="both"/>
        <w:textAlignment w:val="top"/>
        <w:rPr>
          <w:rFonts w:cs="Calibri"/>
          <w:color w:val="FF0000"/>
          <w:lang w:val="pt-BR"/>
        </w:rPr>
      </w:pPr>
      <w:r>
        <w:rPr>
          <w:rFonts w:cs="Calibri"/>
          <w:color w:val="FF0000"/>
          <w:lang w:val="pt-BR"/>
        </w:rPr>
      </w:r>
    </w:p>
    <w:p>
      <w:pPr>
        <w:pStyle w:val="PargrafodaLista"/>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start="0" w:end="0"/>
        <w:contextualSpacing/>
        <w:jc w:val="center"/>
        <w:rPr/>
      </w:pPr>
      <w:r>
        <w:rPr>
          <w:rFonts w:cs="Calibri"/>
          <w:b/>
        </w:rPr>
        <w:t>7 - DOS PEDIDOS</w:t>
      </w:r>
    </w:p>
    <w:p>
      <w:pPr>
        <w:pStyle w:val="Normal"/>
        <w:spacing w:lineRule="auto" w:line="300"/>
        <w:ind w:firstLine="2835" w:end="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Diante de todo o exposto, requer a parte requerente a Vossa Excelência que se digne a:</w:t>
      </w:r>
    </w:p>
    <w:p>
      <w:pPr>
        <w:pStyle w:val="Normal"/>
        <w:spacing w:lineRule="auto" w:line="300"/>
        <w:ind w:firstLine="1701" w:end="0"/>
        <w:jc w:val="both"/>
        <w:rPr>
          <w:rFonts w:cs="Calibri"/>
          <w:lang w:val="pt-BR"/>
        </w:rPr>
      </w:pPr>
      <w:r>
        <w:rPr>
          <w:rFonts w:cs="Calibri"/>
          <w:lang w:val="pt-BR"/>
        </w:rPr>
      </w:r>
    </w:p>
    <w:p>
      <w:pPr>
        <w:pStyle w:val="PargrafodaLista"/>
        <w:numPr>
          <w:ilvl w:val="0"/>
          <w:numId w:val="3"/>
        </w:numPr>
        <w:spacing w:lineRule="auto" w:line="300" w:before="0" w:after="0"/>
        <w:ind w:firstLine="1418" w:start="0" w:end="0"/>
        <w:contextualSpacing/>
        <w:jc w:val="both"/>
        <w:rPr>
          <w:rFonts w:cs="Calibri"/>
        </w:rPr>
      </w:pPr>
      <w:r>
        <w:rPr>
          <w:rFonts w:cs="Calibri"/>
        </w:rPr>
        <w:t>Determinar a citação da empresa requerida, no endereço indicado na petição inicial, na pessoa de seu representante legal, para que, querendo, apresente defesa no prazo legal, sob pena de revelia e confissão quanto à matéria de fato, nos termos dos arts. 246 e 344 do Código de Processo Civil;</w:t>
      </w:r>
    </w:p>
    <w:p>
      <w:pPr>
        <w:pStyle w:val="PargrafodaLista"/>
        <w:spacing w:lineRule="auto" w:line="300" w:before="0" w:after="0"/>
        <w:ind w:start="0" w:end="0"/>
        <w:contextualSpacing/>
        <w:jc w:val="both"/>
        <w:rPr>
          <w:rFonts w:cs="Calibri"/>
        </w:rPr>
      </w:pPr>
      <w:r>
        <w:rPr>
          <w:rFonts w:cs="Calibri"/>
        </w:rPr>
      </w:r>
    </w:p>
    <w:p>
      <w:pPr>
        <w:pStyle w:val="PargrafodaLista"/>
        <w:numPr>
          <w:ilvl w:val="0"/>
          <w:numId w:val="3"/>
        </w:numPr>
        <w:spacing w:lineRule="auto" w:line="300" w:before="0" w:after="0"/>
        <w:ind w:firstLine="1418" w:start="0" w:end="0"/>
        <w:contextualSpacing/>
        <w:jc w:val="both"/>
        <w:rPr>
          <w:rFonts w:cs="Calibri"/>
          <w:b/>
        </w:rPr>
      </w:pPr>
      <w:r>
        <w:rPr>
          <w:rFonts w:cs="Calibri"/>
          <w:bCs/>
        </w:rPr>
        <w:t>Conceder a</w:t>
      </w:r>
      <w:r>
        <w:rPr>
          <w:rFonts w:cs="Calibri"/>
          <w:b/>
        </w:rPr>
        <w:t xml:space="preserve"> TUTELA ANTECIPADA </w:t>
      </w:r>
      <w:r>
        <w:rPr>
          <w:rFonts w:cs="Calibri"/>
        </w:rPr>
        <w:t xml:space="preserve">com fundamento nos arts. 294 c/c 300, ambos do NCPC/2015, para que o requerido </w:t>
      </w:r>
      <w:r>
        <w:rPr>
          <w:rFonts w:cs="Calibri"/>
          <w:b/>
        </w:rPr>
        <w:t xml:space="preserve">SUSPENDA os descontos denominados de </w:t>
      </w:r>
      <w:r>
        <w:rPr>
          <w:rFonts w:cs="Calibri"/>
          <w:b/>
          <w:bCs/>
          <w:color w:val="000000"/>
        </w:rPr>
        <w:t>“Cesta Fácil Econômica”</w:t>
      </w:r>
      <w:r>
        <w:rPr>
          <w:rFonts w:cs="Calibri"/>
          <w:b/>
          <w:color w:val="000000"/>
        </w:rPr>
        <w:t xml:space="preserve">, </w:t>
      </w:r>
      <w:r>
        <w:rPr>
          <w:rFonts w:cs="Calibri"/>
          <w:b/>
        </w:rPr>
        <w:t xml:space="preserve">realizados na </w:t>
      </w:r>
      <w:r>
        <w:rPr>
          <w:rFonts w:cs="Calibri"/>
          <w:b/>
          <w:color w:val="000000"/>
        </w:rPr>
        <w:t>conta corrente 9521-4, agência 3707,</w:t>
      </w:r>
      <w:r>
        <w:rPr>
          <w:rFonts w:cs="Calibri"/>
          <w:b/>
        </w:rPr>
        <w:t xml:space="preserve"> de titularidade da parte requerente, sob pena de multa a ser fixada no valor de R$ 500,00 (quinhentos reais), a título sugestivo, por cada desconto realizado, conforme preceitua o art. 537 do CPC/2015.</w:t>
      </w:r>
    </w:p>
    <w:p>
      <w:pPr>
        <w:pStyle w:val="PargrafodaLista"/>
        <w:spacing w:lineRule="auto" w:line="300" w:before="0" w:after="0"/>
        <w:ind w:firstLine="1418" w:start="0" w:end="0"/>
        <w:contextualSpacing/>
        <w:jc w:val="both"/>
        <w:rPr>
          <w:rFonts w:cs="Calibri"/>
          <w:b/>
        </w:rPr>
      </w:pPr>
      <w:r>
        <w:rPr>
          <w:rFonts w:cs="Calibri"/>
          <w:b/>
        </w:rPr>
      </w:r>
    </w:p>
    <w:p>
      <w:pPr>
        <w:pStyle w:val="PargrafodaLista"/>
        <w:numPr>
          <w:ilvl w:val="0"/>
          <w:numId w:val="3"/>
        </w:numPr>
        <w:spacing w:lineRule="auto" w:line="300" w:before="0" w:after="0"/>
        <w:ind w:firstLine="1418" w:start="0" w:end="0"/>
        <w:contextualSpacing/>
        <w:jc w:val="both"/>
        <w:rPr>
          <w:rFonts w:cs="Calibri"/>
        </w:rPr>
      </w:pPr>
      <w:r>
        <w:rPr>
          <w:rFonts w:cs="Calibri"/>
        </w:rPr>
        <w:t>Reconhecer a aplicabilidade do Código de Defesa do Consumidor ao caso em apreço, declarando-se objetiva a responsabilidade civil da empresa requerida;</w:t>
      </w:r>
    </w:p>
    <w:p>
      <w:pPr>
        <w:pStyle w:val="PargrafodaLista"/>
        <w:spacing w:lineRule="auto" w:line="300" w:before="0" w:after="0"/>
        <w:ind w:firstLine="1418" w:end="0"/>
        <w:contextualSpacing/>
        <w:jc w:val="both"/>
        <w:rPr>
          <w:rFonts w:cs="Calibri"/>
        </w:rPr>
      </w:pPr>
      <w:r>
        <w:rPr>
          <w:rFonts w:cs="Calibri"/>
        </w:rPr>
      </w:r>
    </w:p>
    <w:p>
      <w:pPr>
        <w:pStyle w:val="PargrafodaLista"/>
        <w:numPr>
          <w:ilvl w:val="0"/>
          <w:numId w:val="3"/>
        </w:numPr>
        <w:spacing w:lineRule="auto" w:line="300" w:before="0" w:after="0"/>
        <w:ind w:firstLine="1418" w:start="0" w:end="0"/>
        <w:contextualSpacing/>
        <w:jc w:val="both"/>
        <w:rPr>
          <w:rFonts w:cs="Calibri"/>
        </w:rPr>
      </w:pPr>
      <w:r>
        <w:rPr>
          <w:rFonts w:cs="Calibri"/>
        </w:rPr>
        <w:t>Determinar a inversão do ônus da prova, em favor da parte requerente, diante de sua hipossuficiência e verossimilhança das alegações, nos moldes do art. 6°, VIII, do CDC;</w:t>
      </w:r>
    </w:p>
    <w:p>
      <w:pPr>
        <w:pStyle w:val="PargrafodaLista"/>
        <w:spacing w:lineRule="auto" w:line="300" w:before="0" w:after="0"/>
        <w:ind w:firstLine="1418" w:start="0" w:end="0"/>
        <w:contextualSpacing/>
        <w:jc w:val="both"/>
        <w:rPr>
          <w:rFonts w:cs="Calibri"/>
        </w:rPr>
      </w:pPr>
      <w:r>
        <w:rPr>
          <w:rFonts w:cs="Calibri"/>
        </w:rPr>
      </w:r>
    </w:p>
    <w:p>
      <w:pPr>
        <w:pStyle w:val="PargrafodaLista"/>
        <w:numPr>
          <w:ilvl w:val="0"/>
          <w:numId w:val="3"/>
        </w:numPr>
        <w:spacing w:lineRule="auto" w:line="300" w:before="0" w:after="0"/>
        <w:ind w:firstLine="1418" w:start="0" w:end="0"/>
        <w:contextualSpacing w:val="false"/>
        <w:jc w:val="both"/>
        <w:rPr>
          <w:rFonts w:cs="Calibri"/>
        </w:rPr>
      </w:pPr>
      <w:bookmarkStart w:id="1" w:name="_Hlk46234814"/>
      <w:bookmarkEnd w:id="1"/>
      <w:r>
        <w:rPr>
          <w:rFonts w:cs="Calibri"/>
        </w:rPr>
        <w:t>Conceder à parte requerente os benefícios da justiça gratuita, nos termos do art. 98 do CPC e do art. 9°, I da Constituição do Estado do Amazonas, por ser pessoa economicamente hipossuficiente;</w:t>
      </w:r>
    </w:p>
    <w:p>
      <w:pPr>
        <w:pStyle w:val="PargrafodaLista"/>
        <w:spacing w:lineRule="auto" w:line="300" w:before="0" w:after="0"/>
        <w:ind w:firstLine="1418" w:start="0" w:end="0"/>
        <w:contextualSpacing/>
        <w:jc w:val="both"/>
        <w:rPr>
          <w:rFonts w:cs="Calibri"/>
        </w:rPr>
      </w:pPr>
      <w:r>
        <w:rPr>
          <w:rFonts w:cs="Calibri"/>
        </w:rPr>
      </w:r>
      <w:bookmarkStart w:id="2" w:name="_Hlk46234814"/>
      <w:bookmarkStart w:id="3" w:name="_Hlk46234814"/>
      <w:bookmarkEnd w:id="3"/>
    </w:p>
    <w:p>
      <w:pPr>
        <w:pStyle w:val="PargrafodaLista"/>
        <w:numPr>
          <w:ilvl w:val="0"/>
          <w:numId w:val="3"/>
        </w:numPr>
        <w:spacing w:lineRule="auto" w:line="300" w:before="0" w:after="0"/>
        <w:ind w:firstLine="1418" w:start="0" w:end="0"/>
        <w:contextualSpacing/>
        <w:jc w:val="both"/>
        <w:rPr>
          <w:rFonts w:cs="Calibri"/>
        </w:rPr>
      </w:pPr>
      <w:r>
        <w:rPr>
          <w:rFonts w:cs="Calibri"/>
          <w:bCs/>
        </w:rPr>
        <w:t xml:space="preserve">Ao final, </w:t>
      </w:r>
      <w:r>
        <w:rPr>
          <w:rFonts w:cs="Calibri"/>
          <w:b/>
        </w:rPr>
        <w:t>julgar totalmente procedente</w:t>
      </w:r>
      <w:r>
        <w:rPr>
          <w:rFonts w:cs="Calibri"/>
          <w:b/>
          <w:bCs/>
        </w:rPr>
        <w:t xml:space="preserve"> a presente ação</w:t>
      </w:r>
      <w:r>
        <w:rPr>
          <w:rFonts w:cs="Calibri"/>
        </w:rPr>
        <w:t>, para:</w:t>
      </w:r>
    </w:p>
    <w:p>
      <w:pPr>
        <w:pStyle w:val="Normal"/>
        <w:spacing w:lineRule="auto" w:line="300"/>
        <w:ind w:firstLine="1418" w:start="2835"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f.1) Declarar a inexistência e inexigibilidade de qualquer débito em nome da parte requerente referente ao produto </w:t>
      </w:r>
      <w:r>
        <w:rPr>
          <w:rFonts w:cs="Calibri"/>
          <w:b/>
          <w:bCs/>
          <w:lang w:val="pt-BR"/>
        </w:rPr>
        <w:t>“Seguro Mais Proteção”</w:t>
      </w:r>
      <w:r>
        <w:rPr>
          <w:rFonts w:cs="Calibri"/>
          <w:b/>
          <w:lang w:val="pt-BR"/>
        </w:rPr>
        <w:t>,</w:t>
      </w:r>
      <w:r>
        <w:rPr>
          <w:rFonts w:cs="Calibri"/>
          <w:lang w:val="pt-BR"/>
        </w:rPr>
        <w:t xml:space="preserve"> objeto da presente demanda;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b/>
          <w:bCs/>
          <w:lang w:val="pt-BR"/>
        </w:rPr>
      </w:pPr>
      <w:r>
        <w:rPr>
          <w:rFonts w:cs="Calibri"/>
          <w:lang w:val="pt-BR"/>
        </w:rPr>
        <w:t xml:space="preserve">f.2) Condenar a empresa requerida, nos termos do art. 42, parágrafo único do CDC, à restituição em dobro dos valores indevidamente descontados da conta bancária da parte requerente, referente ao produto </w:t>
      </w:r>
      <w:r>
        <w:rPr>
          <w:rFonts w:cs="Calibri"/>
          <w:b/>
          <w:bCs/>
          <w:lang w:val="pt-BR"/>
        </w:rPr>
        <w:t>“Seguro Mais Proteção”</w:t>
      </w:r>
      <w:r>
        <w:rPr>
          <w:rFonts w:cs="Calibri"/>
          <w:lang w:val="pt-BR"/>
        </w:rPr>
        <w:t xml:space="preserve">, no período de </w:t>
      </w:r>
      <w:r>
        <w:rPr>
          <w:rFonts w:cs="Calibri"/>
          <w:b/>
          <w:bCs/>
          <w:lang w:val="pt-BR"/>
        </w:rPr>
        <w:t>20/03/2017 a 19/12/2025</w:t>
      </w:r>
      <w:r>
        <w:rPr>
          <w:rFonts w:cs="Calibri"/>
          <w:lang w:val="pt-BR"/>
        </w:rPr>
        <w:t xml:space="preserve">, totalizando o valor de </w:t>
      </w:r>
      <w:r>
        <w:rPr>
          <w:rFonts w:cs="Calibri"/>
          <w:b/>
          <w:bCs/>
          <w:lang w:val="pt-BR"/>
        </w:rPr>
        <w:t>R$ 303,16</w:t>
      </w:r>
      <w:r>
        <w:rPr>
          <w:rFonts w:cs="Calibri"/>
          <w:lang w:val="pt-BR"/>
        </w:rPr>
        <w:t xml:space="preserve">, o que perfaz em dobro o montante de </w:t>
      </w:r>
      <w:r>
        <w:rPr>
          <w:rFonts w:cs="Calibri"/>
          <w:b/>
          <w:bCs/>
          <w:lang w:val="pt-BR"/>
        </w:rPr>
        <w:t>R$ 606,32 (seiscentos e seis reais e trinta e dois centavos)</w:t>
      </w:r>
      <w:r>
        <w:rPr>
          <w:rFonts w:cs="Calibri"/>
          <w:lang w:val="pt-BR"/>
        </w:rPr>
        <w:t>, bem como à restituição, também em dobro, de eventuais valores que venham a ser indevidamente descontados durante a tramitação do feito;</w:t>
      </w:r>
    </w:p>
    <w:p>
      <w:pPr>
        <w:pStyle w:val="Normal"/>
        <w:spacing w:lineRule="auto" w:line="300"/>
        <w:ind w:firstLine="1418" w:end="0"/>
        <w:jc w:val="both"/>
        <w:rPr>
          <w:rFonts w:cs="Calibri"/>
          <w:b/>
          <w:bCs/>
          <w:lang w:val="pt-BR"/>
        </w:rPr>
      </w:pPr>
      <w:r>
        <w:rPr>
          <w:rFonts w:cs="Calibri"/>
          <w:b/>
          <w:bCs/>
          <w:lang w:val="pt-BR"/>
        </w:rPr>
      </w:r>
    </w:p>
    <w:p>
      <w:pPr>
        <w:pStyle w:val="PargrafodaLista"/>
        <w:spacing w:lineRule="auto" w:line="300" w:before="0" w:after="0"/>
        <w:ind w:firstLine="1418" w:start="0" w:end="0"/>
        <w:contextualSpacing/>
        <w:jc w:val="both"/>
        <w:rPr>
          <w:rFonts w:cs="Calibri"/>
        </w:rPr>
      </w:pPr>
      <w:r>
        <w:rPr>
          <w:rFonts w:cs="Calibri"/>
          <w:iCs/>
        </w:rPr>
        <w:t>f.2.1)</w:t>
      </w:r>
      <w:r>
        <w:rPr>
          <w:rFonts w:cs="Calibri"/>
          <w:i/>
        </w:rPr>
        <w:t xml:space="preserve"> </w:t>
      </w:r>
      <w:r>
        <w:rPr>
          <w:rFonts w:cs="Calibri"/>
          <w:iCs/>
        </w:rPr>
        <w:t>Subsidiariamente</w:t>
      </w:r>
      <w:r>
        <w:rPr>
          <w:rFonts w:cs="Calibri"/>
        </w:rPr>
        <w:t xml:space="preserve">, caso não seja este o entendimento de Vossa Excelência, requer a </w:t>
      </w:r>
      <w:r>
        <w:rPr>
          <w:rFonts w:cs="Calibri"/>
          <w:b/>
          <w:bCs/>
        </w:rPr>
        <w:t>restituição simples</w:t>
      </w:r>
      <w:r>
        <w:rPr>
          <w:rFonts w:cs="Calibri"/>
        </w:rPr>
        <w:t xml:space="preserve"> dos valores indevidamente descontados, devidamente atualizados, inclusive das parcelas que eventualmente venham a ser cobradas no curso da demanda;</w:t>
      </w:r>
    </w:p>
    <w:p>
      <w:pPr>
        <w:pStyle w:val="PargrafodaLista"/>
        <w:spacing w:lineRule="auto" w:line="300" w:before="0" w:after="0"/>
        <w:ind w:firstLine="1418" w:start="0" w:end="0"/>
        <w:contextualSpacing/>
        <w:jc w:val="both"/>
        <w:rPr>
          <w:rFonts w:cs="Calibri"/>
        </w:rPr>
      </w:pPr>
      <w:r>
        <w:rPr>
          <w:rFonts w:cs="Calibri"/>
        </w:rPr>
      </w:r>
    </w:p>
    <w:p>
      <w:pPr>
        <w:pStyle w:val="Normal"/>
        <w:spacing w:lineRule="auto" w:line="300"/>
        <w:ind w:firstLine="1418" w:end="0"/>
        <w:jc w:val="both"/>
        <w:rPr>
          <w:rFonts w:cs="Calibri"/>
          <w:lang w:val="pt-BR"/>
        </w:rPr>
      </w:pPr>
      <w:r>
        <w:rPr>
          <w:rFonts w:cs="Calibri"/>
          <w:lang w:val="pt-BR"/>
        </w:rPr>
        <w:t>f.2.2) Determinar a incidência de correção monetária a partir da data do efetivo prejuízo, nos termos da Súmula 43 do STJ, e juros de mora de 1% ao mês desde o evento danoso, conforme a Súmula 54 do STJ;</w:t>
      </w:r>
    </w:p>
    <w:p>
      <w:pPr>
        <w:pStyle w:val="Normal"/>
        <w:spacing w:lineRule="auto" w:line="300"/>
        <w:ind w:firstLine="1418" w:end="0"/>
        <w:jc w:val="both"/>
        <w:rPr>
          <w:rFonts w:cs="Calibri"/>
          <w:lang w:val="pt-BR"/>
        </w:rPr>
      </w:pPr>
      <w:r>
        <w:rPr>
          <w:rFonts w:cs="Calibri"/>
          <w:lang w:val="pt-BR"/>
        </w:rPr>
      </w:r>
    </w:p>
    <w:p>
      <w:pPr>
        <w:pStyle w:val="PargrafodaLista"/>
        <w:spacing w:lineRule="auto" w:line="300" w:before="0" w:after="0"/>
        <w:ind w:firstLine="1418" w:start="0" w:end="0"/>
        <w:contextualSpacing/>
        <w:jc w:val="both"/>
        <w:rPr>
          <w:rFonts w:cs="Calibri"/>
        </w:rPr>
      </w:pPr>
      <w:r>
        <w:rPr>
          <w:rFonts w:cs="Calibri"/>
        </w:rPr>
        <w:t xml:space="preserve">f.3) Condenar o requerido ao pagamento de </w:t>
      </w:r>
      <w:r>
        <w:rPr>
          <w:rFonts w:cs="Calibri"/>
          <w:b/>
          <w:bCs/>
        </w:rPr>
        <w:t>indenização por danos morais</w:t>
      </w:r>
      <w:r>
        <w:rPr>
          <w:rFonts w:cs="Calibri"/>
        </w:rPr>
        <w:t xml:space="preserve">, no valor de </w:t>
      </w:r>
      <w:r>
        <w:rPr>
          <w:rFonts w:cs="Calibri"/>
          <w:b/>
          <w:bCs/>
        </w:rPr>
        <w:t>R$ 10.000,00 (dez mil reais)</w:t>
      </w:r>
      <w:r>
        <w:rPr>
          <w:rFonts w:cs="Calibri"/>
        </w:rPr>
        <w:t>, ou outro montante que Vossa Excelência entender adequado, com incidência de correção monetária a partir da data do arbitramento (Súmula 362 do STJ) e juros de mora de 1% ao mês desde o evento danoso (Súmula 54 do STJ), nos termos do art. 5º, incisos V e X, da Constituição Federal, c/c arts. 186 e 927 do Código Civil e art. 6º, inciso VI, do CDC;</w:t>
      </w:r>
    </w:p>
    <w:p>
      <w:pPr>
        <w:pStyle w:val="PargrafodaLista"/>
        <w:spacing w:lineRule="auto" w:line="300" w:before="0" w:after="0"/>
        <w:ind w:firstLine="1418" w:start="0" w:end="0"/>
        <w:contextualSpacing/>
        <w:jc w:val="both"/>
        <w:rPr>
          <w:rFonts w:cs="Calibri"/>
        </w:rPr>
      </w:pPr>
      <w:r>
        <w:rPr>
          <w:rFonts w:cs="Calibri"/>
        </w:rPr>
      </w:r>
    </w:p>
    <w:p>
      <w:pPr>
        <w:pStyle w:val="PargrafodaLista"/>
        <w:spacing w:lineRule="auto" w:line="300" w:before="0" w:after="0"/>
        <w:ind w:firstLine="1418" w:start="0" w:end="0"/>
        <w:contextualSpacing/>
        <w:jc w:val="both"/>
        <w:rPr/>
      </w:pPr>
      <w:r>
        <w:rPr>
          <w:rFonts w:cs="Calibri"/>
        </w:rPr>
        <w:t>f.4) Condenar o requerido ao pagamento das custas processuais e de honorários advocatícios, estes fixados no percentual de 20% (vinte por cento) sobre o valor da condenação, acrescido de juros e correção monetária, em havendo recurso;</w:t>
      </w:r>
    </w:p>
    <w:p>
      <w:pPr>
        <w:pStyle w:val="PargrafodaLista"/>
        <w:spacing w:lineRule="auto" w:line="300" w:before="0" w:after="0"/>
        <w:ind w:firstLine="1418" w:start="0" w:end="0"/>
        <w:contextualSpacing/>
        <w:jc w:val="both"/>
        <w:rPr>
          <w:rFonts w:cs="Calibri"/>
        </w:rPr>
      </w:pPr>
      <w:r>
        <w:rPr>
          <w:rFonts w:cs="Calibri"/>
        </w:rPr>
      </w:r>
    </w:p>
    <w:p>
      <w:pPr>
        <w:pStyle w:val="Normal"/>
        <w:numPr>
          <w:ilvl w:val="0"/>
          <w:numId w:val="3"/>
        </w:numPr>
        <w:spacing w:lineRule="auto" w:line="300"/>
        <w:ind w:firstLine="1418" w:start="0" w:end="0"/>
        <w:jc w:val="both"/>
        <w:rPr>
          <w:rFonts w:cs="Calibri"/>
          <w:lang w:val="pt-BR"/>
        </w:rPr>
      </w:pPr>
      <w:r>
        <w:rPr>
          <w:rFonts w:cs="Calibri"/>
          <w:lang w:val="pt-BR"/>
        </w:rPr>
        <w:t xml:space="preserve">Determinar que todas as publicações, intimações e notificações pertinentes ao presente processo sejam realizadas </w:t>
      </w:r>
      <w:r>
        <w:rPr>
          <w:rFonts w:cs="Calibri"/>
          <w:b/>
          <w:bCs/>
          <w:lang w:val="pt-BR"/>
        </w:rPr>
        <w:t>CONJUNTAMENTE</w:t>
      </w:r>
      <w:r>
        <w:rPr>
          <w:rFonts w:cs="Calibri"/>
          <w:lang w:val="pt-BR"/>
        </w:rPr>
        <w:t xml:space="preserve"> em nome dos advogados </w:t>
      </w:r>
      <w:r>
        <w:rPr>
          <w:rFonts w:cs="Calibri"/>
          <w:b/>
          <w:lang w:val="pt-BR"/>
        </w:rPr>
        <w:t>ANDREY AUGUSTO BENTES RAMOS – OAB/AM 7.526 e GUSTAVO DA SILVA GRILLO – OAB/AM 7.883</w:t>
      </w:r>
      <w:r>
        <w:rPr>
          <w:rFonts w:cs="Calibri"/>
          <w:bCs/>
          <w:lang w:val="pt-BR"/>
        </w:rPr>
        <w:t>, sob pena de nulidade, nos termos do art. 272, §5˚, do CPC</w:t>
      </w:r>
      <w:r>
        <w:rPr>
          <w:rFonts w:cs="Calibri"/>
          <w:lang w:val="pt-BR"/>
        </w:rPr>
        <w:t>.</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pPr>
        <w:pStyle w:val="Normal"/>
        <w:spacing w:lineRule="auto" w:line="300"/>
        <w:ind w:firstLine="1418" w:end="0"/>
        <w:jc w:val="both"/>
        <w:rPr>
          <w:rFonts w:cs="Calibri"/>
          <w:sz w:val="18"/>
          <w:szCs w:val="18"/>
          <w:lang w:val="pt-BR"/>
        </w:rPr>
      </w:pPr>
      <w:r>
        <w:rPr>
          <w:rFonts w:cs="Calibri"/>
          <w:sz w:val="18"/>
          <w:szCs w:val="18"/>
          <w:lang w:val="pt-BR"/>
        </w:rPr>
      </w:r>
    </w:p>
    <w:p>
      <w:pPr>
        <w:pStyle w:val="Normal"/>
        <w:spacing w:lineRule="auto" w:line="300"/>
        <w:ind w:firstLine="1418" w:end="0"/>
        <w:jc w:val="both"/>
        <w:rPr>
          <w:rFonts w:cs="Calibri"/>
          <w:lang w:val="pt-BR"/>
        </w:rPr>
      </w:pPr>
      <w:r>
        <w:rPr>
          <w:rFonts w:cs="Calibri"/>
          <w:lang w:val="pt-BR"/>
        </w:rPr>
        <w:t xml:space="preserve">Dá-se a causa o valor de </w:t>
      </w:r>
      <w:r>
        <w:rPr>
          <w:rFonts w:cs="Calibri"/>
          <w:b/>
          <w:lang w:val="pt-BR"/>
        </w:rPr>
        <w:t>R$ 10.606,32 (dez mil, seiscentos e seis reais e trinta e dois centavos).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Nestes termos,</w:t>
      </w:r>
    </w:p>
    <w:p>
      <w:pPr>
        <w:pStyle w:val="Normal"/>
        <w:spacing w:lineRule="auto" w:line="300"/>
        <w:ind w:firstLine="1418" w:end="0"/>
        <w:jc w:val="both"/>
        <w:rPr/>
      </w:pPr>
      <w:r>
        <w:rPr>
          <w:rFonts w:cs="Calibri"/>
          <w:lang w:val="pt-BR"/>
        </w:rPr>
        <w:t>pede deferimento.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Manaus/AM, 16 de janeiro de 2026.</w:t>
      </w:r>
    </w:p>
    <w:p>
      <w:pPr>
        <w:pStyle w:val="Normal"/>
        <w:spacing w:lineRule="auto" w:line="300"/>
        <w:jc w:val="both"/>
        <w:rPr>
          <w:rFonts w:cs="Calibri"/>
          <w:color w:val="FF0000"/>
          <w:lang w:val="pt-BR"/>
        </w:rPr>
      </w:pPr>
      <w:r>
        <w:rPr>
          <w:rFonts w:cs="Calibri"/>
          <w:color w:val="FF0000"/>
          <w:lang w:val="pt-BR"/>
        </w:rPr>
      </w:r>
    </w:p>
    <w:p>
      <w:pPr>
        <w:pStyle w:val="Normal"/>
        <w:spacing w:lineRule="auto" w:line="300"/>
        <w:jc w:val="both"/>
        <w:rPr>
          <w:rFonts w:cs="Calibri"/>
          <w:color w:val="FF0000"/>
          <w:lang w:val="pt-BR"/>
        </w:rPr>
      </w:pPr>
      <w:r>
        <w:rPr>
          <w:rFonts w:cs="Calibri"/>
          <w:color w:val="FF0000"/>
          <w:lang w:val="pt-BR"/>
        </w:rPr>
      </w:r>
    </w:p>
    <w:p>
      <w:pPr>
        <w:pStyle w:val="Normal"/>
        <w:spacing w:lineRule="auto" w:line="300"/>
        <w:jc w:val="center"/>
        <w:rPr>
          <w:rFonts w:cs="Calibri"/>
          <w:b/>
          <w:lang w:val="pt-BR"/>
        </w:rPr>
      </w:pPr>
      <w:r>
        <w:rPr>
          <w:rFonts w:cs="Calibri"/>
          <w:b/>
          <w:lang w:val="pt-BR"/>
        </w:rPr>
        <w:t>- ASSINADO ELETRONICAMENTE -</w:t>
      </w:r>
    </w:p>
    <w:p>
      <w:pPr>
        <w:pStyle w:val="Normal"/>
        <w:spacing w:lineRule="auto" w:line="300"/>
        <w:jc w:val="center"/>
        <w:rPr>
          <w:rFonts w:cs="Calibri"/>
          <w:b/>
          <w:lang w:val="pt-BR"/>
        </w:rPr>
      </w:pPr>
      <w:r>
        <w:rPr>
          <w:rFonts w:cs="Calibri"/>
          <w:b/>
          <w:lang w:val="pt-BR"/>
        </w:rPr>
        <w:t>ANDREY AUGUSTO BENTES RAMOS</w:t>
      </w:r>
    </w:p>
    <w:p>
      <w:pPr>
        <w:pStyle w:val="Normal"/>
        <w:spacing w:lineRule="auto" w:line="300"/>
        <w:jc w:val="center"/>
        <w:rPr>
          <w:rFonts w:cs="Calibri"/>
          <w:b/>
          <w:lang w:val="pt-BR"/>
        </w:rPr>
      </w:pPr>
      <w:bookmarkStart w:id="4" w:name="_Hlk49872811"/>
      <w:r>
        <w:rPr>
          <w:rFonts w:cs="Calibri"/>
          <w:b/>
          <w:lang w:val="pt-BR"/>
        </w:rPr>
        <w:t>OAB/AM 7.526</w:t>
      </w:r>
      <w:bookmarkEnd w:id="4"/>
    </w:p>
    <w:p>
      <w:pPr>
        <w:pStyle w:val="Normal"/>
        <w:spacing w:lineRule="auto" w:line="300"/>
        <w:jc w:val="center"/>
        <w:rPr>
          <w:rFonts w:cs="Calibri"/>
          <w:b/>
          <w:lang w:val="pt-BR"/>
        </w:rPr>
      </w:pPr>
      <w:r>
        <w:rPr>
          <w:rFonts w:cs="Calibri"/>
          <w:b/>
          <w:lang w:val="pt-BR"/>
        </w:rPr>
      </w:r>
    </w:p>
    <w:p>
      <w:pPr>
        <w:pStyle w:val="Normal"/>
        <w:spacing w:lineRule="auto" w:line="300"/>
        <w:jc w:val="center"/>
        <w:rPr>
          <w:rFonts w:cs="Calibri"/>
          <w:b/>
          <w:lang w:val="pt-BR"/>
        </w:rPr>
      </w:pPr>
      <w:r>
        <w:rPr>
          <w:rFonts w:cs="Calibri"/>
          <w:b/>
          <w:lang w:val="pt-BR"/>
        </w:rPr>
      </w:r>
    </w:p>
    <w:p>
      <w:pPr>
        <w:pStyle w:val="Normal"/>
        <w:spacing w:lineRule="auto" w:line="300"/>
        <w:rPr>
          <w:rFonts w:cs="Calibri"/>
          <w:b/>
          <w:lang w:val="pt-BR"/>
        </w:rPr>
      </w:pPr>
      <w:r>
        <w:rPr>
          <w:rFonts w:cs="Calibri"/>
          <w:b/>
          <w:lang w:val="pt-BR"/>
        </w:rPr>
      </w:r>
    </w:p>
    <w:p>
      <w:pPr>
        <w:pStyle w:val="Normal"/>
        <w:spacing w:lineRule="auto" w:line="300"/>
        <w:rPr>
          <w:rFonts w:cs="Calibri"/>
          <w:b/>
          <w:lang w:val="pt-BR"/>
        </w:rPr>
      </w:pPr>
      <w:r>
        <w:rPr>
          <w:rFonts w:cs="Calibri"/>
          <w:b/>
          <w:lang w:val="pt-BR"/>
        </w:rPr>
      </w:r>
    </w:p>
    <w:p>
      <w:pPr>
        <w:pStyle w:val="Normal"/>
        <w:spacing w:lineRule="auto" w:line="300"/>
        <w:rPr>
          <w:rFonts w:cs="Calibri"/>
          <w:b/>
          <w:bCs/>
          <w:lang w:val="pt-BR"/>
        </w:rPr>
      </w:pPr>
      <w:r>
        <w:rPr>
          <w:rFonts w:cs="Calibri"/>
          <w:b/>
          <w:bCs/>
          <w:lang w:val="pt-BR"/>
        </w:rPr>
      </w:r>
    </w:p>
    <w:p>
      <w:pPr>
        <w:pStyle w:val="Normal"/>
        <w:spacing w:lineRule="auto" w:line="300"/>
        <w:rPr>
          <w:rFonts w:cs="Calibri"/>
          <w:bCs/>
          <w:lang w:val="pt-BR"/>
        </w:rPr>
      </w:pPr>
      <w:r>
        <w:rPr>
          <w:rFonts w:cs="Calibri"/>
          <w:bCs/>
          <w:lang w:val="pt-BR"/>
        </w:rPr>
      </w:r>
    </w:p>
    <w:p>
      <w:pPr>
        <w:pStyle w:val="Normal"/>
        <w:spacing w:lineRule="auto" w:line="300"/>
        <w:rPr>
          <w:rFonts w:cs="Calibri"/>
          <w:bCs/>
          <w:lang w:val="pt-BR"/>
        </w:rPr>
      </w:pPr>
      <w:r>
        <w:rPr>
          <w:rFonts w:cs="Calibri"/>
          <w:bCs/>
          <w:lang w:val="pt-BR"/>
        </w:rPr>
      </w:r>
    </w:p>
    <w:p>
      <w:pPr>
        <w:pStyle w:val="Normal"/>
        <w:rPr>
          <w:rFonts w:cs="Calibri"/>
          <w:lang w:val="pt-BR"/>
        </w:rPr>
      </w:pPr>
      <w:r>
        <w:rPr>
          <w:rFonts w:cs="Calibri"/>
          <w:lang w:val="pt-BR"/>
        </w:rPr>
      </w:r>
    </w:p>
    <w:p>
      <w:pPr>
        <w:pStyle w:val="Normal"/>
        <w:rPr>
          <w:rFonts w:cs="Calibri"/>
          <w:lang w:val="pt-BR"/>
        </w:rPr>
      </w:pPr>
      <w:r>
        <w:rPr>
          <w:rFonts w:cs="Calibri"/>
          <w:lang w:val="pt-BR"/>
        </w:rPr>
      </w:r>
    </w:p>
    <w:sectPr>
      <w:headerReference w:type="default" r:id="rId4"/>
      <w:footerReference w:type="default" r:id="rId5"/>
      <w:type w:val="nextPage"/>
      <w:pgSz w:w="11906" w:h="16838"/>
      <w:pgMar w:left="1440" w:right="1275" w:gutter="0" w:header="284" w:top="1440" w:footer="29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Calibri Light">
    <w:charset w:val="00" w:characterSet="windows-1252"/>
    <w:family w:val="swiss"/>
    <w:pitch w:val="variable"/>
  </w:font>
  <w:font w:name="Wingdings">
    <w:charset w:val="02"/>
    <w:family w:val="auto"/>
    <w:pitch w:val="variable"/>
  </w:font>
  <w:font w:name="Courier New">
    <w:charset w:val="00" w:characterSet="windows-1252"/>
    <w:family w:val="modern"/>
    <w:pitch w:val="default"/>
  </w:font>
  <w:font w:name="Tahoma">
    <w:charset w:val="00" w:characterSet="windows-1252"/>
    <w:family w:val="swiss"/>
    <w:pitch w:val="variable"/>
  </w:font>
  <w:font w:name="Antique Olive">
    <w:charset w:val="00" w:characterSet="windows-1252"/>
    <w:family w:val="swiss"/>
    <w:pitch w:val="variable"/>
  </w:font>
  <w:font w:name="Liberation Sans">
    <w:altName w:val="Arial"/>
    <w:charset w:val="01" w:characterSet="utf-8"/>
    <w:family w:val="swiss"/>
    <w:pitch w:val="variable"/>
  </w:font>
  <w:font w:name="Helvetica">
    <w:altName w:val="Arial"/>
    <w:charset w:val="00" w:characterSet="windows-1252"/>
    <w:family w:val="swiss"/>
    <w:pitch w:val="variable"/>
  </w:font>
  <w:font w:name="Bookman Old Style">
    <w:charset w:val="00" w:characterSet="windows-1252"/>
    <w:family w:val="roman"/>
    <w:pitch w:val="variable"/>
  </w:font>
  <w:font w:name="Segoe UI Emoj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Normal"/>
      <w:spacing w:lineRule="auto" w:line="240"/>
      <w:jc w:val="both"/>
      <w:rPr>
        <w:rFonts w:cs="Calibri"/>
        <w:sz w:val="16"/>
        <w:szCs w:val="16"/>
        <w:lang w:val="pt-BR"/>
      </w:rPr>
    </w:pPr>
    <w:r>
      <w:rPr>
        <w:rFonts w:cs="Segoe UI Emoji" w:ascii="Segoe UI Emoji" w:hAnsi="Segoe UI Emoji"/>
        <w:sz w:val="16"/>
        <w:szCs w:val="16"/>
      </w:rPr>
      <w:t>🏛️</w:t>
    </w:r>
    <w:r>
      <w:rPr>
        <w:rFonts w:cs="Calibri"/>
        <w:b/>
        <w:bCs/>
        <w:sz w:val="16"/>
        <w:szCs w:val="16"/>
        <w:lang w:val="pt-BR"/>
      </w:rPr>
      <w:t xml:space="preserve"> </w:t>
    </w:r>
    <w:r>
      <w:rPr>
        <w:rFonts w:cs="Calibri"/>
        <w:b/>
        <w:bCs/>
        <w:sz w:val="16"/>
        <w:szCs w:val="16"/>
        <w:lang w:val="pt-BR"/>
      </w:rPr>
      <w:t>BENTES RAMOS ADVOCACIA E CONSULTORIA JURÍDICA</w:t>
    </w:r>
  </w:p>
  <w:p>
    <w:pPr>
      <w:pStyle w:val="Normal"/>
      <w:spacing w:lineRule="auto" w:line="240"/>
      <w:jc w:val="both"/>
      <w:rPr/>
    </w:pPr>
    <w:r>
      <w:rPr>
        <w:rFonts w:cs="Segoe UI Emoji" w:ascii="Segoe UI Emoji" w:hAnsi="Segoe UI Emoji"/>
        <w:sz w:val="16"/>
        <w:szCs w:val="16"/>
      </w:rPr>
      <w:t>📍</w:t>
    </w:r>
    <w:r>
      <w:rPr>
        <w:rFonts w:cs="Calibri"/>
        <w:sz w:val="16"/>
        <w:szCs w:val="16"/>
        <w:lang w:val="pt-BR"/>
      </w:rPr>
      <w:t xml:space="preserve"> </w:t>
    </w:r>
    <w:r>
      <w:rPr>
        <w:rFonts w:cs="Calibri"/>
        <w:sz w:val="16"/>
        <w:szCs w:val="16"/>
        <w:lang w:val="pt-BR"/>
      </w:rPr>
      <w:t>Rua Salvador, 120, Sala 708 – Vieiralves Business Center – Adrianópolis, Manaus/AM – CEP 69057-040</w:t>
    </w:r>
  </w:p>
  <w:p>
    <w:pPr>
      <w:pStyle w:val="Normal"/>
      <w:spacing w:lineRule="auto" w:line="240"/>
      <w:jc w:val="both"/>
      <w:rPr>
        <w:rFonts w:cs="Calibri"/>
        <w:sz w:val="16"/>
        <w:szCs w:val="16"/>
        <w:lang w:val="pt-BR"/>
      </w:rPr>
    </w:pPr>
    <w:r>
      <w:rPr>
        <w:rFonts w:cs="Segoe UI Emoji" w:ascii="Segoe UI Emoji" w:hAnsi="Segoe UI Emoji"/>
        <w:sz w:val="16"/>
        <w:szCs w:val="16"/>
      </w:rPr>
      <w:t>📞</w:t>
    </w:r>
    <w:r>
      <w:rPr>
        <w:rFonts w:cs="Calibri"/>
        <w:sz w:val="16"/>
        <w:szCs w:val="16"/>
        <w:lang w:val="pt-BR"/>
      </w:rPr>
      <w:t xml:space="preserve"> </w:t>
    </w:r>
    <w:r>
      <w:rPr>
        <w:rFonts w:cs="Calibri"/>
        <w:sz w:val="16"/>
        <w:szCs w:val="16"/>
        <w:lang w:val="pt-BR"/>
      </w:rPr>
      <w:t xml:space="preserve">(92) 3343-6173   |   </w:t>
    </w:r>
    <w:r>
      <w:rPr>
        <w:rFonts w:cs="Segoe UI Emoji" w:ascii="Segoe UI Emoji" w:hAnsi="Segoe UI Emoji"/>
        <w:sz w:val="16"/>
        <w:szCs w:val="16"/>
      </w:rPr>
      <w:t>📱</w:t>
    </w:r>
    <w:r>
      <w:rPr>
        <w:rFonts w:cs="Calibri"/>
        <w:sz w:val="16"/>
        <w:szCs w:val="16"/>
        <w:lang w:val="pt-BR"/>
      </w:rPr>
      <w:t xml:space="preserve"> (92) 98223-7330 / (92) 99160-4348 / 98588-8190</w:t>
    </w:r>
  </w:p>
  <w:p>
    <w:pPr>
      <w:pStyle w:val="Footer"/>
      <w:jc w:val="both"/>
      <w:rPr/>
    </w:pPr>
    <w:r>
      <w:rPr>
        <w:rFonts w:cs="Segoe UI Emoji" w:ascii="Segoe UI Emoji" w:hAnsi="Segoe UI Emoji"/>
        <w:sz w:val="16"/>
        <w:szCs w:val="16"/>
        <w:lang w:val="pt-BR"/>
      </w:rPr>
      <w:t>✉</w:t>
    </w:r>
    <w:r>
      <w:rPr>
        <w:rFonts w:cs="Segoe UI Emoji" w:ascii="Segoe UI Emoji" w:hAnsi="Segoe UI Emoji"/>
        <w:sz w:val="16"/>
        <w:szCs w:val="16"/>
      </w:rPr>
      <w:t>️</w:t>
    </w:r>
    <w:r>
      <w:rPr>
        <w:rFonts w:cs="Calibri"/>
        <w:sz w:val="16"/>
        <w:szCs w:val="16"/>
        <w:lang w:val="pt-BR"/>
      </w:rPr>
      <w:t xml:space="preserve"> </w:t>
    </w:r>
    <w:r>
      <w:rPr>
        <w:rFonts w:cs="Calibri"/>
        <w:sz w:val="16"/>
        <w:szCs w:val="16"/>
        <w:lang w:val="pt-BR"/>
      </w:rPr>
      <w:t xml:space="preserve">juridico@bentesramos.adv.br   |   </w:t>
    </w:r>
    <w:r>
      <w:rPr>
        <w:rFonts w:cs="Segoe UI Emoji" w:ascii="Segoe UI Emoji" w:hAnsi="Segoe UI Emoji"/>
        <w:sz w:val="16"/>
        <w:szCs w:val="16"/>
      </w:rPr>
      <w:t>🌐</w:t>
    </w:r>
    <w:r>
      <w:rPr>
        <w:rFonts w:cs="Calibri"/>
        <w:sz w:val="16"/>
        <w:szCs w:val="16"/>
        <w:lang w:val="pt-BR"/>
      </w:rPr>
      <w:t xml:space="preserve"> www.bentesramos.com.br</w:t>
    </w:r>
    <w:r>
      <w:rPr>
        <w:sz w:val="14"/>
        <w:szCs w:val="14"/>
        <w:lang w:val="pt-B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pt-BR"/>
      </w:rPr>
    </w:pPr>
    <w:r>
      <w:rPr>
        <w:lang w:val="pt-BR"/>
      </w:rPr>
      <w:drawing>
        <wp:inline distT="0" distB="0" distL="0" distR="0">
          <wp:extent cx="1892300" cy="10287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7" t="-13" r="-7" b="-13"/>
                  <a:stretch>
                    <a:fillRect/>
                  </a:stretch>
                </pic:blipFill>
                <pic:spPr bwMode="auto">
                  <a:xfrm>
                    <a:off x="0" y="0"/>
                    <a:ext cx="1892300" cy="102870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abstractNum>
  <w:abstractNum w:abstractNumId="3">
    <w:lvl w:ilvl="0">
      <w:start w:val="1"/>
      <w:numFmt w:val="lowerLetter"/>
      <w:lvlText w:val="%1)"/>
      <w:lvlJc w:val="start"/>
      <w:pPr>
        <w:tabs>
          <w:tab w:val="num" w:pos="0"/>
        </w:tabs>
        <w:ind w:start="502" w:hanging="360"/>
      </w:pPr>
      <w:rPr>
        <w:b w:val="false"/>
        <w:bCs/>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lineRule="auto" w:line="240" w:before="480" w:after="0"/>
      <w:outlineLvl w:val="0"/>
    </w:pPr>
    <w:rPr>
      <w:rFonts w:ascii="Calibri Light" w:hAnsi="Calibri Light" w:eastAsia="Times New Roman" w:cs="Calibri Light"/>
      <w:b/>
      <w:bCs/>
      <w:color w:val="2E74B5"/>
      <w:sz w:val="28"/>
      <w:szCs w:val="28"/>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b w:val="false"/>
      <w:bCs/>
    </w:rPr>
  </w:style>
  <w:style w:type="character" w:styleId="WW8Num6z0">
    <w:name w:val="WW8Num6z0"/>
    <w:qFormat/>
    <w:rPr/>
  </w:style>
  <w:style w:type="character" w:styleId="WW8Num7z0">
    <w:name w:val="WW8Num7z0"/>
    <w:qFormat/>
    <w:rPr>
      <w:b/>
    </w:rPr>
  </w:style>
  <w:style w:type="character" w:styleId="WW8Num7z1">
    <w:name w:val="WW8Num7z1"/>
    <w:qFormat/>
    <w:rPr/>
  </w:style>
  <w:style w:type="character" w:styleId="WW8Num8z0">
    <w:name w:val="WW8Num8z0"/>
    <w:qFormat/>
    <w:rPr>
      <w:rFonts w:ascii="Wingdings" w:hAnsi="Wingdings" w:cs="Wingdings"/>
    </w:rPr>
  </w:style>
  <w:style w:type="character" w:styleId="WW8Num8z1">
    <w:name w:val="WW8Num8z1"/>
    <w:qFormat/>
    <w:rPr>
      <w:rFonts w:ascii="Courier New" w:hAnsi="Courier New" w:cs="Courier New"/>
    </w:rPr>
  </w:style>
  <w:style w:type="character" w:styleId="WW8Num8z3">
    <w:name w:val="WW8Num8z3"/>
    <w:qFormat/>
    <w:rPr>
      <w:rFonts w:ascii="Symbol" w:hAnsi="Symbol" w:cs="Symbol"/>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Fontepargpadro">
    <w:name w:val="Fonte parág. padrão"/>
    <w:qFormat/>
    <w:rPr/>
  </w:style>
  <w:style w:type="character" w:styleId="Ttulo1Char">
    <w:name w:val="Título 1 Char"/>
    <w:qFormat/>
    <w:rPr>
      <w:rFonts w:ascii="Calibri Light" w:hAnsi="Calibri Light" w:eastAsia="Times New Roman" w:cs="Calibri Light"/>
      <w:b/>
      <w:bCs/>
      <w:color w:val="2E74B5"/>
      <w:sz w:val="28"/>
      <w:szCs w:val="28"/>
    </w:rPr>
  </w:style>
  <w:style w:type="character" w:styleId="Ttulo2Char">
    <w:name w:val="Título 2 Char"/>
    <w:qFormat/>
    <w:rPr>
      <w:rFonts w:ascii="Times New Roman" w:hAnsi="Times New Roman" w:eastAsia="Times New Roman" w:cs="Times New Roman"/>
      <w:b/>
      <w:bCs/>
      <w:sz w:val="36"/>
      <w:szCs w:val="36"/>
    </w:rPr>
  </w:style>
  <w:style w:type="character" w:styleId="CabealhoChar">
    <w:name w:val="Cabeçalho Char"/>
    <w:basedOn w:val="Fontepargpadro"/>
    <w:qFormat/>
    <w:rPr/>
  </w:style>
  <w:style w:type="character" w:styleId="RodapChar">
    <w:name w:val="Rodapé Char"/>
    <w:basedOn w:val="Fontepargpadro"/>
    <w:qFormat/>
    <w:rPr/>
  </w:style>
  <w:style w:type="character" w:styleId="TextodebaloChar">
    <w:name w:val="Texto de balão Char"/>
    <w:qFormat/>
    <w:rPr>
      <w:rFonts w:ascii="Tahoma" w:hAnsi="Tahoma" w:cs="Tahoma"/>
      <w:sz w:val="16"/>
      <w:szCs w:val="16"/>
    </w:rPr>
  </w:style>
  <w:style w:type="character" w:styleId="Corpodetexto3Char">
    <w:name w:val="Corpo de texto 3 Char"/>
    <w:qFormat/>
    <w:rPr>
      <w:rFonts w:ascii="Antique Olive" w:hAnsi="Antique Olive" w:eastAsia="Times New Roman" w:cs="Antique Olive"/>
      <w:b/>
      <w:sz w:val="22"/>
    </w:rPr>
  </w:style>
  <w:style w:type="character" w:styleId="RecuodecorpodetextoChar">
    <w:name w:val="Recuo de corpo de texto Char"/>
    <w:qFormat/>
    <w:rPr>
      <w:sz w:val="22"/>
      <w:szCs w:val="22"/>
      <w:lang w:val="en-US"/>
    </w:rPr>
  </w:style>
  <w:style w:type="character" w:styleId="CorpodetextoChar">
    <w:name w:val="Corpo de texto Char"/>
    <w:qFormat/>
    <w:rPr>
      <w:sz w:val="22"/>
      <w:szCs w:val="22"/>
      <w:lang w:val="en-US"/>
    </w:rPr>
  </w:style>
  <w:style w:type="character" w:styleId="Recuodecorpodetexto2Char">
    <w:name w:val="Recuo de corpo de texto 2 Char"/>
    <w:qFormat/>
    <w:rPr>
      <w:rFonts w:ascii="Times New Roman" w:hAnsi="Times New Roman" w:eastAsia="Times New Roman" w:cs="Times New Roman"/>
    </w:rPr>
  </w:style>
  <w:style w:type="character" w:styleId="Recuodecorpodetexto3Char">
    <w:name w:val="Recuo de corpo de texto 3 Char"/>
    <w:qFormat/>
    <w:rPr>
      <w:rFonts w:ascii="Times New Roman" w:hAnsi="Times New Roman" w:eastAsia="Times New Roman" w:cs="Times New Roman"/>
      <w:sz w:val="16"/>
      <w:szCs w:val="16"/>
    </w:rPr>
  </w:style>
  <w:style w:type="character" w:styleId="Corpodetexto2Char">
    <w:name w:val="Corpo de texto 2 Char"/>
    <w:qFormat/>
    <w:rPr>
      <w:rFonts w:ascii="Times New Roman" w:hAnsi="Times New Roman" w:eastAsia="Times New Roman" w:cs="Times New Roman"/>
    </w:rPr>
  </w:style>
  <w:style w:type="character" w:styleId="TextodenotaderodapChar">
    <w:name w:val="Texto de nota de rodapé Char"/>
    <w:qFormat/>
    <w:rPr>
      <w:rFonts w:ascii="Times New Roman" w:hAnsi="Times New Roman" w:eastAsia="Times New Roman" w:cs="Times New Roman"/>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grame">
    <w:name w:val="grame"/>
    <w:qFormat/>
    <w:rPr/>
  </w:style>
  <w:style w:type="character" w:styleId="Strong">
    <w:name w:val="Strong"/>
    <w:qFormat/>
    <w:rPr>
      <w:b/>
      <w:bCs/>
    </w:rPr>
  </w:style>
  <w:style w:type="character" w:styleId="Emphasis">
    <w:name w:val="Emphasis"/>
    <w:qFormat/>
    <w:rPr>
      <w:i/>
      <w:iCs/>
    </w:rPr>
  </w:style>
  <w:style w:type="character" w:styleId="apple-converted-space">
    <w:name w:val="apple-converted-space"/>
    <w:basedOn w:val="Fontepargpadro"/>
    <w:qFormat/>
    <w:rPr/>
  </w:style>
  <w:style w:type="character" w:styleId="adtext">
    <w:name w:val="adtext"/>
    <w:basedOn w:val="Fontepargpadro"/>
    <w:qFormat/>
    <w:rPr/>
  </w:style>
  <w:style w:type="character" w:styleId="titulopaginas">
    <w:name w:val="titulo_paginas"/>
    <w:basedOn w:val="Fontepargpadro"/>
    <w:qFormat/>
    <w:rPr/>
  </w:style>
  <w:style w:type="character" w:styleId="cite">
    <w:name w:val="cite"/>
    <w:basedOn w:val="Fontepargpadro"/>
    <w:qFormat/>
    <w:rPr/>
  </w:style>
  <w:style w:type="character" w:styleId="MenoPendente">
    <w:name w:val="Menção Pendente"/>
    <w:qFormat/>
    <w:rPr>
      <w:color w:val="605E5C"/>
      <w:shd w:fill="E1DFDD" w:val="clear"/>
    </w:rPr>
  </w:style>
  <w:style w:type="character" w:styleId="PargrafodaListaChar">
    <w:name w:val="Parágrafo da Lista Char"/>
    <w:qFormat/>
    <w:rPr>
      <w:sz w:val="22"/>
      <w:szCs w:val="22"/>
    </w:rPr>
  </w:style>
  <w:style w:type="character" w:styleId="Link">
    <w:name w:val="Link"/>
    <w:qFormat/>
    <w:rPr>
      <w:color w:val="0563C1"/>
      <w:u w:val="single" w:color="0563C1"/>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pacing w:lineRule="auto" w:line="240"/>
    </w:pPr>
    <w:rPr/>
  </w:style>
  <w:style w:type="paragraph" w:styleId="Footer">
    <w:name w:val="Footer"/>
    <w:basedOn w:val="Normal"/>
    <w:pPr>
      <w:spacing w:lineRule="auto" w:line="240"/>
    </w:pPr>
    <w:rPr/>
  </w:style>
  <w:style w:type="paragraph" w:styleId="Textodebalo">
    <w:name w:val="Texto de balão"/>
    <w:basedOn w:val="Normal"/>
    <w:qFormat/>
    <w:pPr>
      <w:spacing w:lineRule="auto" w:line="240"/>
    </w:pPr>
    <w:rPr>
      <w:rFonts w:ascii="Tahoma" w:hAnsi="Tahoma" w:cs="Tahoma"/>
      <w:sz w:val="16"/>
      <w:szCs w:val="16"/>
    </w:rPr>
  </w:style>
  <w:style w:type="paragraph" w:styleId="PARAGRAFO">
    <w:name w:val="PARAGRAFO"/>
    <w:qFormat/>
    <w:pPr>
      <w:widowControl w:val="false"/>
      <w:overflowPunct w:val="false"/>
      <w:autoSpaceDE w:val="false"/>
      <w:bidi w:val="0"/>
      <w:ind w:firstLine="3600" w:start="0" w:end="288"/>
      <w:jc w:val="both"/>
    </w:pPr>
    <w:rPr>
      <w:rFonts w:ascii="Arial" w:hAnsi="Arial" w:eastAsia="Times New Roman" w:cs="Arial"/>
      <w:color w:val="000000"/>
      <w:sz w:val="24"/>
      <w:szCs w:val="20"/>
      <w:lang w:val="pt-BR" w:bidi="ar-SA" w:eastAsia="zh-CN"/>
    </w:rPr>
  </w:style>
  <w:style w:type="paragraph" w:styleId="FREE">
    <w:name w:val="FREE"/>
    <w:qFormat/>
    <w:pPr>
      <w:widowControl w:val="false"/>
      <w:bidi w:val="0"/>
      <w:jc w:val="both"/>
    </w:pPr>
    <w:rPr>
      <w:rFonts w:ascii="Arial" w:hAnsi="Arial" w:eastAsia="Times New Roman" w:cs="Arial"/>
      <w:color w:val="000000"/>
      <w:sz w:val="24"/>
      <w:szCs w:val="20"/>
      <w:lang w:val="pt-BR" w:bidi="ar-SA" w:eastAsia="zh-CN"/>
    </w:rPr>
  </w:style>
  <w:style w:type="paragraph" w:styleId="Corpodetexto3">
    <w:name w:val="Corpo de texto 3"/>
    <w:basedOn w:val="Normal"/>
    <w:qFormat/>
    <w:pPr>
      <w:spacing w:lineRule="auto" w:line="360"/>
      <w:jc w:val="both"/>
    </w:pPr>
    <w:rPr>
      <w:rFonts w:ascii="Antique Olive" w:hAnsi="Antique Olive" w:eastAsia="Times New Roman" w:cs="Antique Olive"/>
      <w:b/>
      <w:szCs w:val="20"/>
    </w:rPr>
  </w:style>
  <w:style w:type="paragraph" w:styleId="BodyTextIndent">
    <w:name w:val="Body Text Indent"/>
    <w:basedOn w:val="Normal"/>
    <w:pPr>
      <w:spacing w:before="0" w:after="120"/>
      <w:ind w:hanging="0" w:start="283" w:end="0"/>
    </w:pPr>
    <w:rPr/>
  </w:style>
  <w:style w:type="paragraph" w:styleId="Corpodetexto21">
    <w:name w:val="Corpo de texto 21"/>
    <w:basedOn w:val="Normal"/>
    <w:qFormat/>
    <w:pPr>
      <w:suppressAutoHyphens w:val="true"/>
      <w:spacing w:lineRule="auto" w:line="240"/>
      <w:ind w:firstLine="1418" w:start="0" w:end="0"/>
      <w:jc w:val="both"/>
    </w:pPr>
    <w:rPr>
      <w:rFonts w:ascii="Times New Roman" w:hAnsi="Times New Roman" w:eastAsia="Times New Roman" w:cs="Times New Roman"/>
      <w:sz w:val="28"/>
      <w:szCs w:val="20"/>
      <w:lang w:val="pt-BR"/>
    </w:rPr>
  </w:style>
  <w:style w:type="paragraph" w:styleId="PADRAO">
    <w:name w:val="PADRAO"/>
    <w:qFormat/>
    <w:pPr>
      <w:widowControl w:val="false"/>
      <w:bidi w:val="0"/>
      <w:jc w:val="both"/>
    </w:pPr>
    <w:rPr>
      <w:rFonts w:ascii="Arial" w:hAnsi="Arial" w:eastAsia="Times New Roman" w:cs="Arial"/>
      <w:color w:val="000000"/>
      <w:sz w:val="24"/>
      <w:szCs w:val="20"/>
      <w:lang w:val="pt-BR" w:bidi="ar-SA" w:eastAsia="zh-CN"/>
    </w:rPr>
  </w:style>
  <w:style w:type="paragraph" w:styleId="Recuodecorpodetexto2">
    <w:name w:val="Recuo de corpo de texto 2"/>
    <w:basedOn w:val="Normal"/>
    <w:qFormat/>
    <w:pPr>
      <w:spacing w:lineRule="auto" w:line="480" w:before="0" w:after="120"/>
      <w:ind w:hanging="0" w:start="283" w:end="0"/>
    </w:pPr>
    <w:rPr>
      <w:rFonts w:ascii="Times New Roman" w:hAnsi="Times New Roman" w:eastAsia="Times New Roman" w:cs="Times New Roman"/>
      <w:sz w:val="20"/>
      <w:szCs w:val="20"/>
    </w:rPr>
  </w:style>
  <w:style w:type="paragraph" w:styleId="Recuodecorpodetexto3">
    <w:name w:val="Recuo de corpo de texto 3"/>
    <w:basedOn w:val="Normal"/>
    <w:qFormat/>
    <w:pPr>
      <w:spacing w:lineRule="auto" w:line="240" w:before="0" w:after="120"/>
      <w:ind w:hanging="0" w:start="283" w:end="0"/>
    </w:pPr>
    <w:rPr>
      <w:rFonts w:ascii="Times New Roman" w:hAnsi="Times New Roman" w:eastAsia="Times New Roman" w:cs="Times New Roman"/>
      <w:sz w:val="16"/>
      <w:szCs w:val="16"/>
    </w:rPr>
  </w:style>
  <w:style w:type="paragraph" w:styleId="Corpodetexto2">
    <w:name w:val="Corpo de texto 2"/>
    <w:basedOn w:val="Normal"/>
    <w:qFormat/>
    <w:pPr>
      <w:spacing w:lineRule="auto" w:line="480" w:before="0" w:after="120"/>
    </w:pPr>
    <w:rPr>
      <w:rFonts w:ascii="Times New Roman" w:hAnsi="Times New Roman" w:eastAsia="Times New Roman" w:cs="Times New Roman"/>
      <w:sz w:val="20"/>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val="pt-BR"/>
    </w:rPr>
  </w:style>
  <w:style w:type="paragraph" w:styleId="FootnoteText">
    <w:name w:val="Footnote Text"/>
    <w:basedOn w:val="Normal"/>
    <w:pPr>
      <w:spacing w:lineRule="auto" w:line="240"/>
    </w:pPr>
    <w:rPr>
      <w:rFonts w:ascii="Times New Roman" w:hAnsi="Times New Roman" w:eastAsia="Times New Roman" w:cs="Times New Roman"/>
      <w:sz w:val="20"/>
      <w:szCs w:val="20"/>
    </w:rPr>
  </w:style>
  <w:style w:type="paragraph" w:styleId="Recuodecorpodetexto22">
    <w:name w:val="Recuo de corpo de texto 22"/>
    <w:basedOn w:val="Normal"/>
    <w:qFormat/>
    <w:pPr>
      <w:suppressAutoHyphens w:val="true"/>
      <w:spacing w:lineRule="auto" w:line="480" w:before="0" w:after="120"/>
      <w:ind w:hanging="0" w:start="283" w:end="0"/>
    </w:pPr>
    <w:rPr>
      <w:rFonts w:ascii="Times New Roman" w:hAnsi="Times New Roman" w:eastAsia="Times New Roman" w:cs="Times New Roman"/>
      <w:sz w:val="24"/>
      <w:szCs w:val="24"/>
      <w:lang w:val="pt-BR"/>
    </w:rPr>
  </w:style>
  <w:style w:type="paragraph" w:styleId="corpo">
    <w:name w:val="corp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daLista">
    <w:name w:val="Parágrafo da Lista"/>
    <w:basedOn w:val="Normal"/>
    <w:qFormat/>
    <w:pPr>
      <w:spacing w:lineRule="auto" w:line="256" w:before="0" w:after="160"/>
      <w:ind w:hanging="0" w:start="720" w:end="0"/>
      <w:contextualSpacing/>
    </w:pPr>
    <w:rPr>
      <w:lang w:val="pt-BR"/>
    </w:rPr>
  </w:style>
  <w:style w:type="paragraph" w:styleId="spip">
    <w:name w:val="spip"/>
    <w:basedOn w:val="Normal"/>
    <w:qFormat/>
    <w:pPr>
      <w:spacing w:lineRule="auto" w:line="240" w:before="280" w:after="280"/>
    </w:pPr>
    <w:rPr>
      <w:rFonts w:ascii="Times New Roman" w:hAnsi="Times New Roman" w:eastAsia="Times New Roman" w:cs="Times New Roman"/>
      <w:sz w:val="24"/>
      <w:szCs w:val="24"/>
      <w:lang w:val="pt-BR"/>
    </w:rPr>
  </w:style>
  <w:style w:type="paragraph" w:styleId="temapn">
    <w:name w:val="temapn"/>
    <w:basedOn w:val="Normal"/>
    <w:qFormat/>
    <w:pPr>
      <w:spacing w:lineRule="auto" w:line="240" w:before="280" w:after="280"/>
    </w:pPr>
    <w:rPr>
      <w:rFonts w:ascii="Times New Roman" w:hAnsi="Times New Roman" w:eastAsia="Times New Roman" w:cs="Times New Roman"/>
      <w:sz w:val="24"/>
      <w:szCs w:val="24"/>
      <w:lang w:val="pt-BR"/>
    </w:rPr>
  </w:style>
  <w:style w:type="paragraph" w:styleId="textoenun">
    <w:name w:val="textoenun"/>
    <w:basedOn w:val="Normal"/>
    <w:qFormat/>
    <w:pPr>
      <w:spacing w:lineRule="auto" w:line="240" w:before="280" w:after="280"/>
    </w:pPr>
    <w:rPr>
      <w:rFonts w:ascii="Times New Roman" w:hAnsi="Times New Roman" w:eastAsia="Times New Roman" w:cs="Times New Roman"/>
      <w:sz w:val="24"/>
      <w:szCs w:val="24"/>
      <w:lang w:val="pt-BR"/>
    </w:rPr>
  </w:style>
  <w:style w:type="paragraph" w:styleId="Style12">
    <w:name w:val="Style 1"/>
    <w:qFormat/>
    <w:pPr>
      <w:widowControl w:val="false"/>
      <w:autoSpaceDE w:val="false"/>
      <w:bidi w:val="0"/>
    </w:pPr>
    <w:rPr>
      <w:rFonts w:ascii="Times New Roman" w:hAnsi="Times New Roman" w:eastAsia="Times New Roman" w:cs="Times New Roman"/>
      <w:color w:val="auto"/>
      <w:sz w:val="20"/>
      <w:szCs w:val="20"/>
      <w:lang w:val="pt-BR" w:bidi="ar-SA" w:eastAsia="zh-CN"/>
    </w:rPr>
  </w:style>
  <w:style w:type="paragraph" w:styleId="p2">
    <w:name w:val="p2"/>
    <w:basedOn w:val="Normal"/>
    <w:qFormat/>
    <w:pPr>
      <w:widowControl w:val="false"/>
      <w:autoSpaceDE w:val="false"/>
      <w:spacing w:lineRule="atLeast" w:line="272"/>
    </w:pPr>
    <w:rPr>
      <w:rFonts w:ascii="Times New Roman" w:hAnsi="Times New Roman" w:eastAsia="Times New Roman" w:cs="Times New Roman"/>
      <w:sz w:val="24"/>
      <w:szCs w:val="24"/>
    </w:rPr>
  </w:style>
  <w:style w:type="paragraph" w:styleId="Pa3">
    <w:name w:val="Pa3"/>
    <w:basedOn w:val="Normal"/>
    <w:next w:val="Normal"/>
    <w:qFormat/>
    <w:pPr>
      <w:autoSpaceDE w:val="false"/>
      <w:spacing w:lineRule="atLeast" w:line="241"/>
    </w:pPr>
    <w:rPr>
      <w:rFonts w:ascii="Helvetica" w:hAnsi="Helvetica" w:eastAsia="Times New Roman" w:cs="Helvetica"/>
      <w:sz w:val="20"/>
      <w:szCs w:val="24"/>
      <w:lang w:val="pt-BR"/>
    </w:rPr>
  </w:style>
  <w:style w:type="paragraph" w:styleId="Padro">
    <w:name w:val="Padrão"/>
    <w:qFormat/>
    <w:pPr>
      <w:widowControl w:val="false"/>
      <w:tabs>
        <w:tab w:val="clear" w:pos="720"/>
        <w:tab w:val="left" w:pos="708" w:leader="none"/>
      </w:tabs>
      <w:suppressAutoHyphens w:val="true"/>
      <w:bidi w:val="0"/>
      <w:spacing w:lineRule="auto" w:line="276" w:before="0" w:after="200"/>
    </w:pPr>
    <w:rPr>
      <w:rFonts w:ascii="Times New Roman" w:hAnsi="Times New Roman" w:eastAsia="Lucida Sans Unicode" w:cs="Tahoma"/>
      <w:color w:val="00000A"/>
      <w:sz w:val="24"/>
      <w:szCs w:val="24"/>
      <w:lang w:val="pt-BR" w:eastAsia="zh-CN" w:bidi="hi-IN"/>
    </w:rPr>
  </w:style>
  <w:style w:type="paragraph" w:styleId="cab">
    <w:name w:val="cab"/>
    <w:basedOn w:val="Normal"/>
    <w:qFormat/>
    <w:pPr>
      <w:spacing w:lineRule="auto" w:line="240" w:before="280" w:after="280"/>
    </w:pPr>
    <w:rPr>
      <w:rFonts w:ascii="Times New Roman" w:hAnsi="Times New Roman" w:eastAsia="Times New Roman" w:cs="Times New Roman"/>
      <w:sz w:val="24"/>
      <w:szCs w:val="24"/>
      <w:lang w:val="pt-BR"/>
    </w:rPr>
  </w:style>
  <w:style w:type="paragraph" w:styleId="par">
    <w:name w:val="par"/>
    <w:basedOn w:val="Normal"/>
    <w:qFormat/>
    <w:pPr>
      <w:spacing w:lineRule="auto" w:line="240" w:before="280" w:after="280"/>
    </w:pPr>
    <w:rPr>
      <w:rFonts w:ascii="Times New Roman" w:hAnsi="Times New Roman" w:eastAsia="Times New Roman" w:cs="Times New Roman"/>
      <w:sz w:val="24"/>
      <w:szCs w:val="24"/>
      <w:lang w:val="pt-BR"/>
    </w:rPr>
  </w:style>
  <w:style w:type="paragraph" w:styleId="Default">
    <w:name w:val="Default"/>
    <w:qFormat/>
    <w:pPr>
      <w:widowControl/>
      <w:autoSpaceDE w:val="false"/>
      <w:bidi w:val="0"/>
    </w:pPr>
    <w:rPr>
      <w:rFonts w:ascii="Calibri" w:hAnsi="Calibri" w:eastAsia="Calibri" w:cs="Calibri"/>
      <w:color w:val="000000"/>
      <w:sz w:val="24"/>
      <w:szCs w:val="24"/>
      <w:lang w:val="pt-BR" w:bidi="ar-SA" w:eastAsia="zh-CN"/>
    </w:rPr>
  </w:style>
  <w:style w:type="paragraph" w:styleId="TextBody">
    <w:name w:val="Text Body"/>
    <w:basedOn w:val="Normal"/>
    <w:qFormat/>
    <w:pPr>
      <w:widowControl w:val="false"/>
      <w:suppressAutoHyphens w:val="true"/>
      <w:spacing w:lineRule="auto" w:line="360" w:before="397" w:after="397"/>
      <w:jc w:val="both"/>
    </w:pPr>
    <w:rPr>
      <w:rFonts w:ascii="Times New Roman" w:hAnsi="Times New Roman" w:eastAsia="Times New Roman" w:cs="Times New Roman"/>
      <w:sz w:val="24"/>
      <w:szCs w:val="24"/>
      <w:lang w:val="pt-BR" w:eastAsia="zh-CN" w:bidi="hi-IN"/>
    </w:rPr>
  </w:style>
  <w:style w:type="paragraph" w:styleId="artigo">
    <w:name w:val="artig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
    <w:name w:val="Parágrafo"/>
    <w:basedOn w:val="Normal"/>
    <w:qFormat/>
    <w:pPr>
      <w:widowControl w:val="false"/>
      <w:spacing w:lineRule="auto" w:line="240"/>
      <w:ind w:firstLine="3515" w:start="0" w:end="0"/>
      <w:jc w:val="both"/>
    </w:pPr>
    <w:rPr>
      <w:rFonts w:ascii="Bookman Old Style" w:hAnsi="Bookman Old Style" w:eastAsia="Times New Roman" w:cs="Bookman Old Style"/>
      <w:sz w:val="24"/>
      <w:szCs w:val="20"/>
      <w:lang w:val="pt-BR"/>
    </w:rPr>
  </w:style>
  <w:style w:type="paragraph" w:styleId="BlockQuote">
    <w:name w:val="Block Quote"/>
    <w:basedOn w:val="Normal"/>
    <w:next w:val="Normal"/>
    <w:qFormat/>
    <w:pPr>
      <w:spacing w:lineRule="auto" w:line="240" w:before="100" w:after="100"/>
    </w:pPr>
    <w:rPr>
      <w:rFonts w:eastAsia="Times New Roman"/>
      <w:bCs/>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uridico@bentesramos.adv.br" TargetMode="External"/><Relationship Id="rId3" Type="http://schemas.openxmlformats.org/officeDocument/2006/relationships/hyperlink" Target="mailto:juridico@bentesramos.adv.br" TargetMode="Externa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2026-01-17T02:39:00Z</dcterms:created>
  <dc:creator>arte-02</dc:creator>
  <dc:description/>
  <cp:keywords/>
  <dc:language>en-US</dc:language>
  <cp:lastModifiedBy>Andrey Ramos</cp:lastModifiedBy>
  <cp:lastPrinted>2026-01-06T22:33:00Z</cp:lastPrinted>
  <dcterms:modified xsi:type="dcterms:W3CDTF">2026-01-17T02:39:00Z</dcterms:modified>
  <cp:revision>2</cp:revision>
  <dc:subject/>
  <dc:title/>
</cp:coreProperties>
</file>