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8FDC" w14:textId="77777777" w:rsidR="00186119" w:rsidRDefault="00186119" w:rsidP="00186119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186119">
        <w:rPr>
          <w:rFonts w:ascii="Times New Roman" w:hAnsi="Times New Roman" w:cs="Times New Roman"/>
          <w:b/>
          <w:bCs/>
          <w:color w:val="EE0000"/>
          <w:sz w:val="40"/>
          <w:szCs w:val="40"/>
        </w:rPr>
        <w:t>TASK 5: Individual Case Safety Report (ICSR)</w:t>
      </w:r>
    </w:p>
    <w:p w14:paraId="68B1D058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1B09C510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60D9BDFE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Prepare a complete Individual Case Safety Report according to pharmacovigilance guidelines.</w:t>
      </w:r>
    </w:p>
    <w:p w14:paraId="1C5AA88B" w14:textId="080A949A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5D00AC38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Patient Details</w:t>
      </w:r>
    </w:p>
    <w:p w14:paraId="7DDBC45F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Age:</w:t>
      </w:r>
    </w:p>
    <w:p w14:paraId="73095D28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45 years</w:t>
      </w:r>
    </w:p>
    <w:p w14:paraId="4947B00E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Gender:</w:t>
      </w:r>
    </w:p>
    <w:p w14:paraId="5E39F1E9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Female</w:t>
      </w:r>
    </w:p>
    <w:p w14:paraId="700255E7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Medical History:</w:t>
      </w:r>
    </w:p>
    <w:p w14:paraId="24A66C17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No significant illness</w:t>
      </w:r>
    </w:p>
    <w:p w14:paraId="1F8D7ADC" w14:textId="18F37B8A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11AF0EDC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Suspected Drug</w:t>
      </w:r>
    </w:p>
    <w:p w14:paraId="03D9C599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Amoxicillin</w:t>
      </w:r>
    </w:p>
    <w:p w14:paraId="547E307C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Dose:</w:t>
      </w:r>
    </w:p>
    <w:p w14:paraId="0816DDD7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500 mg TID</w:t>
      </w:r>
    </w:p>
    <w:p w14:paraId="70493DF2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Route:</w:t>
      </w:r>
    </w:p>
    <w:p w14:paraId="44DA59A3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Oral</w:t>
      </w:r>
    </w:p>
    <w:p w14:paraId="07AD8B46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Indication:</w:t>
      </w:r>
    </w:p>
    <w:p w14:paraId="27C4B3BB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Upper respiratory tract infection</w:t>
      </w:r>
    </w:p>
    <w:p w14:paraId="402FC25C" w14:textId="08929E75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03400A75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Concomitant Medication</w:t>
      </w:r>
    </w:p>
    <w:p w14:paraId="4ADDE579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Paracetamol</w:t>
      </w:r>
    </w:p>
    <w:p w14:paraId="3DB92AED" w14:textId="7BD5A3D9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03B09A05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Adverse Event</w:t>
      </w:r>
    </w:p>
    <w:p w14:paraId="29117614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Generalized skin rash</w:t>
      </w:r>
    </w:p>
    <w:p w14:paraId="1DEBA2F4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Pruritus</w:t>
      </w:r>
    </w:p>
    <w:p w14:paraId="73D71B44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Nausea</w:t>
      </w:r>
    </w:p>
    <w:p w14:paraId="1E3DFB7D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Dizziness</w:t>
      </w:r>
    </w:p>
    <w:p w14:paraId="4AE5A095" w14:textId="4DFBC89F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664E5A7B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Timeline</w:t>
      </w:r>
    </w:p>
    <w:p w14:paraId="66F1FF2B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Day 0</w:t>
      </w:r>
    </w:p>
    <w:p w14:paraId="6CD6F055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Started Amoxicillin</w:t>
      </w:r>
    </w:p>
    <w:p w14:paraId="0CCED34F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↓</w:t>
      </w:r>
    </w:p>
    <w:p w14:paraId="758D3CDC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Day 3</w:t>
      </w:r>
    </w:p>
    <w:p w14:paraId="4664C8D8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Developed rash and itching</w:t>
      </w:r>
    </w:p>
    <w:p w14:paraId="2379E94D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↓</w:t>
      </w:r>
    </w:p>
    <w:p w14:paraId="16F7F8DB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Drug discontinued</w:t>
      </w:r>
    </w:p>
    <w:p w14:paraId="4212A0C8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↓</w:t>
      </w:r>
    </w:p>
    <w:p w14:paraId="5FAEED79" w14:textId="77777777" w:rsidR="00186119" w:rsidRPr="00186119" w:rsidRDefault="00186119" w:rsidP="00186119">
      <w:pPr>
        <w:jc w:val="center"/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Symptoms improved within 48–72 hours</w:t>
      </w:r>
    </w:p>
    <w:p w14:paraId="54D92C79" w14:textId="4F4C614A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2A8BFEEA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Laboratory Findings</w:t>
      </w:r>
    </w:p>
    <w:p w14:paraId="57BF327E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No abnormal laboratory findings reported.</w:t>
      </w:r>
    </w:p>
    <w:p w14:paraId="5D0103A8" w14:textId="403D3271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0AF635DA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lastRenderedPageBreak/>
        <w:t>Management</w:t>
      </w:r>
    </w:p>
    <w:p w14:paraId="227C9C4D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Amoxicillin discontinued</w:t>
      </w:r>
    </w:p>
    <w:p w14:paraId="218500FA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Oral antihistamine administered</w:t>
      </w:r>
    </w:p>
    <w:p w14:paraId="068349D8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Patient monitored</w:t>
      </w:r>
    </w:p>
    <w:p w14:paraId="75B4A0D5" w14:textId="06C4FBBC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2D8B0284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Outcome</w:t>
      </w:r>
    </w:p>
    <w:p w14:paraId="48EC5499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Recovered completely</w:t>
      </w:r>
    </w:p>
    <w:p w14:paraId="2D7658D6" w14:textId="4DFA173D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303AC8C2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Causality</w:t>
      </w:r>
    </w:p>
    <w:p w14:paraId="5A348B19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WHO-UMC</w:t>
      </w:r>
    </w:p>
    <w:p w14:paraId="2CC92902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Probable</w:t>
      </w:r>
    </w:p>
    <w:p w14:paraId="3C36ECEC" w14:textId="0E5A64FE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222BE03E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Seriousness</w:t>
      </w:r>
    </w:p>
    <w:p w14:paraId="08468172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Non-serious</w:t>
      </w:r>
    </w:p>
    <w:p w14:paraId="13E09A81" w14:textId="3CE111FB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2A940129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Expectedness</w:t>
      </w:r>
    </w:p>
    <w:p w14:paraId="0AFD4183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Expected ADR</w:t>
      </w:r>
    </w:p>
    <w:p w14:paraId="30C6FA3C" w14:textId="217B9C62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</w:p>
    <w:p w14:paraId="5C7A99C0" w14:textId="77777777" w:rsidR="00186119" w:rsidRPr="00186119" w:rsidRDefault="00186119" w:rsidP="001861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Regulatory Significance</w:t>
      </w:r>
    </w:p>
    <w:p w14:paraId="66693F4D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 xml:space="preserve">This case qualifies as a </w:t>
      </w:r>
      <w:r w:rsidRPr="00186119">
        <w:rPr>
          <w:rFonts w:ascii="Times New Roman" w:hAnsi="Times New Roman" w:cs="Times New Roman"/>
          <w:b/>
          <w:bCs/>
          <w:sz w:val="36"/>
          <w:szCs w:val="36"/>
        </w:rPr>
        <w:t>valid Individual Case Safety Report (ICSR)</w:t>
      </w:r>
      <w:r w:rsidRPr="00186119">
        <w:rPr>
          <w:rFonts w:ascii="Times New Roman" w:hAnsi="Times New Roman" w:cs="Times New Roman"/>
          <w:sz w:val="36"/>
          <w:szCs w:val="36"/>
        </w:rPr>
        <w:t xml:space="preserve"> because it contains the four minimum reporting criteria:</w:t>
      </w:r>
    </w:p>
    <w:p w14:paraId="6EAE6408" w14:textId="77777777" w:rsidR="00186119" w:rsidRPr="00186119" w:rsidRDefault="00186119" w:rsidP="001861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Identifiable patient</w:t>
      </w:r>
      <w:r w:rsidRPr="0018611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34078CC" w14:textId="77777777" w:rsidR="00186119" w:rsidRPr="00186119" w:rsidRDefault="00186119" w:rsidP="001861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lastRenderedPageBreak/>
        <w:t>Identifiable reporter</w:t>
      </w:r>
      <w:r w:rsidRPr="0018611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B67078B" w14:textId="77777777" w:rsidR="00186119" w:rsidRPr="00186119" w:rsidRDefault="00186119" w:rsidP="001861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Suspected medicinal product</w:t>
      </w:r>
      <w:r w:rsidRPr="0018611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A994CBE" w14:textId="77777777" w:rsidR="00186119" w:rsidRPr="00186119" w:rsidRDefault="00186119" w:rsidP="001861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b/>
          <w:bCs/>
          <w:sz w:val="36"/>
          <w:szCs w:val="36"/>
        </w:rPr>
        <w:t>Described adverse reaction</w:t>
      </w:r>
      <w:r w:rsidRPr="0018611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621E86A" w14:textId="77777777" w:rsidR="00186119" w:rsidRPr="00186119" w:rsidRDefault="00186119" w:rsidP="00186119">
      <w:pPr>
        <w:rPr>
          <w:rFonts w:ascii="Times New Roman" w:hAnsi="Times New Roman" w:cs="Times New Roman"/>
          <w:sz w:val="36"/>
          <w:szCs w:val="36"/>
        </w:rPr>
      </w:pPr>
      <w:r w:rsidRPr="00186119">
        <w:rPr>
          <w:rFonts w:ascii="Times New Roman" w:hAnsi="Times New Roman" w:cs="Times New Roman"/>
          <w:sz w:val="36"/>
          <w:szCs w:val="36"/>
        </w:rPr>
        <w:t>The report should be entered into the pharmacovigilance database and assessed for signal detection and ongoing drug safety monitoring.</w:t>
      </w:r>
    </w:p>
    <w:p w14:paraId="1B4E36B8" w14:textId="77777777" w:rsidR="0036382B" w:rsidRPr="00186119" w:rsidRDefault="0036382B" w:rsidP="00186119">
      <w:pPr>
        <w:rPr>
          <w:rFonts w:ascii="Times New Roman" w:hAnsi="Times New Roman" w:cs="Times New Roman"/>
          <w:sz w:val="36"/>
          <w:szCs w:val="36"/>
        </w:rPr>
      </w:pPr>
    </w:p>
    <w:sectPr w:rsidR="0036382B" w:rsidRPr="00186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18"/>
    <w:multiLevelType w:val="multilevel"/>
    <w:tmpl w:val="1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F7B"/>
    <w:multiLevelType w:val="multilevel"/>
    <w:tmpl w:val="345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47A"/>
    <w:multiLevelType w:val="multilevel"/>
    <w:tmpl w:val="DD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D0EFE"/>
    <w:multiLevelType w:val="multilevel"/>
    <w:tmpl w:val="CEC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B4FF5"/>
    <w:multiLevelType w:val="multilevel"/>
    <w:tmpl w:val="635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C5882"/>
    <w:multiLevelType w:val="multilevel"/>
    <w:tmpl w:val="640A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82AC3"/>
    <w:multiLevelType w:val="multilevel"/>
    <w:tmpl w:val="5D0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E612C"/>
    <w:multiLevelType w:val="multilevel"/>
    <w:tmpl w:val="425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7730"/>
    <w:multiLevelType w:val="multilevel"/>
    <w:tmpl w:val="5AE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939EF"/>
    <w:multiLevelType w:val="multilevel"/>
    <w:tmpl w:val="861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0046E"/>
    <w:multiLevelType w:val="multilevel"/>
    <w:tmpl w:val="315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52EA9"/>
    <w:multiLevelType w:val="multilevel"/>
    <w:tmpl w:val="744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91494"/>
    <w:multiLevelType w:val="multilevel"/>
    <w:tmpl w:val="41E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5243E"/>
    <w:multiLevelType w:val="multilevel"/>
    <w:tmpl w:val="406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E47E1"/>
    <w:multiLevelType w:val="multilevel"/>
    <w:tmpl w:val="727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E5626"/>
    <w:multiLevelType w:val="multilevel"/>
    <w:tmpl w:val="658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D5758"/>
    <w:multiLevelType w:val="multilevel"/>
    <w:tmpl w:val="205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54837"/>
    <w:multiLevelType w:val="multilevel"/>
    <w:tmpl w:val="376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97BBC"/>
    <w:multiLevelType w:val="multilevel"/>
    <w:tmpl w:val="690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550E1"/>
    <w:multiLevelType w:val="multilevel"/>
    <w:tmpl w:val="400E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4151">
    <w:abstractNumId w:val="14"/>
  </w:num>
  <w:num w:numId="2" w16cid:durableId="463810547">
    <w:abstractNumId w:val="2"/>
  </w:num>
  <w:num w:numId="3" w16cid:durableId="1560020850">
    <w:abstractNumId w:val="3"/>
  </w:num>
  <w:num w:numId="4" w16cid:durableId="499589060">
    <w:abstractNumId w:val="15"/>
  </w:num>
  <w:num w:numId="5" w16cid:durableId="770589782">
    <w:abstractNumId w:val="11"/>
  </w:num>
  <w:num w:numId="6" w16cid:durableId="560210675">
    <w:abstractNumId w:val="7"/>
  </w:num>
  <w:num w:numId="7" w16cid:durableId="965234219">
    <w:abstractNumId w:val="19"/>
  </w:num>
  <w:num w:numId="8" w16cid:durableId="2080205714">
    <w:abstractNumId w:val="18"/>
  </w:num>
  <w:num w:numId="9" w16cid:durableId="1958945525">
    <w:abstractNumId w:val="0"/>
  </w:num>
  <w:num w:numId="10" w16cid:durableId="298993399">
    <w:abstractNumId w:val="10"/>
  </w:num>
  <w:num w:numId="11" w16cid:durableId="1561087183">
    <w:abstractNumId w:val="17"/>
  </w:num>
  <w:num w:numId="12" w16cid:durableId="1020929868">
    <w:abstractNumId w:val="13"/>
  </w:num>
  <w:num w:numId="13" w16cid:durableId="691299374">
    <w:abstractNumId w:val="6"/>
  </w:num>
  <w:num w:numId="14" w16cid:durableId="1852448580">
    <w:abstractNumId w:val="1"/>
  </w:num>
  <w:num w:numId="15" w16cid:durableId="1775251842">
    <w:abstractNumId w:val="4"/>
  </w:num>
  <w:num w:numId="16" w16cid:durableId="228000142">
    <w:abstractNumId w:val="16"/>
  </w:num>
  <w:num w:numId="17" w16cid:durableId="603272187">
    <w:abstractNumId w:val="12"/>
  </w:num>
  <w:num w:numId="18" w16cid:durableId="764964572">
    <w:abstractNumId w:val="8"/>
  </w:num>
  <w:num w:numId="19" w16cid:durableId="841044788">
    <w:abstractNumId w:val="9"/>
  </w:num>
  <w:num w:numId="20" w16cid:durableId="1177116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F7"/>
    <w:rsid w:val="00186119"/>
    <w:rsid w:val="0024051B"/>
    <w:rsid w:val="0036382B"/>
    <w:rsid w:val="00421EB6"/>
    <w:rsid w:val="00486409"/>
    <w:rsid w:val="005318A5"/>
    <w:rsid w:val="005C1A1F"/>
    <w:rsid w:val="006D1AB1"/>
    <w:rsid w:val="00781B65"/>
    <w:rsid w:val="009E06BB"/>
    <w:rsid w:val="00B82E3E"/>
    <w:rsid w:val="00C35657"/>
    <w:rsid w:val="00E34BE1"/>
    <w:rsid w:val="00E9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1AFC"/>
  <w15:chartTrackingRefBased/>
  <w15:docId w15:val="{7A79FB9C-A918-498A-8755-23E64D1F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sai mani</cp:lastModifiedBy>
  <cp:revision>7</cp:revision>
  <dcterms:created xsi:type="dcterms:W3CDTF">2026-07-13T05:36:00Z</dcterms:created>
  <dcterms:modified xsi:type="dcterms:W3CDTF">2026-07-13T06:15:00Z</dcterms:modified>
</cp:coreProperties>
</file>