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ject-summary"/>
    <w:p>
      <w:pPr>
        <w:pStyle w:val="Heading1"/>
      </w:pPr>
      <w:r>
        <w:t xml:space="preserve">PROJECT SUMMARY</w:t>
      </w:r>
    </w:p>
    <w:p>
      <w:pPr>
        <w:pStyle w:val="FirstParagraph"/>
      </w:pPr>
      <w:r>
        <w:rPr>
          <w:b/>
          <w:bCs/>
        </w:rPr>
        <w:t xml:space="preserve">TalkToJesus — A Bilingual Voice-First AI Spiritual Companion</w:t>
      </w:r>
    </w:p>
    <w:p>
      <w:pPr>
        <w:pStyle w:val="BodyText"/>
      </w:pPr>
      <w:r>
        <w:t xml:space="preserve">Manish Rachakonda (2023EBCS668) · BSc Computer Science (Online Mode) · BITS Pilani</w:t>
      </w:r>
      <w:r>
        <w:t xml:space="preserve"> </w:t>
      </w:r>
      <w:r>
        <w:t xml:space="preserve">Supervisor: Swapnil Saurav · Academic Year 2025–2026</w:t>
      </w:r>
      <w:r>
        <w:t xml:space="preserve"> </w:t>
      </w:r>
      <w:r>
        <w:t xml:space="preserve">Repository: https://github.com/manish-gitx/rn-final-manish</w:t>
      </w:r>
    </w:p>
    <w:p>
      <w:pPr>
        <w:pStyle w:val="BodyText"/>
      </w:pPr>
      <w:r>
        <w:rPr>
          <w:i/>
          <w:iCs/>
        </w:rPr>
        <w:t xml:space="preserve">Prepared so that the viva examiner can understand the project before the session. The full argument, evidence and limitations are in the final project report.</w:t>
      </w:r>
    </w:p>
    <w:bookmarkStart w:id="34" w:name="the-problem"/>
    <w:p>
      <w:pPr>
        <w:pStyle w:val="Heading2"/>
      </w:pPr>
      <w:r>
        <w:t xml:space="preserve">1. The problem</w:t>
      </w:r>
    </w:p>
    <w:p>
      <w:pPr>
        <w:pStyle w:val="FirstParagraph"/>
      </w:pPr>
      <w:r>
        <w:t xml:space="preserve">Telugu-language Bible applications have been downloaded by millions of users. They are well made, and they all share one property: content flows one way. A believer can read a passage, follow a plan or play a recorded hymn, but cannot ask what any of it means for the decision in front of them tonight.</w:t>
      </w:r>
    </w:p>
    <w:p>
      <w:pPr>
        <w:pStyle w:val="BodyText"/>
      </w:pPr>
      <w:r>
        <w:t xml:space="preserve">Four gaps follow. Communication is one-way. Pastoral conversation requires another person to be available, scheduled and willing to be approached. Guidance is not aware of the asker’s situation. And general-purpose AI assistants, which can hold a conversation, are neither grounded in scripture nor idiomatic in Telugu — addressing a believer as నా బిడ్డ is not something a literal translation gets right.</w:t>
      </w:r>
    </w:p>
    <w:bookmarkEnd w:id="34"/>
    <w:bookmarkStart w:id="35" w:name="unique-value-proposition"/>
    <w:p>
      <w:pPr>
        <w:pStyle w:val="Heading2"/>
      </w:pPr>
      <w:r>
        <w:t xml:space="preserve">2. Unique Value Proposition</w:t>
      </w:r>
    </w:p>
    <w:p>
      <w:pPr>
        <w:pStyle w:val="BlockText"/>
      </w:pPr>
      <w:r>
        <w:rPr>
          <w:b/>
          <w:bCs/>
        </w:rPr>
        <w:t xml:space="preserve">Every existing option covers some of the four. None covers all four at once.</w:t>
      </w:r>
    </w:p>
    <w:p>
      <w:pPr>
        <w:pStyle w:val="BlockText"/>
      </w:pPr>
      <w:r>
        <w:rPr>
          <w:b/>
          <w:bCs/>
        </w:rPr>
        <w:t xml:space="preserve">TalkToJesus is conversational, scripture-grounded, regional-language and voice-first simultaneously — and it is the only one of them that can tell you, per turn, where its seconds go.</w:t>
      </w:r>
    </w:p>
    <w:p>
      <w:pPr>
        <w:pStyle w:val="FirstParagraph"/>
      </w:pPr>
      <w:r>
        <w:t xml:space="preserve">Set against the alternatives surveyed in Phase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</w:pPr>
            <w:r>
              <w:t xml:space="preserve">Scripture-grounded</w:t>
            </w:r>
          </w:p>
        </w:tc>
        <w:tc>
          <w:tcPr/>
          <w:p>
            <w:pPr>
              <w:pStyle w:val="Compact"/>
            </w:pPr>
            <w:r>
              <w:t xml:space="preserve">Telugu</w:t>
            </w:r>
          </w:p>
        </w:tc>
        <w:tc>
          <w:tcPr/>
          <w:p>
            <w:pPr>
              <w:pStyle w:val="Compact"/>
            </w:pPr>
            <w:r>
              <w:t xml:space="preserve">Voice-first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YouVersion Bible App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Telugu Bible applications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Pray.com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AI assistants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Glorify / Abide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TalkToJesus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The second half of the proposition is the engineering one and matters more for assessment than for a user. Every conversational turn records the duration of transcription, generation and speech synthesis separately, alongside the total. The system therefore measures itself. As Section 5 records, that instrumentation produced a result which contradicted the project’s own earlier documentation — which is the point of building it.</w:t>
      </w:r>
    </w:p>
    <w:bookmarkEnd w:id="35"/>
    <w:bookmarkStart w:id="36" w:name="the-solution"/>
    <w:p>
      <w:pPr>
        <w:pStyle w:val="Heading2"/>
      </w:pPr>
      <w:r>
        <w:t xml:space="preserve">3. The solution</w:t>
      </w:r>
    </w:p>
    <w:p>
      <w:pPr>
        <w:pStyle w:val="FirstParagraph"/>
      </w:pPr>
      <w:r>
        <w:t xml:space="preserve">A user opens the application, presses one control, speaks in English or Telugu, and hears a spoken reply written in the first person, addressed as</w:t>
      </w:r>
      <w:r>
        <w:t xml:space="preserve"> </w:t>
      </w:r>
      <w:r>
        <w:t xml:space="preserve">“My child”</w:t>
      </w:r>
      <w:r>
        <w:t xml:space="preserve"> </w:t>
      </w:r>
      <w:r>
        <w:t xml:space="preserve">or</w:t>
      </w:r>
      <w:r>
        <w:t xml:space="preserve"> </w:t>
      </w:r>
      <w:r>
        <w:t xml:space="preserve">“నా బిడ్డ”</w:t>
      </w:r>
      <w:r>
        <w:t xml:space="preserve">, citing scripture by book, chapter and verse, and closing with a short prayer.</w:t>
      </w:r>
    </w:p>
    <w:p>
      <w:pPr>
        <w:pStyle w:val="BodyText"/>
      </w:pPr>
      <w:r>
        <w:t xml:space="preserve">Around that: a bilingual Bible reader with six translations including two Telugu ones and an offline cache; twelve public-domain hymns bundled to play with no network; a private transcript of previous conversations; and a ₹499/month subscription that lifts a three-conversation free tier.</w:t>
      </w:r>
    </w:p>
    <w:bookmarkEnd w:id="36"/>
    <w:bookmarkStart w:id="37" w:name="architecture-in-brief"/>
    <w:p>
      <w:pPr>
        <w:pStyle w:val="Heading2"/>
      </w:pPr>
      <w:r>
        <w:t xml:space="preserve">4. Architecture in brief</w:t>
      </w:r>
    </w:p>
    <w:p>
      <w:pPr>
        <w:pStyle w:val="FirstParagraph"/>
      </w:pPr>
      <w:r>
        <w:t xml:space="preserve">Three tiers. A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client for iOS and Android using Riverpod. A stateless</w:t>
      </w:r>
      <w:r>
        <w:t xml:space="preserve"> </w:t>
      </w:r>
      <w:r>
        <w:rPr>
          <w:b/>
          <w:bCs/>
        </w:rPr>
        <w:t xml:space="preserve">Express 5 / TypeScript</w:t>
      </w:r>
      <w:r>
        <w:t xml:space="preserve"> </w:t>
      </w:r>
      <w:r>
        <w:t xml:space="preserve">API of 28 endpoints on</w:t>
      </w:r>
      <w:r>
        <w:t xml:space="preserve"> </w:t>
      </w:r>
      <w:r>
        <w:rPr>
          <w:b/>
          <w:bCs/>
        </w:rPr>
        <w:t xml:space="preserve">Google Cloud Run</w:t>
      </w:r>
      <w:r>
        <w:t xml:space="preserve">, scaling from zero.</w:t>
      </w:r>
      <w:r>
        <w:t xml:space="preserve"> </w:t>
      </w:r>
      <w:r>
        <w:rPr>
          <w:b/>
          <w:bCs/>
        </w:rPr>
        <w:t xml:space="preserve">Supabase PostgreSQL</w:t>
      </w:r>
      <w:r>
        <w:t xml:space="preserve"> </w:t>
      </w:r>
      <w:r>
        <w:t xml:space="preserve">across eight tables, plus</w:t>
      </w:r>
      <w:r>
        <w:t xml:space="preserve"> </w:t>
      </w:r>
      <w:r>
        <w:rPr>
          <w:b/>
          <w:bCs/>
        </w:rPr>
        <w:t xml:space="preserve">OpenAI</w:t>
      </w:r>
      <w:r>
        <w:t xml:space="preserve">,</w:t>
      </w:r>
      <w:r>
        <w:t xml:space="preserve"> </w:t>
      </w:r>
      <w:r>
        <w:rPr>
          <w:b/>
          <w:bCs/>
        </w:rPr>
        <w:t xml:space="preserve">ElevenLabs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Razorpay</w:t>
      </w:r>
      <w:r>
        <w:t xml:space="preserve">.</w:t>
      </w:r>
    </w:p>
    <w:p>
      <w:pPr>
        <w:pStyle w:val="BodyText"/>
      </w:pPr>
      <w:r>
        <w:t xml:space="preserve">A voice turn is three timed stages:</w:t>
      </w:r>
      <w:r>
        <w:t xml:space="preserve"> </w:t>
      </w:r>
      <w:r>
        <w:rPr>
          <w:b/>
          <w:bCs/>
        </w:rPr>
        <w:t xml:space="preserve">Whisper</w:t>
      </w:r>
      <w:r>
        <w:t xml:space="preserve"> </w:t>
      </w:r>
      <w:r>
        <w:t xml:space="preserve">transcribes,</w:t>
      </w:r>
      <w:r>
        <w:t xml:space="preserve"> </w:t>
      </w:r>
      <w:r>
        <w:rPr>
          <w:b/>
          <w:bCs/>
        </w:rPr>
        <w:t xml:space="preserve">GPT-4o</w:t>
      </w:r>
      <w:r>
        <w:t xml:space="preserve"> </w:t>
      </w:r>
      <w:r>
        <w:t xml:space="preserve">generates under a language-specific persona prompt with the previous six turns supplied as context, and</w:t>
      </w:r>
      <w:r>
        <w:t xml:space="preserve"> </w:t>
      </w:r>
      <w:r>
        <w:rPr>
          <w:b/>
          <w:bCs/>
        </w:rPr>
        <w:t xml:space="preserve">ElevenLabs</w:t>
      </w:r>
      <w:r>
        <w:t xml:space="preserve"> </w:t>
      </w:r>
      <w:r>
        <w:t xml:space="preserve">synthesises the reply as speech.</w:t>
      </w:r>
    </w:p>
    <w:p>
      <w:pPr>
        <w:pStyle w:val="BodyText"/>
      </w:pPr>
      <w:r>
        <w:t xml:space="preserve">Supporting systems: Google OAuth exchanged for a signed token; Razorpay subscriptions reconciled by HMAC-SHA256-verified webhooks, with failed verifications deliberately recorded as evidence that checking happens; five runtime feature flags; and a dependency-free administrative console with live metrics, content management, a webhook audit and an audit trail.</w:t>
      </w:r>
    </w:p>
    <w:p>
      <w:pPr>
        <w:pStyle w:val="BodyText"/>
      </w:pPr>
      <w:r>
        <w:rPr>
          <w:b/>
          <w:bCs/>
        </w:rPr>
        <w:t xml:space="preserve">A deliberate clarification.</w:t>
      </w:r>
      <w:r>
        <w:t xml:space="preserve"> </w:t>
      </w:r>
      <w:r>
        <w:t xml:space="preserve">There is no retrieval-augmented generation, no embedding and no vector index. Context is the previous turns replayed into the model’s message array. Scripture citations come from the model’s parameters, not from a retrieved corpus, and their accuracy was not formally verified.</w:t>
      </w:r>
    </w:p>
    <w:bookmarkEnd w:id="37"/>
    <w:bookmarkStart w:id="38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rPr>
          <w:b/>
          <w:bCs/>
        </w:rPr>
        <w:t xml:space="preserve">All 20 functional requirements are implemented</w:t>
      </w:r>
      <w:r>
        <w:t xml:space="preserve">; one (the audio player’s previous/next controls) is partially met.</w:t>
      </w:r>
    </w:p>
    <w:p>
      <w:pPr>
        <w:pStyle w:val="BodyText"/>
      </w:pPr>
      <w:r>
        <w:rPr>
          <w:b/>
          <w:bCs/>
        </w:rPr>
        <w:t xml:space="preserve">141 automated tests pass</w:t>
      </w:r>
      <w:r>
        <w:t xml:space="preserve"> </w:t>
      </w:r>
      <w:r>
        <w:t xml:space="preserve">— 66 backend across 10 Jest suites, 75 client across 9 Flutter files, none failing, none skipped. Both suites were re-run for the report and the output captured as evidence.</w:t>
      </w:r>
    </w:p>
    <w:p>
      <w:pPr>
        <w:pStyle w:val="BodyText"/>
      </w:pPr>
      <w:r>
        <w:rPr>
          <w:b/>
          <w:bCs/>
        </w:rPr>
        <w:t xml:space="preserve">The full subscription and conversation flow was verified end to end on physical hardware</w:t>
      </w:r>
      <w:r>
        <w:t xml:space="preserve">, including a real UPI payment and the resulting webhook reconciliation.</w:t>
      </w:r>
    </w:p>
    <w:p>
      <w:pPr>
        <w:pStyle w:val="BodyText"/>
      </w:pPr>
      <w:r>
        <w:rPr>
          <w:b/>
          <w:bCs/>
        </w:rPr>
        <w:t xml:space="preserve">The measured latency fails its requirement, and finding that is the project’s most useful result.</w:t>
      </w:r>
      <w:r>
        <w:t xml:space="preserve"> </w:t>
      </w:r>
      <w:r>
        <w:t xml:space="preserve">NFR1 specifies a five-second pipeline. The live instance measures: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to text (Whisper)</w:t>
            </w:r>
          </w:p>
        </w:tc>
        <w:tc>
          <w:tcPr/>
          <w:p>
            <w:pPr>
              <w:pStyle w:val="Compact"/>
            </w:pPr>
            <w:r>
              <w:t xml:space="preserve">4,004 ms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response (GPT-4o)</w:t>
            </w:r>
          </w:p>
        </w:tc>
        <w:tc>
          <w:tcPr/>
          <w:p>
            <w:pPr>
              <w:pStyle w:val="Compact"/>
            </w:pPr>
            <w:r>
              <w:t xml:space="preserve">3,471 ms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to speech (ElevenLabs)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19,618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to 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27,457 ms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Sample: two voice turns — enough to establish an order of magnitude, not a distribution.</w:t>
      </w:r>
    </w:p>
    <w:p>
      <w:pPr>
        <w:pStyle w:val="BodyText"/>
      </w:pPr>
      <w:r>
        <w:t xml:space="preserve">The three-to-six second figure quoted in the Phase 3 document and in the presentation deck is traceable to the administrative console’s</w:t>
      </w:r>
      <w:r>
        <w:t xml:space="preserve"> </w:t>
      </w:r>
      <w:r>
        <w:rPr>
          <w:i/>
          <w:iCs/>
        </w:rPr>
        <w:t xml:space="preserve">demonstration fixtures</w:t>
      </w:r>
      <w:r>
        <w:t xml:space="preserve"> </w:t>
      </w:r>
      <w:r>
        <w:t xml:space="preserve">(3,030 ms), which are hand-written constants, not a measurement. The report records this correction in full.</w:t>
      </w:r>
    </w:p>
    <w:p>
      <w:pPr>
        <w:pStyle w:val="BodyText"/>
      </w:pPr>
      <w:r>
        <w:t xml:space="preserve">The distribution is the useful part: latency is a speech-synthesis problem, not a model problem. And because the persona prompt specifies a two-to-four sentence reply while the model actually returns three paragraphs, the most probable single cause is the prompt rather than the vendor — the system is asking a speech engine to render four to five times more text than designed.</w:t>
      </w:r>
    </w:p>
    <w:bookmarkEnd w:id="38"/>
    <w:bookmarkStart w:id="39" w:name="honest-limitations"/>
    <w:p>
      <w:pPr>
        <w:pStyle w:val="Heading2"/>
      </w:pPr>
      <w:r>
        <w:t xml:space="preserve">6. Honest limitations</w:t>
      </w:r>
    </w:p>
    <w:p>
      <w:pPr>
        <w:pStyle w:val="FirstParagraph"/>
      </w:pPr>
      <w:r>
        <w:t xml:space="preserve">Recorded in full in the report; the material ones are: latency fails NFR1 by roughly a factor of five; row-level security is enabled but unpolicied and bypassed by the API’s service key, so authorization rests on application code with no test asserting isolation between users; a long-lived token and two analytics keys are committed to source control and must be rotated; there is no rate limiting and CORS is open; conversation transcripts are personal data stored indefinitely with no retention or deletion policy; test coverage stops at the service layer with no widget, integration or end-to-end tests; and three bundled hymns are CC BY-SA, which requires a credits screen the application does not yet have.</w:t>
      </w:r>
    </w:p>
    <w:bookmarkEnd w:id="39"/>
    <w:bookmarkStart w:id="40" w:name="demonstration"/>
    <w:p>
      <w:pPr>
        <w:pStyle w:val="Heading2"/>
      </w:pPr>
      <w:r>
        <w:t xml:space="preserve">7. Demonstration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3 min 50 s</w:t>
            </w:r>
          </w:p>
        </w:tc>
        <w:tc>
          <w:tcPr/>
          <w:p>
            <w:pPr>
              <w:pStyle w:val="Compact"/>
            </w:pPr>
            <w:r>
              <w:t xml:space="preserve">https://drive.google.com/file/d/124faeA_zm2HM7rPP_rWwJPsXSj6iN4QS/view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console</w:t>
            </w:r>
          </w:p>
        </w:tc>
        <w:tc>
          <w:tcPr/>
          <w:p>
            <w:pPr>
              <w:pStyle w:val="Compact"/>
            </w:pPr>
            <w:r>
              <w:t xml:space="preserve">1 min 13 s</w:t>
            </w:r>
          </w:p>
        </w:tc>
        <w:tc>
          <w:tcPr/>
          <w:p>
            <w:pPr>
              <w:pStyle w:val="Compact"/>
            </w:pPr>
            <w:r>
              <w:t xml:space="preserve">https://drive.google.com/file/d/1UeTyKBB8uDYdNhWjS14s2lbwYxO7xW6p/view</w:t>
            </w:r>
          </w:p>
        </w:tc>
      </w:tr>
    </w:tbl>
    <w:p>
      <w:pPr>
        <w:pStyle w:val="BodyText"/>
      </w:pPr>
      <w:r>
        <w:t xml:space="preserve">The console recording shows demonstration mode for its first fifty seconds and the live instance thereafter — the two halves report figures differing by an order of magnitude, for the reason given in Section 5.</w:t>
      </w:r>
    </w:p>
    <w:bookmarkEnd w:id="40"/>
    <w:bookmarkEnd w:id="41"/>
    <w:sectPr w:rsidR="000358FA">
      <w:footerReference r:id="rId25" w:type="default"/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hanging="360" w:left="720"/>
      </w:pPr>
    </w:lvl>
    <w:lvl w:ilvl="1">
      <w:start w:val="6"/>
      <w:numFmt w:val="decimal"/>
      <w:lvlText w:val="%2."/>
      <w:lvlJc w:val="left"/>
      <w:pPr>
        <w:ind w:hanging="360" w:left="1440"/>
      </w:pPr>
    </w:lvl>
    <w:lvl w:ilvl="2">
      <w:start w:val="6"/>
      <w:numFmt w:val="decimal"/>
      <w:lvlText w:val="%3."/>
      <w:lvlJc w:val="left"/>
      <w:pPr>
        <w:ind w:hanging="360" w:left="2160"/>
      </w:pPr>
    </w:lvl>
    <w:lvl w:ilvl="3">
      <w:start w:val="6"/>
      <w:numFmt w:val="decimal"/>
      <w:lvlText w:val="%4."/>
      <w:lvlJc w:val="left"/>
      <w:pPr>
        <w:ind w:hanging="360" w:left="2880"/>
      </w:pPr>
    </w:lvl>
    <w:lvl w:ilvl="4">
      <w:start w:val="6"/>
      <w:numFmt w:val="decimal"/>
      <w:lvlText w:val="%5."/>
      <w:lvlJc w:val="left"/>
      <w:pPr>
        <w:ind w:hanging="360" w:left="3600"/>
      </w:pPr>
    </w:lvl>
    <w:lvl w:ilvl="5">
      <w:start w:val="6"/>
      <w:numFmt w:val="decimal"/>
      <w:lvlText w:val="%6."/>
      <w:lvlJc w:val="left"/>
      <w:pPr>
        <w:ind w:hanging="360" w:left="4320"/>
      </w:pPr>
    </w:lvl>
    <w:lvl w:ilvl="6">
      <w:start w:val="6"/>
      <w:numFmt w:val="decimal"/>
      <w:lvlText w:val="%7."/>
      <w:lvlJc w:val="left"/>
      <w:pPr>
        <w:ind w:hanging="360" w:left="5040"/>
      </w:pPr>
    </w:lvl>
    <w:lvl w:ilvl="7">
      <w:start w:val="6"/>
      <w:numFmt w:val="decimal"/>
      <w:lvlText w:val="%8."/>
      <w:lvlJc w:val="left"/>
      <w:pPr>
        <w:ind w:hanging="360" w:left="5760"/>
      </w:pPr>
    </w:lvl>
    <w:lvl w:ilvl="8">
      <w:start w:val="6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67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F43C52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styleId="BalloonText" w:type="paragraph">
    <w:name w:val="Balloon Text"/>
    <w:basedOn w:val="Normal"/>
    <w:link w:val="BalloonTextChar"/>
    <w:rsid w:val="00F43C5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F43C52"/>
    <w:rPr>
      <w:rFonts w:ascii="Tahoma" w:cs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2026-08-29T22:40:10Z</dcterms:created>
  <dcterms:modified xsi:type="dcterms:W3CDTF">2026-08-29T22:40:10Z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