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0A2C4A"/>
          </w:tcPr>
          <w:p>
            <w:pPr>
              <w:spacing w:before="280" w:after="80"/>
            </w:pPr>
            <w:r>
              <w:rPr>
                <w:rFonts w:ascii="Calibri" w:hAnsi="Calibri"/>
                <w:b/>
                <w:color w:val="FFFFFF"/>
                <w:sz w:val="64"/>
              </w:rPr>
              <w:t>ProcessBI</w:t>
            </w:r>
          </w:p>
          <w:p>
            <w:pPr>
              <w:spacing w:before="0" w:after="80"/>
            </w:pPr>
            <w:r>
              <w:rPr>
                <w:rFonts w:ascii="Calibri" w:hAnsi="Calibri"/>
                <w:color w:val="B0D0E8"/>
                <w:sz w:val="28"/>
              </w:rPr>
              <w:t>Business Process &amp; Data Analytics Consulting</w:t>
            </w:r>
          </w:p>
          <w:p>
            <w:pPr>
              <w:spacing w:before="0" w:after="240"/>
            </w:pPr>
            <w:r>
              <w:rPr>
                <w:rFonts w:ascii="Calibri" w:hAnsi="Calibri"/>
                <w:b/>
                <w:color w:val="88AACC"/>
                <w:sz w:val="18"/>
              </w:rPr>
              <w:t>CAPABILITY STATEMENT  |  June 2026</w:t>
            </w:r>
          </w:p>
        </w:tc>
      </w:tr>
    </w:tbl>
    <w:p/>
    <w:p>
      <w:pPr>
        <w:spacing w:before="200" w:after="60"/>
      </w:pPr>
      <w:r>
        <w:rPr>
          <w:rFonts w:ascii="Calibri" w:hAnsi="Calibri"/>
          <w:b/>
          <w:color w:val="0A2C4A"/>
          <w:sz w:val="30"/>
        </w:rPr>
        <w:t>Who We Are</w:t>
      </w:r>
    </w:p>
    <w:p>
      <w:pPr>
        <w:spacing w:before="40" w:after="80" w:line="260" w:lineRule="exact"/>
      </w:pPr>
      <w:r>
        <w:rPr>
          <w:rFonts w:ascii="Calibri" w:hAnsi="Calibri"/>
          <w:b w:val="0"/>
          <w:i w:val="0"/>
          <w:color w:val="1A1A2E"/>
          <w:sz w:val="20"/>
        </w:rPr>
        <w:t>ProcessBI is an Australian consulting firm specialising in business process intelligence and data analytics. We help large enterprises and government agencies transform the way they understand, document, and improve their operations — combining process mapping with automation enablement and live reporting in a single, integrated engagement.</w:t>
      </w:r>
    </w:p>
    <w:p>
      <w:pPr>
        <w:spacing w:before="40" w:after="80" w:line="260" w:lineRule="exact"/>
      </w:pPr>
      <w:r>
        <w:rPr>
          <w:rFonts w:ascii="Calibri" w:hAnsi="Calibri"/>
          <w:b w:val="0"/>
          <w:i w:val="0"/>
          <w:color w:val="1A1A2E"/>
          <w:sz w:val="20"/>
        </w:rPr>
        <w:t>We work with COOs, CDOs, CFOs, and Heads of Operations who need their organisations to operate faster, smarter, and with less operational risk. Our clients receive a living process intelligence layer built into their Microsoft Fabric environment that their teams own and their AI systems can query.</w:t>
      </w:r>
    </w:p>
    <w:p>
      <w:pPr>
        <w:spacing w:before="80" w:after="80"/>
        <w:pBdr>
          <w:bottom w:val="single" w:sz="6" w:space="1" w:color="008B8B"/>
        </w:pBdr>
      </w:pPr>
    </w:p>
    <w:p>
      <w:pPr>
        <w:spacing w:before="200" w:after="60"/>
      </w:pPr>
      <w:r>
        <w:rPr>
          <w:rFonts w:ascii="Calibri" w:hAnsi="Calibri"/>
          <w:b/>
          <w:color w:val="0A2C4A"/>
          <w:sz w:val="30"/>
        </w:rPr>
        <w:t>Our Differentiator</w:t>
      </w:r>
    </w:p>
    <w:p>
      <w:pPr>
        <w:spacing w:before="40" w:after="80" w:line="260" w:lineRule="exact"/>
      </w:pPr>
      <w:r>
        <w:rPr>
          <w:rFonts w:ascii="Calibri" w:hAnsi="Calibri"/>
          <w:b/>
          <w:i w:val="0"/>
          <w:color w:val="0A2C4A"/>
          <w:sz w:val="20"/>
        </w:rPr>
        <w:t>No other Australian consulting firm delivers process mapping, automation enablement, and Microsoft Fabric reporting as a single bundled engagement.</w:t>
      </w:r>
    </w:p>
    <w:p>
      <w:pPr>
        <w:pStyle w:val="ListBullet"/>
        <w:spacing w:before="20" w:after="20" w:line="240" w:lineRule="exact"/>
      </w:pPr>
      <w:r>
        <w:rPr>
          <w:rFonts w:ascii="Calibri" w:hAnsi="Calibri"/>
          <w:color w:val="1A1A2E"/>
          <w:sz w:val="20"/>
        </w:rPr>
        <w:t>Structured BPMN process maps — swimlane, cross-functional, Visio-compatible</w:t>
      </w:r>
    </w:p>
    <w:p>
      <w:pPr>
        <w:pStyle w:val="ListBullet"/>
        <w:spacing w:before="20" w:after="20" w:line="240" w:lineRule="exact"/>
      </w:pPr>
      <w:r>
        <w:rPr>
          <w:rFonts w:ascii="Calibri" w:hAnsi="Calibri"/>
          <w:color w:val="1A1A2E"/>
          <w:sz w:val="20"/>
        </w:rPr>
        <w:t>Automation opportunity scoring: 0–100 per process step</w:t>
      </w:r>
    </w:p>
    <w:p>
      <w:pPr>
        <w:pStyle w:val="ListBullet"/>
        <w:spacing w:before="20" w:after="20" w:line="240" w:lineRule="exact"/>
      </w:pPr>
      <w:r>
        <w:rPr>
          <w:rFonts w:ascii="Calibri" w:hAnsi="Calibri"/>
          <w:color w:val="1A1A2E"/>
          <w:sz w:val="20"/>
        </w:rPr>
        <w:t>Tool-specific automation blueprints (Power Automate, ServiceNow, RPA)</w:t>
      </w:r>
    </w:p>
    <w:p>
      <w:pPr>
        <w:pStyle w:val="ListBullet"/>
        <w:spacing w:before="20" w:after="20" w:line="240" w:lineRule="exact"/>
      </w:pPr>
      <w:r>
        <w:rPr>
          <w:rFonts w:ascii="Calibri" w:hAnsi="Calibri"/>
          <w:color w:val="1A1A2E"/>
          <w:sz w:val="20"/>
        </w:rPr>
        <w:t>Power BI ROI dashboards embedded in your Microsoft Fabric environment</w:t>
      </w:r>
    </w:p>
    <w:p>
      <w:pPr>
        <w:pStyle w:val="ListBullet"/>
        <w:spacing w:before="20" w:after="20" w:line="240" w:lineRule="exact"/>
      </w:pPr>
      <w:r>
        <w:rPr>
          <w:rFonts w:ascii="Calibri" w:hAnsi="Calibri"/>
          <w:color w:val="1A1A2E"/>
          <w:sz w:val="20"/>
        </w:rPr>
        <w:t>APRA CPS 230 compliance mapping built into every delivery as standard</w:t>
      </w:r>
    </w:p>
    <w:p>
      <w:pPr>
        <w:pStyle w:val="ListBullet"/>
        <w:spacing w:before="20" w:after="20" w:line="240" w:lineRule="exact"/>
      </w:pPr>
      <w:r>
        <w:rPr>
          <w:rFonts w:ascii="Calibri" w:hAnsi="Calibri"/>
          <w:color w:val="1A1A2E"/>
          <w:sz w:val="20"/>
        </w:rPr>
        <w:t>4-week delivery — vs. industry norm of 12 weeks</w:t>
      </w:r>
    </w:p>
    <w:p>
      <w:pPr>
        <w:spacing w:before="80" w:after="80"/>
        <w:pBdr>
          <w:bottom w:val="single" w:sz="6" w:space="1" w:color="008B8B"/>
        </w:pBdr>
      </w:pPr>
    </w:p>
    <w:p>
      <w:pPr>
        <w:spacing w:before="200" w:after="60"/>
      </w:pPr>
      <w:r>
        <w:rPr>
          <w:rFonts w:ascii="Calibri" w:hAnsi="Calibri"/>
          <w:b/>
          <w:color w:val="0A2C4A"/>
          <w:sz w:val="30"/>
        </w:rPr>
        <w:t>Services</w:t>
      </w:r>
    </w:p>
    <w:p>
      <w:pPr>
        <w:spacing w:before="160" w:after="20"/>
      </w:pPr>
      <w:r>
        <w:rPr>
          <w:rFonts w:ascii="Calibri" w:hAnsi="Calibri"/>
          <w:b/>
          <w:color w:val="0A2C4A"/>
          <w:sz w:val="22"/>
        </w:rPr>
        <w:t>1. Process Discovery Workshop</w:t>
      </w:r>
    </w:p>
    <w:p>
      <w:pPr>
        <w:spacing w:before="0" w:after="40"/>
      </w:pPr>
      <w:r>
        <w:rPr>
          <w:rFonts w:ascii="Calibri" w:hAnsi="Calibri"/>
          <w:b/>
          <w:color w:val="008B8B"/>
          <w:sz w:val="18"/>
        </w:rPr>
        <w:t>$5,000 – $15,000  |  1–2 days</w:t>
      </w:r>
    </w:p>
    <w:p>
      <w:pPr>
        <w:spacing w:before="20" w:after="40" w:line="260" w:lineRule="exact"/>
      </w:pPr>
      <w:r>
        <w:rPr>
          <w:rFonts w:ascii="Calibri" w:hAnsi="Calibri"/>
          <w:b w:val="0"/>
          <w:i w:val="0"/>
          <w:color w:val="1A1A2E"/>
          <w:sz w:val="20"/>
        </w:rPr>
        <w:t>A structured facilitated workshop mapping current-state processes from the people who live them. Delivers: swimlane process diagram, preliminary RACI, issues log, and pain point register.</w:t>
      </w:r>
    </w:p>
    <w:p>
      <w:pPr>
        <w:spacing w:before="0" w:after="120" w:line="240" w:lineRule="exact"/>
      </w:pPr>
      <w:r>
        <w:rPr>
          <w:rFonts w:ascii="Calibri" w:hAnsi="Calibri"/>
          <w:b/>
          <w:i/>
          <w:color w:val="999999"/>
          <w:sz w:val="18"/>
        </w:rPr>
        <w:t xml:space="preserve">Ideal for: </w:t>
      </w:r>
      <w:r>
        <w:rPr>
          <w:rFonts w:ascii="Calibri" w:hAnsi="Calibri"/>
          <w:i/>
          <w:color w:val="999999"/>
          <w:sz w:val="18"/>
        </w:rPr>
        <w:t>Organisations beginning a process review; teams preparing for audit or compliance.</w:t>
      </w:r>
    </w:p>
    <w:p>
      <w:pPr>
        <w:spacing w:before="160" w:after="20"/>
      </w:pPr>
      <w:r>
        <w:rPr>
          <w:rFonts w:ascii="Calibri" w:hAnsi="Calibri"/>
          <w:b/>
          <w:color w:val="0A2C4A"/>
          <w:sz w:val="22"/>
        </w:rPr>
        <w:t>2. Process Map + Automation Blueprint</w:t>
      </w:r>
    </w:p>
    <w:p>
      <w:pPr>
        <w:spacing w:before="0" w:after="40"/>
      </w:pPr>
      <w:r>
        <w:rPr>
          <w:rFonts w:ascii="Calibri" w:hAnsi="Calibri"/>
          <w:b/>
          <w:color w:val="008B8B"/>
          <w:sz w:val="18"/>
        </w:rPr>
        <w:t>$15,000 – $40,000  |  3–4 weeks</w:t>
      </w:r>
    </w:p>
    <w:p>
      <w:pPr>
        <w:spacing w:before="20" w:after="40" w:line="260" w:lineRule="exact"/>
      </w:pPr>
      <w:r>
        <w:rPr>
          <w:rFonts w:ascii="Calibri" w:hAnsi="Calibri"/>
          <w:b w:val="0"/>
          <w:i w:val="0"/>
          <w:color w:val="1A1A2E"/>
          <w:sz w:val="20"/>
        </w:rPr>
        <w:t>Our core engagement: Discovery → Mapping (BPMN diagrams + RACI + SOP) → Automation Assessment (per-step 0–100 scoring) → Blueprint (tool-specific recommendations sequenced by ROI). APRA CPS 230 compliance mapping included as standard.</w:t>
      </w:r>
    </w:p>
    <w:p>
      <w:pPr>
        <w:spacing w:before="0" w:after="120" w:line="240" w:lineRule="exact"/>
      </w:pPr>
      <w:r>
        <w:rPr>
          <w:rFonts w:ascii="Calibri" w:hAnsi="Calibri"/>
          <w:b/>
          <w:i/>
          <w:color w:val="999999"/>
          <w:sz w:val="18"/>
        </w:rPr>
        <w:t xml:space="preserve">Ideal for: </w:t>
      </w:r>
      <w:r>
        <w:rPr>
          <w:rFonts w:ascii="Calibri" w:hAnsi="Calibri"/>
          <w:i/>
          <w:color w:val="999999"/>
          <w:sz w:val="18"/>
        </w:rPr>
        <w:t>APRA-regulated entities (CPS 230); enterprises post-Nintex EOL migration; digital transformation programmes.</w:t>
      </w:r>
    </w:p>
    <w:p>
      <w:pPr>
        <w:spacing w:before="160" w:after="20"/>
      </w:pPr>
      <w:r>
        <w:rPr>
          <w:rFonts w:ascii="Calibri" w:hAnsi="Calibri"/>
          <w:b/>
          <w:color w:val="0A2C4A"/>
          <w:sz w:val="22"/>
        </w:rPr>
        <w:t>3. Reporting Suite Implementation</w:t>
      </w:r>
    </w:p>
    <w:p>
      <w:pPr>
        <w:spacing w:before="0" w:after="40"/>
      </w:pPr>
      <w:r>
        <w:rPr>
          <w:rFonts w:ascii="Calibri" w:hAnsi="Calibri"/>
          <w:b/>
          <w:color w:val="008B8B"/>
          <w:sz w:val="18"/>
        </w:rPr>
        <w:t>$20,000 – $80,000  |  4–8 weeks</w:t>
      </w:r>
    </w:p>
    <w:p>
      <w:pPr>
        <w:spacing w:before="20" w:after="40" w:line="260" w:lineRule="exact"/>
      </w:pPr>
      <w:r>
        <w:rPr>
          <w:rFonts w:ascii="Calibri" w:hAnsi="Calibri"/>
          <w:b w:val="0"/>
          <w:i w:val="0"/>
          <w:color w:val="1A1A2E"/>
          <w:sz w:val="20"/>
        </w:rPr>
        <w:t>Design, build and deploy your process intelligence reporting layer using Microsoft Fabric and Power BI. Process KPIs, automation ROI dashboards, Power Automate trigger wiring, Fabric IQ AI agent readiness.</w:t>
      </w:r>
    </w:p>
    <w:p>
      <w:pPr>
        <w:spacing w:before="0" w:after="120" w:line="240" w:lineRule="exact"/>
      </w:pPr>
      <w:r>
        <w:rPr>
          <w:rFonts w:ascii="Calibri" w:hAnsi="Calibri"/>
          <w:b/>
          <w:i/>
          <w:color w:val="999999"/>
          <w:sz w:val="18"/>
        </w:rPr>
        <w:t xml:space="preserve">Ideal for: </w:t>
      </w:r>
      <w:r>
        <w:rPr>
          <w:rFonts w:ascii="Calibri" w:hAnsi="Calibri"/>
          <w:i/>
          <w:color w:val="999999"/>
          <w:sz w:val="18"/>
        </w:rPr>
        <w:t>CDOs building a data-driven operating model; organisations replacing legacy reporting environments.</w:t>
      </w:r>
    </w:p>
    <w:p>
      <w:pPr>
        <w:spacing w:before="160" w:after="20"/>
      </w:pPr>
      <w:r>
        <w:rPr>
          <w:rFonts w:ascii="Calibri" w:hAnsi="Calibri"/>
          <w:b/>
          <w:color w:val="0A2C4A"/>
          <w:sz w:val="22"/>
        </w:rPr>
        <w:t>4. Ongoing Process Monitoring Retainer</w:t>
      </w:r>
    </w:p>
    <w:p>
      <w:pPr>
        <w:spacing w:before="0" w:after="40"/>
      </w:pPr>
      <w:r>
        <w:rPr>
          <w:rFonts w:ascii="Calibri" w:hAnsi="Calibri"/>
          <w:b/>
          <w:color w:val="008B8B"/>
          <w:sz w:val="18"/>
        </w:rPr>
        <w:t>$3,000 – $8,000 / month</w:t>
      </w:r>
    </w:p>
    <w:p>
      <w:pPr>
        <w:spacing w:before="20" w:after="40" w:line="260" w:lineRule="exact"/>
      </w:pPr>
      <w:r>
        <w:rPr>
          <w:rFonts w:ascii="Calibri" w:hAnsi="Calibri"/>
          <w:b w:val="0"/>
          <w:i w:val="0"/>
          <w:color w:val="1A1A2E"/>
          <w:sz w:val="20"/>
        </w:rPr>
        <w:t>Continuous process intelligence: monthly KPI review, quarterly map updates, automation pipeline management, CPS 230 documentation currency maintenance.</w:t>
      </w:r>
    </w:p>
    <w:p>
      <w:pPr>
        <w:spacing w:before="0" w:after="120" w:line="240" w:lineRule="exact"/>
      </w:pPr>
      <w:r>
        <w:rPr>
          <w:rFonts w:ascii="Calibri" w:hAnsi="Calibri"/>
          <w:b/>
          <w:i/>
          <w:color w:val="999999"/>
          <w:sz w:val="18"/>
        </w:rPr>
        <w:t xml:space="preserve">Ideal for: </w:t>
      </w:r>
      <w:r>
        <w:rPr>
          <w:rFonts w:ascii="Calibri" w:hAnsi="Calibri"/>
          <w:i/>
          <w:color w:val="999999"/>
          <w:sz w:val="18"/>
        </w:rPr>
        <w:t>Regulated entities with ongoing compliance obligations; complex, frequently-changing operations.</w:t>
      </w:r>
    </w:p>
    <w:p>
      <w:pPr>
        <w:spacing w:before="80" w:after="80"/>
        <w:pBdr>
          <w:bottom w:val="single" w:sz="6" w:space="1" w:color="008B8B"/>
        </w:pBdr>
      </w:pPr>
    </w:p>
    <w:p>
      <w:pPr>
        <w:spacing w:before="200" w:after="60"/>
      </w:pPr>
      <w:r>
        <w:rPr>
          <w:rFonts w:ascii="Calibri" w:hAnsi="Calibri"/>
          <w:b/>
          <w:color w:val="0A2C4A"/>
          <w:sz w:val="30"/>
        </w:rPr>
        <w:t>Key Capabilities</w:t>
      </w:r>
    </w:p>
    <w:tbl>
      <w:tblPr>
        <w:tblStyle w:val="TableGrid"/>
        <w:tblW w:type="auto" w:w="0"/>
        <w:tblLook w:firstColumn="1" w:firstRow="1" w:lastColumn="0" w:lastRow="0" w:noHBand="0" w:noVBand="1" w:val="04A0"/>
      </w:tblPr>
      <w:tblGrid>
        <w:gridCol w:w="4819"/>
        <w:gridCol w:w="4819"/>
      </w:tblGrid>
      <w:tr>
        <w:tc>
          <w:tcPr>
            <w:tcW w:type="dxa" w:w="2835"/>
            <w:shd w:val="clear" w:color="auto" w:fill="EBF4FA"/>
          </w:tcPr>
          <w:p>
            <w:pPr>
              <w:spacing w:before="60" w:after="60"/>
            </w:pPr>
            <w:r>
              <w:rPr>
                <w:rFonts w:ascii="Calibri" w:hAnsi="Calibri"/>
                <w:b/>
                <w:color w:val="0A2C4A"/>
                <w:sz w:val="18"/>
              </w:rPr>
              <w:t>Process Mapping</w:t>
            </w:r>
          </w:p>
        </w:tc>
        <w:tc>
          <w:tcPr>
            <w:tcW w:type="dxa" w:w="6803"/>
            <w:shd w:val="clear" w:color="auto" w:fill="EBF4FA"/>
          </w:tcPr>
          <w:p>
            <w:pPr>
              <w:spacing w:before="60" w:after="60"/>
            </w:pPr>
            <w:r>
              <w:rPr>
                <w:rFonts w:ascii="Calibri" w:hAnsi="Calibri"/>
                <w:color w:val="1A1A2E"/>
                <w:sz w:val="18"/>
              </w:rPr>
              <w:t>BPMN 2.0, swimlane diagrams, Lucidchart, draw.io, Visio-compatible output</w:t>
            </w:r>
          </w:p>
        </w:tc>
      </w:tr>
      <w:tr>
        <w:tc>
          <w:tcPr>
            <w:tcW w:type="dxa" w:w="2835"/>
            <w:shd w:val="clear" w:color="auto" w:fill="FFFFFF"/>
          </w:tcPr>
          <w:p>
            <w:pPr>
              <w:spacing w:before="60" w:after="60"/>
            </w:pPr>
            <w:r>
              <w:rPr>
                <w:rFonts w:ascii="Calibri" w:hAnsi="Calibri"/>
                <w:b/>
                <w:color w:val="0A2C4A"/>
                <w:sz w:val="18"/>
              </w:rPr>
              <w:t>SOP Generation</w:t>
            </w:r>
          </w:p>
        </w:tc>
        <w:tc>
          <w:tcPr>
            <w:tcW w:type="dxa" w:w="6803"/>
            <w:shd w:val="clear" w:color="auto" w:fill="FFFFFF"/>
          </w:tcPr>
          <w:p>
            <w:pPr>
              <w:spacing w:before="60" w:after="60"/>
            </w:pPr>
            <w:r>
              <w:rPr>
                <w:rFonts w:ascii="Calibri" w:hAnsi="Calibri"/>
                <w:color w:val="1A1A2E"/>
                <w:sz w:val="18"/>
              </w:rPr>
              <w:t>AI-accelerated SOP creation from process maps; approval workflows</w:t>
            </w:r>
          </w:p>
        </w:tc>
      </w:tr>
      <w:tr>
        <w:tc>
          <w:tcPr>
            <w:tcW w:type="dxa" w:w="2835"/>
            <w:shd w:val="clear" w:color="auto" w:fill="EBF4FA"/>
          </w:tcPr>
          <w:p>
            <w:pPr>
              <w:spacing w:before="60" w:after="60"/>
            </w:pPr>
            <w:r>
              <w:rPr>
                <w:rFonts w:ascii="Calibri" w:hAnsi="Calibri"/>
                <w:b/>
                <w:color w:val="0A2C4A"/>
                <w:sz w:val="18"/>
              </w:rPr>
              <w:t>Automation Assessment</w:t>
            </w:r>
          </w:p>
        </w:tc>
        <w:tc>
          <w:tcPr>
            <w:tcW w:type="dxa" w:w="6803"/>
            <w:shd w:val="clear" w:color="auto" w:fill="EBF4FA"/>
          </w:tcPr>
          <w:p>
            <w:pPr>
              <w:spacing w:before="60" w:after="60"/>
            </w:pPr>
            <w:r>
              <w:rPr>
                <w:rFonts w:ascii="Calibri" w:hAnsi="Calibri"/>
                <w:color w:val="1A1A2E"/>
                <w:sz w:val="18"/>
              </w:rPr>
              <w:t>Per-step scoring 0–100; classifies automatable / human-in-loop / human-only</w:t>
            </w:r>
          </w:p>
        </w:tc>
      </w:tr>
      <w:tr>
        <w:tc>
          <w:tcPr>
            <w:tcW w:type="dxa" w:w="2835"/>
            <w:shd w:val="clear" w:color="auto" w:fill="FFFFFF"/>
          </w:tcPr>
          <w:p>
            <w:pPr>
              <w:spacing w:before="60" w:after="60"/>
            </w:pPr>
            <w:r>
              <w:rPr>
                <w:rFonts w:ascii="Calibri" w:hAnsi="Calibri"/>
                <w:b/>
                <w:color w:val="0A2C4A"/>
                <w:sz w:val="18"/>
              </w:rPr>
              <w:t>Microsoft Fabric</w:t>
            </w:r>
          </w:p>
        </w:tc>
        <w:tc>
          <w:tcPr>
            <w:tcW w:type="dxa" w:w="6803"/>
            <w:shd w:val="clear" w:color="auto" w:fill="FFFFFF"/>
          </w:tcPr>
          <w:p>
            <w:pPr>
              <w:spacing w:before="60" w:after="60"/>
            </w:pPr>
            <w:r>
              <w:rPr>
                <w:rFonts w:ascii="Calibri" w:hAnsi="Calibri"/>
                <w:color w:val="1A1A2E"/>
                <w:sz w:val="18"/>
              </w:rPr>
              <w:t>OneLake integration, semantic model design, Fabric IQ AI agent readiness</w:t>
            </w:r>
          </w:p>
        </w:tc>
      </w:tr>
      <w:tr>
        <w:tc>
          <w:tcPr>
            <w:tcW w:type="dxa" w:w="2835"/>
            <w:shd w:val="clear" w:color="auto" w:fill="EBF4FA"/>
          </w:tcPr>
          <w:p>
            <w:pPr>
              <w:spacing w:before="60" w:after="60"/>
            </w:pPr>
            <w:r>
              <w:rPr>
                <w:rFonts w:ascii="Calibri" w:hAnsi="Calibri"/>
                <w:b/>
                <w:color w:val="0A2C4A"/>
                <w:sz w:val="18"/>
              </w:rPr>
              <w:t>Power BI</w:t>
            </w:r>
          </w:p>
        </w:tc>
        <w:tc>
          <w:tcPr>
            <w:tcW w:type="dxa" w:w="6803"/>
            <w:shd w:val="clear" w:color="auto" w:fill="EBF4FA"/>
          </w:tcPr>
          <w:p>
            <w:pPr>
              <w:spacing w:before="60" w:after="60"/>
            </w:pPr>
            <w:r>
              <w:rPr>
                <w:rFonts w:ascii="Calibri" w:hAnsi="Calibri"/>
                <w:color w:val="1A1A2E"/>
                <w:sz w:val="18"/>
              </w:rPr>
              <w:t>Report &amp; dashboard development, embedded process KPIs, ROI projections</w:t>
            </w:r>
          </w:p>
        </w:tc>
      </w:tr>
      <w:tr>
        <w:tc>
          <w:tcPr>
            <w:tcW w:type="dxa" w:w="2835"/>
            <w:shd w:val="clear" w:color="auto" w:fill="FFFFFF"/>
          </w:tcPr>
          <w:p>
            <w:pPr>
              <w:spacing w:before="60" w:after="60"/>
            </w:pPr>
            <w:r>
              <w:rPr>
                <w:rFonts w:ascii="Calibri" w:hAnsi="Calibri"/>
                <w:b/>
                <w:color w:val="0A2C4A"/>
                <w:sz w:val="18"/>
              </w:rPr>
              <w:t>Compliance Mapping</w:t>
            </w:r>
          </w:p>
        </w:tc>
        <w:tc>
          <w:tcPr>
            <w:tcW w:type="dxa" w:w="6803"/>
            <w:shd w:val="clear" w:color="auto" w:fill="FFFFFF"/>
          </w:tcPr>
          <w:p>
            <w:pPr>
              <w:spacing w:before="60" w:after="60"/>
            </w:pPr>
            <w:r>
              <w:rPr>
                <w:rFonts w:ascii="Calibri" w:hAnsi="Calibri"/>
                <w:color w:val="1A1A2E"/>
                <w:sz w:val="18"/>
              </w:rPr>
              <w:t>APRA CPS 230 material business service documentation; SOX, GDPR flagging</w:t>
            </w:r>
          </w:p>
        </w:tc>
      </w:tr>
      <w:tr>
        <w:tc>
          <w:tcPr>
            <w:tcW w:type="dxa" w:w="2835"/>
            <w:shd w:val="clear" w:color="auto" w:fill="EBF4FA"/>
          </w:tcPr>
          <w:p>
            <w:pPr>
              <w:spacing w:before="60" w:after="60"/>
            </w:pPr>
            <w:r>
              <w:rPr>
                <w:rFonts w:ascii="Calibri" w:hAnsi="Calibri"/>
                <w:b/>
                <w:color w:val="0A2C4A"/>
                <w:sz w:val="18"/>
              </w:rPr>
              <w:t>Process Domains</w:t>
            </w:r>
          </w:p>
        </w:tc>
        <w:tc>
          <w:tcPr>
            <w:tcW w:type="dxa" w:w="6803"/>
            <w:shd w:val="clear" w:color="auto" w:fill="EBF4FA"/>
          </w:tcPr>
          <w:p>
            <w:pPr>
              <w:spacing w:before="60" w:after="60"/>
            </w:pPr>
            <w:r>
              <w:rPr>
                <w:rFonts w:ascii="Calibri" w:hAnsi="Calibri"/>
                <w:color w:val="1A1A2E"/>
                <w:sz w:val="18"/>
              </w:rPr>
              <w:t>Finance (P2P, R2R, OTC), HR, Procurement, Operations, Customer Service</w:t>
            </w:r>
          </w:p>
        </w:tc>
      </w:tr>
      <w:tr>
        <w:tc>
          <w:tcPr>
            <w:tcW w:type="dxa" w:w="2835"/>
            <w:shd w:val="clear" w:color="auto" w:fill="FFFFFF"/>
          </w:tcPr>
          <w:p>
            <w:pPr>
              <w:spacing w:before="60" w:after="60"/>
            </w:pPr>
            <w:r>
              <w:rPr>
                <w:rFonts w:ascii="Calibri" w:hAnsi="Calibri"/>
                <w:b/>
                <w:color w:val="0A2C4A"/>
                <w:sz w:val="18"/>
              </w:rPr>
              <w:t>Automation Tooling</w:t>
            </w:r>
          </w:p>
        </w:tc>
        <w:tc>
          <w:tcPr>
            <w:tcW w:type="dxa" w:w="6803"/>
            <w:shd w:val="clear" w:color="auto" w:fill="FFFFFF"/>
          </w:tcPr>
          <w:p>
            <w:pPr>
              <w:spacing w:before="60" w:after="60"/>
            </w:pPr>
            <w:r>
              <w:rPr>
                <w:rFonts w:ascii="Calibri" w:hAnsi="Calibri"/>
                <w:color w:val="1A1A2E"/>
                <w:sz w:val="18"/>
              </w:rPr>
              <w:t>Power Automate (primary), ServiceNow, UiPath, custom API/Python pipelines</w:t>
            </w:r>
          </w:p>
        </w:tc>
      </w:tr>
    </w:tbl>
    <w:p/>
    <w:p>
      <w:pPr>
        <w:spacing w:before="80" w:after="80"/>
        <w:pBdr>
          <w:bottom w:val="single" w:sz="6" w:space="1" w:color="008B8B"/>
        </w:pBdr>
      </w:pPr>
    </w:p>
    <w:p>
      <w:pPr>
        <w:spacing w:before="200" w:after="60"/>
      </w:pPr>
      <w:r>
        <w:rPr>
          <w:rFonts w:ascii="Calibri" w:hAnsi="Calibri"/>
          <w:b/>
          <w:color w:val="0A2C4A"/>
          <w:sz w:val="26"/>
        </w:rPr>
        <w:t>Microsoft Partnership</w:t>
      </w:r>
    </w:p>
    <w:p>
      <w:pPr>
        <w:pStyle w:val="ListBullet"/>
        <w:spacing w:before="20" w:after="20" w:line="240" w:lineRule="exact"/>
      </w:pPr>
      <w:r>
        <w:rPr>
          <w:rFonts w:ascii="Calibri" w:hAnsi="Calibri"/>
          <w:color w:val="1A1A2E"/>
          <w:sz w:val="18"/>
        </w:rPr>
        <w:t>Microsoft Fabric — OneLake, Dataflows Gen2, Fabric IQ (2026)</w:t>
      </w:r>
    </w:p>
    <w:p>
      <w:pPr>
        <w:pStyle w:val="ListBullet"/>
        <w:spacing w:before="20" w:after="20" w:line="240" w:lineRule="exact"/>
      </w:pPr>
      <w:r>
        <w:rPr>
          <w:rFonts w:ascii="Calibri" w:hAnsi="Calibri"/>
          <w:color w:val="1A1A2E"/>
          <w:sz w:val="18"/>
        </w:rPr>
        <w:t>Power BI — Semantic model design, embedded analytics, Premium capacity</w:t>
      </w:r>
    </w:p>
    <w:p>
      <w:pPr>
        <w:pStyle w:val="ListBullet"/>
        <w:spacing w:before="20" w:after="20" w:line="240" w:lineRule="exact"/>
      </w:pPr>
      <w:r>
        <w:rPr>
          <w:rFonts w:ascii="Calibri" w:hAnsi="Calibri"/>
          <w:color w:val="1A1A2E"/>
          <w:sz w:val="18"/>
        </w:rPr>
        <w:t>Power Platform — Power Automate, Power Apps, Dataverse</w:t>
      </w:r>
    </w:p>
    <w:p>
      <w:pPr>
        <w:pStyle w:val="ListBullet"/>
        <w:spacing w:before="20" w:after="20" w:line="240" w:lineRule="exact"/>
      </w:pPr>
      <w:r>
        <w:rPr>
          <w:rFonts w:ascii="Calibri" w:hAnsi="Calibri"/>
          <w:color w:val="1A1A2E"/>
          <w:sz w:val="18"/>
        </w:rPr>
        <w:t>Microsoft 365 — SharePoint, Teams, Purview compliance integration</w:t>
      </w:r>
    </w:p>
    <w:p/>
    <w:p>
      <w:pPr>
        <w:spacing w:before="80" w:after="80"/>
        <w:pBdr>
          <w:bottom w:val="single" w:sz="6" w:space="1" w:color="008B8B"/>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0A2C4A"/>
          </w:tcPr>
          <w:p>
            <w:pPr>
              <w:spacing w:before="160" w:after="160"/>
            </w:pPr>
            <w:r>
              <w:rPr>
                <w:rFonts w:ascii="Calibri" w:hAnsi="Calibri"/>
                <w:b/>
                <w:color w:val="FFFFFF"/>
                <w:sz w:val="18"/>
              </w:rPr>
              <w:t>processbi.com.au  |  info@processbi.com.au</w:t>
            </w:r>
          </w:p>
        </w:tc>
        <w:tc>
          <w:tcPr>
            <w:tcW w:type="dxa" w:w="4819"/>
            <w:shd w:val="clear" w:color="auto" w:fill="0A2C4A"/>
          </w:tcPr>
          <w:p>
            <w:pPr>
              <w:spacing w:before="160" w:after="160"/>
              <w:jc w:val="right"/>
            </w:pPr>
            <w:r>
              <w:rPr>
                <w:rFonts w:ascii="Calibri" w:hAnsi="Calibri"/>
                <w:color w:val="88AACC"/>
                <w:sz w:val="16"/>
              </w:rPr>
              <w:t>© ProcessBI 2026  |  CONFIDENTIAL</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