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A2C4A"/>
          </w:tcPr>
          <w:p>
            <w:pPr>
              <w:spacing w:before="400" w:after="80"/>
            </w:pPr>
            <w:r>
              <w:rPr>
                <w:rFonts w:ascii="Calibri" w:hAnsi="Calibri"/>
                <w:b/>
                <w:color w:val="FFFFFF"/>
                <w:sz w:val="72"/>
              </w:rPr>
              <w:t>ProcessBI</w:t>
            </w:r>
          </w:p>
          <w:p>
            <w:pPr>
              <w:spacing w:before="0" w:after="80"/>
            </w:pPr>
            <w:r>
              <w:rPr>
                <w:rFonts w:ascii="Calibri" w:hAnsi="Calibri"/>
                <w:b/>
                <w:color w:val="B0D0E8"/>
                <w:sz w:val="36"/>
              </w:rPr>
              <w:t>TENDER RESPONSE</w:t>
            </w:r>
          </w:p>
          <w:p>
            <w:pPr>
              <w:spacing w:before="0" w:after="400"/>
            </w:pPr>
            <w:r>
              <w:rPr>
                <w:rFonts w:ascii="Calibri" w:hAnsi="Calibri"/>
                <w:i/>
                <w:color w:val="88AACC"/>
                <w:sz w:val="26"/>
              </w:rPr>
              <w:t>[TENDER TITLE] — [AGENCY NAME]</w:t>
            </w:r>
          </w:p>
        </w:tc>
      </w:tr>
    </w:tbl>
    <w:p/>
    <w:tbl>
      <w:tblPr>
        <w:tblStyle w:val="TableGrid"/>
        <w:tblW w:type="auto" w:w="0"/>
        <w:tblLook w:firstColumn="1" w:firstRow="1" w:lastColumn="0" w:lastRow="0" w:noHBand="0" w:noVBand="1" w:val="04A0"/>
      </w:tblPr>
      <w:tblGrid>
        <w:gridCol w:w="4536"/>
        <w:gridCol w:w="4536"/>
      </w:tblGrid>
      <w:tr>
        <w:tc>
          <w:tcPr>
            <w:tcW w:type="dxa" w:w="4536"/>
            <w:shd w:val="clear" w:color="auto" w:fill="EBF4FA"/>
          </w:tcPr>
          <w:p>
            <w:pPr>
              <w:spacing w:before="80" w:after="80"/>
            </w:pPr>
            <w:r>
              <w:rPr>
                <w:rFonts w:ascii="Calibri" w:hAnsi="Calibri"/>
                <w:b/>
                <w:color w:val="0A2C4A"/>
                <w:sz w:val="20"/>
              </w:rPr>
              <w:t>Tender Reference</w:t>
            </w:r>
          </w:p>
        </w:tc>
        <w:tc>
          <w:tcPr>
            <w:tcW w:type="dxa" w:w="4536"/>
          </w:tcPr>
          <w:p>
            <w:pPr>
              <w:spacing w:before="80" w:after="80"/>
            </w:pPr>
            <w:r>
              <w:rPr>
                <w:rFonts w:ascii="Calibri" w:hAnsi="Calibri"/>
                <w:i/>
                <w:color w:val="CC5500"/>
                <w:sz w:val="20"/>
              </w:rPr>
              <w:t>[ATM/RFT/RFQ Reference Number]</w:t>
            </w:r>
          </w:p>
        </w:tc>
      </w:tr>
      <w:tr>
        <w:tc>
          <w:tcPr>
            <w:tcW w:type="dxa" w:w="4536"/>
            <w:shd w:val="clear" w:color="auto" w:fill="EBF4FA"/>
          </w:tcPr>
          <w:p>
            <w:pPr>
              <w:spacing w:before="80" w:after="80"/>
            </w:pPr>
            <w:r>
              <w:rPr>
                <w:rFonts w:ascii="Calibri" w:hAnsi="Calibri"/>
                <w:b/>
                <w:color w:val="0A2C4A"/>
                <w:sz w:val="20"/>
              </w:rPr>
              <w:t>Agency</w:t>
            </w:r>
          </w:p>
        </w:tc>
        <w:tc>
          <w:tcPr>
            <w:tcW w:type="dxa" w:w="4536"/>
          </w:tcPr>
          <w:p>
            <w:pPr>
              <w:spacing w:before="80" w:after="80"/>
            </w:pPr>
            <w:r>
              <w:rPr>
                <w:rFonts w:ascii="Calibri" w:hAnsi="Calibri"/>
                <w:i/>
                <w:color w:val="CC5500"/>
                <w:sz w:val="20"/>
              </w:rPr>
              <w:t>[Issuing Agency]</w:t>
            </w:r>
          </w:p>
        </w:tc>
      </w:tr>
      <w:tr>
        <w:tc>
          <w:tcPr>
            <w:tcW w:type="dxa" w:w="4536"/>
            <w:shd w:val="clear" w:color="auto" w:fill="EBF4FA"/>
          </w:tcPr>
          <w:p>
            <w:pPr>
              <w:spacing w:before="80" w:after="80"/>
            </w:pPr>
            <w:r>
              <w:rPr>
                <w:rFonts w:ascii="Calibri" w:hAnsi="Calibri"/>
                <w:b/>
                <w:color w:val="0A2C4A"/>
                <w:sz w:val="20"/>
              </w:rPr>
              <w:t>Submission Date</w:t>
            </w:r>
          </w:p>
        </w:tc>
        <w:tc>
          <w:tcPr>
            <w:tcW w:type="dxa" w:w="4536"/>
          </w:tcPr>
          <w:p>
            <w:pPr>
              <w:spacing w:before="80" w:after="80"/>
            </w:pPr>
            <w:r>
              <w:rPr>
                <w:rFonts w:ascii="Calibri" w:hAnsi="Calibri"/>
                <w:i/>
                <w:color w:val="CC5500"/>
                <w:sz w:val="20"/>
              </w:rPr>
              <w:t>[DD Month YYYY]</w:t>
            </w:r>
          </w:p>
        </w:tc>
      </w:tr>
      <w:tr>
        <w:tc>
          <w:tcPr>
            <w:tcW w:type="dxa" w:w="4536"/>
            <w:shd w:val="clear" w:color="auto" w:fill="EBF4FA"/>
          </w:tcPr>
          <w:p>
            <w:pPr>
              <w:spacing w:before="80" w:after="80"/>
            </w:pPr>
            <w:r>
              <w:rPr>
                <w:rFonts w:ascii="Calibri" w:hAnsi="Calibri"/>
                <w:b/>
                <w:color w:val="0A2C4A"/>
                <w:sz w:val="20"/>
              </w:rPr>
              <w:t>Prepared by</w:t>
            </w:r>
          </w:p>
        </w:tc>
        <w:tc>
          <w:tcPr>
            <w:tcW w:type="dxa" w:w="4536"/>
          </w:tcPr>
          <w:p>
            <w:pPr>
              <w:spacing w:before="80" w:after="80"/>
            </w:pPr>
            <w:r>
              <w:rPr>
                <w:rFonts w:ascii="Calibri" w:hAnsi="Calibri"/>
                <w:color w:val="1A1A2E"/>
                <w:sz w:val="20"/>
              </w:rPr>
              <w:t>ProcessBI Pty Ltd</w:t>
            </w:r>
          </w:p>
        </w:tc>
      </w:tr>
      <w:tr>
        <w:tc>
          <w:tcPr>
            <w:tcW w:type="dxa" w:w="4536"/>
            <w:shd w:val="clear" w:color="auto" w:fill="EBF4FA"/>
          </w:tcPr>
          <w:p>
            <w:pPr>
              <w:spacing w:before="80" w:after="80"/>
            </w:pPr>
            <w:r>
              <w:rPr>
                <w:rFonts w:ascii="Calibri" w:hAnsi="Calibri"/>
                <w:b/>
                <w:color w:val="0A2C4A"/>
                <w:sz w:val="20"/>
              </w:rPr>
              <w:t>Contact</w:t>
            </w:r>
          </w:p>
        </w:tc>
        <w:tc>
          <w:tcPr>
            <w:tcW w:type="dxa" w:w="4536"/>
          </w:tcPr>
          <w:p>
            <w:pPr>
              <w:spacing w:before="80" w:after="80"/>
            </w:pPr>
            <w:r>
              <w:rPr>
                <w:rFonts w:ascii="Calibri" w:hAnsi="Calibri"/>
                <w:i/>
                <w:color w:val="CC5500"/>
                <w:sz w:val="20"/>
              </w:rPr>
              <w:t>[Name] | [email] | [phone]</w:t>
            </w:r>
          </w:p>
        </w:tc>
      </w:tr>
    </w:tbl>
    <w:p>
      <w:r>
        <w:br w:type="page"/>
      </w:r>
    </w:p>
    <w:p>
      <w:pPr>
        <w:spacing w:before="240" w:after="80"/>
      </w:pPr>
      <w:r>
        <w:rPr>
          <w:rFonts w:ascii="Calibri" w:hAnsi="Calibri"/>
          <w:b/>
          <w:color w:val="0A2C4A"/>
          <w:sz w:val="32"/>
        </w:rPr>
        <w:t>1. Executive Summary</w:t>
      </w:r>
    </w:p>
    <w:p>
      <w:pPr>
        <w:spacing w:before="40" w:after="120" w:line="280" w:lineRule="exact"/>
      </w:pPr>
      <w:r>
        <w:rPr>
          <w:rFonts w:ascii="Calibri" w:hAnsi="Calibri"/>
          <w:b w:val="0"/>
          <w:color w:val="CC5500"/>
          <w:sz w:val="22"/>
        </w:rPr>
        <w:t>[Replace this section with the generated Executive Summary from tender-writer.py, or write directly. 3–4 paragraphs. Open with the agency's core challenge, position ProcessBI as the ideal partner, close with commitment and key outcomes.]</w:t>
      </w:r>
    </w:p>
    <w:p>
      <w:pPr>
        <w:spacing w:before="40" w:after="120" w:line="280" w:lineRule="exact"/>
      </w:pPr>
      <w:r>
        <w:rPr>
          <w:rFonts w:ascii="Calibri" w:hAnsi="Calibri"/>
          <w:i/>
          <w:color w:val="CC5500"/>
          <w:sz w:val="22"/>
        </w:rPr>
        <w:t>[EXECUTIVE SUMMARY — 250–350 words]</w:t>
      </w:r>
    </w:p>
    <w:p>
      <w:pPr>
        <w:spacing w:before="120" w:after="120"/>
        <w:pBdr>
          <w:bottom w:val="single" w:sz="6" w:space="1" w:color="008B8B"/>
        </w:pBdr>
      </w:pPr>
    </w:p>
    <w:p>
      <w:pPr>
        <w:spacing w:before="240" w:after="80"/>
      </w:pPr>
      <w:r>
        <w:rPr>
          <w:rFonts w:ascii="Calibri" w:hAnsi="Calibri"/>
          <w:b/>
          <w:color w:val="0A2C4A"/>
          <w:sz w:val="32"/>
        </w:rPr>
        <w:t>2. Understanding of Requirements</w:t>
      </w:r>
    </w:p>
    <w:p>
      <w:pPr>
        <w:spacing w:before="40" w:after="120" w:line="280" w:lineRule="exact"/>
      </w:pPr>
      <w:r>
        <w:rPr>
          <w:rFonts w:ascii="Calibri" w:hAnsi="Calibri"/>
          <w:b w:val="0"/>
          <w:color w:val="1A1A2E"/>
          <w:sz w:val="22"/>
        </w:rPr>
        <w:t>[Demonstrate that ProcessBI understands the specific requirements of this tender. Reference key phrases from the brief. Show alignment between the agency's needs and ProcessBI's capabilities.]</w:t>
      </w:r>
    </w:p>
    <w:p>
      <w:pPr>
        <w:spacing w:before="40" w:after="120" w:line="280" w:lineRule="exact"/>
      </w:pPr>
      <w:r>
        <w:rPr>
          <w:rFonts w:ascii="Calibri" w:hAnsi="Calibri"/>
          <w:i/>
          <w:color w:val="CC5500"/>
          <w:sz w:val="22"/>
        </w:rPr>
        <w:t>[REQUIREMENTS ANALYSIS — 150–250 words]</w:t>
      </w:r>
    </w:p>
    <w:p>
      <w:pPr>
        <w:spacing w:before="120" w:after="120"/>
        <w:pBdr>
          <w:bottom w:val="single" w:sz="6" w:space="1" w:color="008B8B"/>
        </w:pBdr>
      </w:pPr>
    </w:p>
    <w:p>
      <w:pPr>
        <w:spacing w:before="240" w:after="80"/>
      </w:pPr>
      <w:r>
        <w:rPr>
          <w:rFonts w:ascii="Calibri" w:hAnsi="Calibri"/>
          <w:b/>
          <w:color w:val="0A2C4A"/>
          <w:sz w:val="32"/>
        </w:rPr>
        <w:t>3. Proposed Methodology</w:t>
      </w:r>
    </w:p>
    <w:p>
      <w:pPr>
        <w:spacing w:before="120" w:after="20"/>
      </w:pPr>
      <w:r>
        <w:rPr>
          <w:rFonts w:ascii="Calibri" w:hAnsi="Calibri"/>
          <w:b/>
          <w:color w:val="008B8B"/>
          <w:sz w:val="22"/>
        </w:rPr>
        <w:t>Phase 1 — Process Discovery (Weeks 1–2)</w:t>
      </w:r>
    </w:p>
    <w:p>
      <w:pPr>
        <w:spacing w:before="20" w:after="80" w:line="280" w:lineRule="exact"/>
      </w:pPr>
      <w:r>
        <w:rPr>
          <w:rFonts w:ascii="Calibri" w:hAnsi="Calibri"/>
          <w:b w:val="0"/>
          <w:color w:val="1A1A2E"/>
          <w:sz w:val="20"/>
        </w:rPr>
        <w:t>Facilitated stakeholder workshops; structured interview capture; process inventory; as-is pain point identification and handoff analysis.</w:t>
      </w:r>
    </w:p>
    <w:p>
      <w:pPr>
        <w:spacing w:before="120" w:after="20"/>
      </w:pPr>
      <w:r>
        <w:rPr>
          <w:rFonts w:ascii="Calibri" w:hAnsi="Calibri"/>
          <w:b/>
          <w:color w:val="008B8B"/>
          <w:sz w:val="22"/>
        </w:rPr>
        <w:t>Phase 2 — Process Mapping (Weeks 2–3)</w:t>
      </w:r>
    </w:p>
    <w:p>
      <w:pPr>
        <w:spacing w:before="20" w:after="80" w:line="280" w:lineRule="exact"/>
      </w:pPr>
      <w:r>
        <w:rPr>
          <w:rFonts w:ascii="Calibri" w:hAnsi="Calibri"/>
          <w:b w:val="0"/>
          <w:color w:val="1A1A2E"/>
          <w:sz w:val="20"/>
        </w:rPr>
        <w:t>AI-accelerated BPMN 2.0 swimlane diagram generation; RACI matrix; SOP pack (human-reviewed); APRA CPS 230 material business service mapping.</w:t>
      </w:r>
    </w:p>
    <w:p>
      <w:pPr>
        <w:spacing w:before="120" w:after="20"/>
      </w:pPr>
      <w:r>
        <w:rPr>
          <w:rFonts w:ascii="Calibri" w:hAnsi="Calibri"/>
          <w:b/>
          <w:color w:val="008B8B"/>
          <w:sz w:val="22"/>
        </w:rPr>
        <w:t>Phase 3 — Automation Assessment (Weeks 3–4)</w:t>
      </w:r>
    </w:p>
    <w:p>
      <w:pPr>
        <w:spacing w:before="20" w:after="80" w:line="280" w:lineRule="exact"/>
      </w:pPr>
      <w:r>
        <w:rPr>
          <w:rFonts w:ascii="Calibri" w:hAnsi="Calibri"/>
          <w:b w:val="0"/>
          <w:color w:val="1A1A2E"/>
          <w:sz w:val="20"/>
        </w:rPr>
        <w:t>Per-step automation scoring (0–100); classification as automatable / human-in-loop / human-only; automation opportunity register.</w:t>
      </w:r>
    </w:p>
    <w:p>
      <w:pPr>
        <w:spacing w:before="120" w:after="20"/>
      </w:pPr>
      <w:r>
        <w:rPr>
          <w:rFonts w:ascii="Calibri" w:hAnsi="Calibri"/>
          <w:b/>
          <w:color w:val="008B8B"/>
          <w:sz w:val="22"/>
        </w:rPr>
        <w:t>Phase 4 — Blueprint &amp; Reporting (Week 4)</w:t>
      </w:r>
    </w:p>
    <w:p>
      <w:pPr>
        <w:spacing w:before="20" w:after="80" w:line="280" w:lineRule="exact"/>
      </w:pPr>
      <w:r>
        <w:rPr>
          <w:rFonts w:ascii="Calibri" w:hAnsi="Calibri"/>
          <w:b w:val="0"/>
          <w:color w:val="1A1A2E"/>
          <w:sz w:val="20"/>
        </w:rPr>
        <w:t>Tool-specific automation recommendations (Power Automate, ServiceNow, RPA); ROI projection (effort saved, error reduction, cycle time improvement); Power BI process intelligence dashboard.</w:t>
      </w:r>
    </w:p>
    <w:p>
      <w:pPr>
        <w:spacing w:before="40" w:after="120" w:line="280" w:lineRule="exact"/>
      </w:pPr>
      <w:r>
        <w:rPr>
          <w:rFonts w:ascii="Calibri" w:hAnsi="Calibri"/>
          <w:i/>
          <w:color w:val="CC5500"/>
          <w:sz w:val="22"/>
        </w:rPr>
        <w:t>[METHODOLOGY — expand phases to align with tender requirements — 400–600 words]</w:t>
      </w:r>
    </w:p>
    <w:p>
      <w:pPr>
        <w:spacing w:before="120" w:after="120"/>
        <w:pBdr>
          <w:bottom w:val="single" w:sz="6" w:space="1" w:color="008B8B"/>
        </w:pBdr>
      </w:pPr>
    </w:p>
    <w:p>
      <w:pPr>
        <w:spacing w:before="240" w:after="80"/>
      </w:pPr>
      <w:r>
        <w:rPr>
          <w:rFonts w:ascii="Calibri" w:hAnsi="Calibri"/>
          <w:b/>
          <w:color w:val="0A2C4A"/>
          <w:sz w:val="32"/>
        </w:rPr>
        <w:t>4. Team &amp; Experience</w:t>
      </w:r>
    </w:p>
    <w:p>
      <w:pPr>
        <w:spacing w:before="40" w:after="120" w:line="280" w:lineRule="exact"/>
      </w:pPr>
      <w:r>
        <w:rPr>
          <w:rFonts w:ascii="Calibri" w:hAnsi="Calibri"/>
          <w:b w:val="0"/>
          <w:color w:val="1A1A2E"/>
          <w:sz w:val="22"/>
        </w:rPr>
        <w:t>[Describe the delivery team composition and relevant experience. Include role descriptions, credentials, and relevant sector experience. Add specific team member bios as required by the tender.]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A2C4A"/>
          </w:tcPr>
          <w:p>
            <w:pPr>
              <w:spacing w:before="80" w:after="80"/>
            </w:pPr>
            <w:r>
              <w:rPr>
                <w:rFonts w:ascii="Calibri" w:hAnsi="Calibri"/>
                <w:b/>
                <w:color w:val="FFFFFF"/>
                <w:sz w:val="20"/>
              </w:rPr>
              <w:t>Role</w:t>
            </w:r>
          </w:p>
        </w:tc>
        <w:tc>
          <w:tcPr>
            <w:tcW w:type="dxa" w:w="3024"/>
            <w:shd w:val="clear" w:color="auto" w:fill="0A2C4A"/>
          </w:tcPr>
          <w:p>
            <w:pPr>
              <w:spacing w:before="80" w:after="80"/>
            </w:pPr>
            <w:r>
              <w:rPr>
                <w:rFonts w:ascii="Calibri" w:hAnsi="Calibri"/>
                <w:b/>
                <w:color w:val="FFFFFF"/>
                <w:sz w:val="20"/>
              </w:rPr>
              <w:t>Responsibility</w:t>
            </w:r>
          </w:p>
        </w:tc>
        <w:tc>
          <w:tcPr>
            <w:tcW w:type="dxa" w:w="3024"/>
            <w:shd w:val="clear" w:color="auto" w:fill="0A2C4A"/>
          </w:tcPr>
          <w:p>
            <w:pPr>
              <w:spacing w:before="80" w:after="80"/>
            </w:pPr>
            <w:r>
              <w:rPr>
                <w:rFonts w:ascii="Calibri" w:hAnsi="Calibri"/>
                <w:b/>
                <w:color w:val="FFFFFF"/>
                <w:sz w:val="20"/>
              </w:rPr>
              <w:t>Credentials</w:t>
            </w:r>
          </w:p>
        </w:tc>
      </w:tr>
      <w:tr>
        <w:tc>
          <w:tcPr>
            <w:tcW w:type="dxa" w:w="3024"/>
            <w:shd w:val="clear" w:color="auto" w:fill="EBF4FA"/>
          </w:tcPr>
          <w:p>
            <w:pPr>
              <w:spacing w:before="60" w:after="60"/>
            </w:pPr>
            <w:r>
              <w:rPr>
                <w:rFonts w:ascii="Calibri" w:hAnsi="Calibri"/>
                <w:b/>
                <w:color w:val="0A2C4A"/>
                <w:sz w:val="18"/>
              </w:rPr>
              <w:t>Engagement Lead</w:t>
            </w:r>
          </w:p>
        </w:tc>
        <w:tc>
          <w:tcPr>
            <w:tcW w:type="dxa" w:w="3024"/>
            <w:shd w:val="clear" w:color="auto" w:fill="EBF4FA"/>
          </w:tcPr>
          <w:p>
            <w:pPr>
              <w:spacing w:before="60" w:after="60"/>
            </w:pPr>
            <w:r>
              <w:rPr>
                <w:rFonts w:ascii="Calibri" w:hAnsi="Calibri"/>
                <w:color w:val="1A1A2E"/>
                <w:sz w:val="18"/>
              </w:rPr>
              <w:t>Overall delivery accountability; client relationship; executive reporting</w:t>
            </w:r>
          </w:p>
        </w:tc>
        <w:tc>
          <w:tcPr>
            <w:tcW w:type="dxa" w:w="3024"/>
            <w:shd w:val="clear" w:color="auto" w:fill="EBF4FA"/>
          </w:tcPr>
          <w:p>
            <w:pPr>
              <w:spacing w:before="60" w:after="60"/>
            </w:pPr>
            <w:r>
              <w:rPr>
                <w:rFonts w:ascii="Calibri" w:hAnsi="Calibri"/>
                <w:i/>
                <w:color w:val="CC5500"/>
                <w:sz w:val="18"/>
              </w:rPr>
              <w:t>[Name] — [credentials]</w:t>
            </w:r>
          </w:p>
        </w:tc>
      </w:tr>
      <w:tr>
        <w:tc>
          <w:tcPr>
            <w:tcW w:type="dxa" w:w="3024"/>
            <w:shd w:val="clear" w:color="auto" w:fill="FFFFFF"/>
          </w:tcPr>
          <w:p>
            <w:pPr>
              <w:spacing w:before="60" w:after="60"/>
            </w:pPr>
            <w:r>
              <w:rPr>
                <w:rFonts w:ascii="Calibri" w:hAnsi="Calibri"/>
                <w:b/>
                <w:color w:val="0A2C4A"/>
                <w:sz w:val="18"/>
              </w:rPr>
              <w:t>Process Analyst</w:t>
            </w:r>
          </w:p>
        </w:tc>
        <w:tc>
          <w:tcPr>
            <w:tcW w:type="dxa" w:w="3024"/>
            <w:shd w:val="clear" w:color="auto" w:fill="FFFFFF"/>
          </w:tcPr>
          <w:p>
            <w:pPr>
              <w:spacing w:before="60" w:after="60"/>
            </w:pPr>
            <w:r>
              <w:rPr>
                <w:rFonts w:ascii="Calibri" w:hAnsi="Calibri"/>
                <w:color w:val="1A1A2E"/>
                <w:sz w:val="18"/>
              </w:rPr>
              <w:t>Workshop facilitation; BPMN mapping; SOP generation</w:t>
            </w:r>
          </w:p>
        </w:tc>
        <w:tc>
          <w:tcPr>
            <w:tcW w:type="dxa" w:w="3024"/>
            <w:shd w:val="clear" w:color="auto" w:fill="FFFFFF"/>
          </w:tcPr>
          <w:p>
            <w:pPr>
              <w:spacing w:before="60" w:after="60"/>
            </w:pPr>
            <w:r>
              <w:rPr>
                <w:rFonts w:ascii="Calibri" w:hAnsi="Calibri"/>
                <w:color w:val="1A1A2E"/>
                <w:sz w:val="18"/>
              </w:rPr>
              <w:t>BPMN 2.0 certified; [relevant sector] experience</w:t>
            </w:r>
          </w:p>
        </w:tc>
      </w:tr>
      <w:tr>
        <w:tc>
          <w:tcPr>
            <w:tcW w:type="dxa" w:w="3024"/>
            <w:shd w:val="clear" w:color="auto" w:fill="EBF4FA"/>
          </w:tcPr>
          <w:p>
            <w:pPr>
              <w:spacing w:before="60" w:after="60"/>
            </w:pPr>
            <w:r>
              <w:rPr>
                <w:rFonts w:ascii="Calibri" w:hAnsi="Calibri"/>
                <w:b/>
                <w:color w:val="0A2C4A"/>
                <w:sz w:val="18"/>
              </w:rPr>
              <w:t>Automation Specialist</w:t>
            </w:r>
          </w:p>
        </w:tc>
        <w:tc>
          <w:tcPr>
            <w:tcW w:type="dxa" w:w="3024"/>
            <w:shd w:val="clear" w:color="auto" w:fill="EBF4FA"/>
          </w:tcPr>
          <w:p>
            <w:pPr>
              <w:spacing w:before="60" w:after="60"/>
            </w:pPr>
            <w:r>
              <w:rPr>
                <w:rFonts w:ascii="Calibri" w:hAnsi="Calibri"/>
                <w:color w:val="1A1A2E"/>
                <w:sz w:val="18"/>
              </w:rPr>
              <w:t>Automation scoring; Power Automate blueprint; implementation oversight</w:t>
            </w:r>
          </w:p>
        </w:tc>
        <w:tc>
          <w:tcPr>
            <w:tcW w:type="dxa" w:w="3024"/>
            <w:shd w:val="clear" w:color="auto" w:fill="EBF4FA"/>
          </w:tcPr>
          <w:p>
            <w:pPr>
              <w:spacing w:before="60" w:after="60"/>
            </w:pPr>
            <w:r>
              <w:rPr>
                <w:rFonts w:ascii="Calibri" w:hAnsi="Calibri"/>
                <w:color w:val="1A1A2E"/>
                <w:sz w:val="18"/>
              </w:rPr>
              <w:t>Microsoft Power Platform certified</w:t>
            </w:r>
          </w:p>
        </w:tc>
      </w:tr>
      <w:tr>
        <w:tc>
          <w:tcPr>
            <w:tcW w:type="dxa" w:w="3024"/>
            <w:shd w:val="clear" w:color="auto" w:fill="FFFFFF"/>
          </w:tcPr>
          <w:p>
            <w:pPr>
              <w:spacing w:before="60" w:after="60"/>
            </w:pPr>
            <w:r>
              <w:rPr>
                <w:rFonts w:ascii="Calibri" w:hAnsi="Calibri"/>
                <w:b/>
                <w:color w:val="0A2C4A"/>
                <w:sz w:val="18"/>
              </w:rPr>
              <w:t>Data/BI Engineer</w:t>
            </w:r>
          </w:p>
        </w:tc>
        <w:tc>
          <w:tcPr>
            <w:tcW w:type="dxa" w:w="3024"/>
            <w:shd w:val="clear" w:color="auto" w:fill="FFFFFF"/>
          </w:tcPr>
          <w:p>
            <w:pPr>
              <w:spacing w:before="60" w:after="60"/>
            </w:pPr>
            <w:r>
              <w:rPr>
                <w:rFonts w:ascii="Calibri" w:hAnsi="Calibri"/>
                <w:color w:val="1A1A2E"/>
                <w:sz w:val="18"/>
              </w:rPr>
              <w:t>Power BI report development; Fabric integration; semantic model design</w:t>
            </w:r>
          </w:p>
        </w:tc>
        <w:tc>
          <w:tcPr>
            <w:tcW w:type="dxa" w:w="3024"/>
            <w:shd w:val="clear" w:color="auto" w:fill="FFFFFF"/>
          </w:tcPr>
          <w:p>
            <w:pPr>
              <w:spacing w:before="60" w:after="60"/>
            </w:pPr>
            <w:r>
              <w:rPr>
                <w:rFonts w:ascii="Calibri" w:hAnsi="Calibri"/>
                <w:color w:val="1A1A2E"/>
                <w:sz w:val="18"/>
              </w:rPr>
              <w:t>Microsoft Fabric certified; Power BI expert</w:t>
            </w:r>
          </w:p>
        </w:tc>
      </w:tr>
    </w:tbl>
    <w:p/>
    <w:p>
      <w:pPr>
        <w:spacing w:before="40" w:after="120" w:line="280" w:lineRule="exact"/>
      </w:pPr>
      <w:r>
        <w:rPr>
          <w:rFonts w:ascii="Calibri" w:hAnsi="Calibri"/>
          <w:i/>
          <w:color w:val="CC5500"/>
          <w:sz w:val="22"/>
        </w:rPr>
        <w:t>[TEAM BIOS — attach CVs as required by tender]</w:t>
      </w:r>
    </w:p>
    <w:p>
      <w:pPr>
        <w:spacing w:before="120" w:after="120"/>
        <w:pBdr>
          <w:bottom w:val="single" w:sz="6" w:space="1" w:color="008B8B"/>
        </w:pBdr>
      </w:pPr>
    </w:p>
    <w:p>
      <w:pPr>
        <w:spacing w:before="240" w:after="80"/>
      </w:pPr>
      <w:r>
        <w:rPr>
          <w:rFonts w:ascii="Calibri" w:hAnsi="Calibri"/>
          <w:b/>
          <w:color w:val="0A2C4A"/>
          <w:sz w:val="32"/>
        </w:rPr>
        <w:t>5. Pricing Approach</w:t>
      </w:r>
    </w:p>
    <w:p>
      <w:pPr>
        <w:spacing w:before="40" w:after="120" w:line="280" w:lineRule="exact"/>
      </w:pPr>
      <w:r>
        <w:rPr>
          <w:rFonts w:ascii="Calibri" w:hAnsi="Calibri"/>
          <w:b w:val="0"/>
          <w:color w:val="1A1A2E"/>
          <w:sz w:val="22"/>
        </w:rPr>
        <w:t>ProcessBI prices on an outcome-basis with modular engagement tiers. A detailed Schedule of Rates / Bill of Quantities is provided in the attached Pricing Schedule.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A2C4A"/>
          </w:tcPr>
          <w:p>
            <w:pPr>
              <w:spacing w:before="80" w:after="80"/>
            </w:pPr>
            <w:r>
              <w:rPr>
                <w:rFonts w:ascii="Calibri" w:hAnsi="Calibri"/>
                <w:b/>
                <w:color w:val="FFFFFF"/>
                <w:sz w:val="20"/>
              </w:rPr>
              <w:t>Service Module</w:t>
            </w:r>
          </w:p>
        </w:tc>
        <w:tc>
          <w:tcPr>
            <w:tcW w:type="dxa" w:w="3024"/>
            <w:shd w:val="clear" w:color="auto" w:fill="0A2C4A"/>
          </w:tcPr>
          <w:p>
            <w:pPr>
              <w:spacing w:before="80" w:after="80"/>
            </w:pPr>
            <w:r>
              <w:rPr>
                <w:rFonts w:ascii="Calibri" w:hAnsi="Calibri"/>
                <w:b/>
                <w:color w:val="FFFFFF"/>
                <w:sz w:val="20"/>
              </w:rPr>
              <w:t>Investment Range</w:t>
            </w:r>
          </w:p>
        </w:tc>
        <w:tc>
          <w:tcPr>
            <w:tcW w:type="dxa" w:w="3024"/>
            <w:shd w:val="clear" w:color="auto" w:fill="0A2C4A"/>
          </w:tcPr>
          <w:p>
            <w:pPr>
              <w:spacing w:before="80" w:after="80"/>
            </w:pPr>
            <w:r>
              <w:rPr>
                <w:rFonts w:ascii="Calibri" w:hAnsi="Calibri"/>
                <w:b/>
                <w:color w:val="FFFFFF"/>
                <w:sz w:val="20"/>
              </w:rPr>
              <w:t>Duration</w:t>
            </w:r>
          </w:p>
        </w:tc>
      </w:tr>
      <w:tr>
        <w:tc>
          <w:tcPr>
            <w:tcW w:type="dxa" w:w="3024"/>
            <w:shd w:val="clear" w:color="auto" w:fill="EBF4FA"/>
          </w:tcPr>
          <w:p>
            <w:pPr>
              <w:spacing w:before="80" w:after="80"/>
            </w:pPr>
            <w:r>
              <w:rPr>
                <w:rFonts w:ascii="Calibri" w:hAnsi="Calibri"/>
                <w:b/>
                <w:color w:val="0A2C4A"/>
                <w:sz w:val="20"/>
              </w:rPr>
              <w:t>Process Discovery Workshop</w:t>
            </w:r>
          </w:p>
        </w:tc>
        <w:tc>
          <w:tcPr>
            <w:tcW w:type="dxa" w:w="3024"/>
            <w:shd w:val="clear" w:color="auto" w:fill="EBF4FA"/>
          </w:tcPr>
          <w:p>
            <w:pPr>
              <w:spacing w:before="80" w:after="80"/>
            </w:pPr>
            <w:r>
              <w:rPr>
                <w:rFonts w:ascii="Calibri" w:hAnsi="Calibri"/>
                <w:b/>
                <w:color w:val="008B8B"/>
                <w:sz w:val="20"/>
              </w:rPr>
              <w:t>$5,000 – $15,000</w:t>
            </w:r>
          </w:p>
        </w:tc>
        <w:tc>
          <w:tcPr>
            <w:tcW w:type="dxa" w:w="3024"/>
            <w:shd w:val="clear" w:color="auto" w:fill="EBF4FA"/>
          </w:tcPr>
          <w:p>
            <w:pPr>
              <w:spacing w:before="80" w:after="80"/>
            </w:pPr>
            <w:r>
              <w:rPr>
                <w:rFonts w:ascii="Calibri" w:hAnsi="Calibri"/>
                <w:color w:val="1A1A2E"/>
                <w:sz w:val="20"/>
              </w:rPr>
              <w:t>1–2 days</w:t>
            </w:r>
          </w:p>
        </w:tc>
      </w:tr>
      <w:tr>
        <w:tc>
          <w:tcPr>
            <w:tcW w:type="dxa" w:w="3024"/>
            <w:shd w:val="clear" w:color="auto" w:fill="FFFFFF"/>
          </w:tcPr>
          <w:p>
            <w:pPr>
              <w:spacing w:before="80" w:after="80"/>
            </w:pPr>
            <w:r>
              <w:rPr>
                <w:rFonts w:ascii="Calibri" w:hAnsi="Calibri"/>
                <w:b/>
                <w:color w:val="0A2C4A"/>
                <w:sz w:val="20"/>
              </w:rPr>
              <w:t>Process Map + Automation Blueprint</w:t>
            </w:r>
          </w:p>
        </w:tc>
        <w:tc>
          <w:tcPr>
            <w:tcW w:type="dxa" w:w="3024"/>
            <w:shd w:val="clear" w:color="auto" w:fill="FFFFFF"/>
          </w:tcPr>
          <w:p>
            <w:pPr>
              <w:spacing w:before="80" w:after="80"/>
            </w:pPr>
            <w:r>
              <w:rPr>
                <w:rFonts w:ascii="Calibri" w:hAnsi="Calibri"/>
                <w:b/>
                <w:color w:val="008B8B"/>
                <w:sz w:val="20"/>
              </w:rPr>
              <w:t>$15,000 – $40,000</w:t>
            </w:r>
          </w:p>
        </w:tc>
        <w:tc>
          <w:tcPr>
            <w:tcW w:type="dxa" w:w="3024"/>
            <w:shd w:val="clear" w:color="auto" w:fill="FFFFFF"/>
          </w:tcPr>
          <w:p>
            <w:pPr>
              <w:spacing w:before="80" w:after="80"/>
            </w:pPr>
            <w:r>
              <w:rPr>
                <w:rFonts w:ascii="Calibri" w:hAnsi="Calibri"/>
                <w:color w:val="1A1A2E"/>
                <w:sz w:val="20"/>
              </w:rPr>
              <w:t>3–4 weeks</w:t>
            </w:r>
          </w:p>
        </w:tc>
      </w:tr>
      <w:tr>
        <w:tc>
          <w:tcPr>
            <w:tcW w:type="dxa" w:w="3024"/>
            <w:shd w:val="clear" w:color="auto" w:fill="EBF4FA"/>
          </w:tcPr>
          <w:p>
            <w:pPr>
              <w:spacing w:before="80" w:after="80"/>
            </w:pPr>
            <w:r>
              <w:rPr>
                <w:rFonts w:ascii="Calibri" w:hAnsi="Calibri"/>
                <w:b/>
                <w:color w:val="0A2C4A"/>
                <w:sz w:val="20"/>
              </w:rPr>
              <w:t>Reporting Suite Implementation</w:t>
            </w:r>
          </w:p>
        </w:tc>
        <w:tc>
          <w:tcPr>
            <w:tcW w:type="dxa" w:w="3024"/>
            <w:shd w:val="clear" w:color="auto" w:fill="EBF4FA"/>
          </w:tcPr>
          <w:p>
            <w:pPr>
              <w:spacing w:before="80" w:after="80"/>
            </w:pPr>
            <w:r>
              <w:rPr>
                <w:rFonts w:ascii="Calibri" w:hAnsi="Calibri"/>
                <w:b/>
                <w:color w:val="008B8B"/>
                <w:sz w:val="20"/>
              </w:rPr>
              <w:t>$20,000 – $80,000</w:t>
            </w:r>
          </w:p>
        </w:tc>
        <w:tc>
          <w:tcPr>
            <w:tcW w:type="dxa" w:w="3024"/>
            <w:shd w:val="clear" w:color="auto" w:fill="EBF4FA"/>
          </w:tcPr>
          <w:p>
            <w:pPr>
              <w:spacing w:before="80" w:after="80"/>
            </w:pPr>
            <w:r>
              <w:rPr>
                <w:rFonts w:ascii="Calibri" w:hAnsi="Calibri"/>
                <w:color w:val="1A1A2E"/>
                <w:sz w:val="20"/>
              </w:rPr>
              <w:t>4–8 weeks</w:t>
            </w:r>
          </w:p>
        </w:tc>
      </w:tr>
      <w:tr>
        <w:tc>
          <w:tcPr>
            <w:tcW w:type="dxa" w:w="3024"/>
            <w:shd w:val="clear" w:color="auto" w:fill="FFFFFF"/>
          </w:tcPr>
          <w:p>
            <w:pPr>
              <w:spacing w:before="80" w:after="80"/>
            </w:pPr>
            <w:r>
              <w:rPr>
                <w:rFonts w:ascii="Calibri" w:hAnsi="Calibri"/>
                <w:b/>
                <w:color w:val="0A2C4A"/>
                <w:sz w:val="20"/>
              </w:rPr>
              <w:t>Ongoing Monitoring Retainer</w:t>
            </w:r>
          </w:p>
        </w:tc>
        <w:tc>
          <w:tcPr>
            <w:tcW w:type="dxa" w:w="3024"/>
            <w:shd w:val="clear" w:color="auto" w:fill="FFFFFF"/>
          </w:tcPr>
          <w:p>
            <w:pPr>
              <w:spacing w:before="80" w:after="80"/>
            </w:pPr>
            <w:r>
              <w:rPr>
                <w:rFonts w:ascii="Calibri" w:hAnsi="Calibri"/>
                <w:b/>
                <w:color w:val="008B8B"/>
                <w:sz w:val="20"/>
              </w:rPr>
              <w:t>$3,000 – $8,000/month</w:t>
            </w:r>
          </w:p>
        </w:tc>
        <w:tc>
          <w:tcPr>
            <w:tcW w:type="dxa" w:w="3024"/>
            <w:shd w:val="clear" w:color="auto" w:fill="FFFFFF"/>
          </w:tcPr>
          <w:p>
            <w:pPr>
              <w:spacing w:before="80" w:after="80"/>
            </w:pPr>
            <w:r>
              <w:rPr>
                <w:rFonts w:ascii="Calibri" w:hAnsi="Calibri"/>
                <w:color w:val="1A1A2E"/>
                <w:sz w:val="20"/>
              </w:rPr>
              <w:t>Ongoing</w:t>
            </w:r>
          </w:p>
        </w:tc>
      </w:tr>
    </w:tbl>
    <w:p/>
    <w:p>
      <w:pPr>
        <w:spacing w:before="40" w:after="120" w:line="280" w:lineRule="exact"/>
      </w:pPr>
      <w:r>
        <w:rPr>
          <w:rFonts w:ascii="Calibri" w:hAnsi="Calibri"/>
          <w:i/>
          <w:color w:val="CC5500"/>
          <w:sz w:val="22"/>
        </w:rPr>
        <w:t>[Insert tender-specific pricing schedule. Reference tender pricing format required.]</w:t>
      </w:r>
    </w:p>
    <w:p>
      <w:pPr>
        <w:spacing w:before="120" w:after="120"/>
        <w:pBdr>
          <w:bottom w:val="single" w:sz="6" w:space="1" w:color="008B8B"/>
        </w:pBdr>
      </w:pPr>
    </w:p>
    <w:p>
      <w:pPr>
        <w:spacing w:before="240" w:after="80"/>
      </w:pPr>
      <w:r>
        <w:rPr>
          <w:rFonts w:ascii="Calibri" w:hAnsi="Calibri"/>
          <w:b/>
          <w:color w:val="0A2C4A"/>
          <w:sz w:val="32"/>
        </w:rPr>
        <w:t>6. Innovation &amp; Value-Add</w:t>
      </w:r>
    </w:p>
    <w:p>
      <w:pPr>
        <w:spacing w:before="40" w:after="120" w:line="280" w:lineRule="exact"/>
      </w:pPr>
      <w:r>
        <w:rPr>
          <w:rFonts w:ascii="Calibri" w:hAnsi="Calibri"/>
          <w:b w:val="0"/>
          <w:color w:val="1A1A2E"/>
          <w:sz w:val="22"/>
        </w:rPr>
        <w:t>[Describe ProcessBI's innovative approach and unique value-add beyond the base requirements. Lead with: integrated engagement model, Microsoft Fabric live intelligence layer, AI-accelerated delivery, knowledge transfer and client capability uplift.]</w:t>
      </w:r>
    </w:p>
    <w:p>
      <w:pPr>
        <w:spacing w:before="40" w:after="120" w:line="280" w:lineRule="exact"/>
      </w:pPr>
      <w:r>
        <w:rPr>
          <w:rFonts w:ascii="Calibri" w:hAnsi="Calibri"/>
          <w:i/>
          <w:color w:val="CC5500"/>
          <w:sz w:val="22"/>
        </w:rPr>
        <w:t>[INNOVATION SECTION — 250–350 words]</w:t>
      </w:r>
    </w:p>
    <w:p>
      <w:pPr>
        <w:spacing w:before="120" w:after="120"/>
        <w:pBdr>
          <w:bottom w:val="single" w:sz="6" w:space="1" w:color="008B8B"/>
        </w:pBdr>
      </w:pPr>
    </w:p>
    <w:p>
      <w:pPr>
        <w:spacing w:before="240" w:after="80"/>
      </w:pPr>
      <w:r>
        <w:rPr>
          <w:rFonts w:ascii="Calibri" w:hAnsi="Calibri"/>
          <w:b/>
          <w:color w:val="0A2C4A"/>
          <w:sz w:val="32"/>
        </w:rPr>
        <w:t>7. References &amp; Past Experience</w:t>
      </w:r>
    </w:p>
    <w:tbl>
      <w:tblPr>
        <w:tblStyle w:val="TableGrid"/>
        <w:tblW w:type="auto" w:w="0"/>
        <w:tblLook w:firstColumn="1" w:firstRow="1" w:lastColumn="0" w:lastRow="0" w:noHBand="0" w:noVBand="1" w:val="04A0"/>
      </w:tblPr>
      <w:tblGrid>
        <w:gridCol w:w="4536"/>
        <w:gridCol w:w="4536"/>
      </w:tblGrid>
      <w:tr>
        <w:tc>
          <w:tcPr>
            <w:tcW w:type="dxa" w:w="4536"/>
            <w:shd w:val="clear" w:color="auto" w:fill="0A2C4A"/>
          </w:tcPr>
          <w:p>
            <w:pPr>
              <w:spacing w:before="80" w:after="80"/>
            </w:pPr>
            <w:r>
              <w:rPr>
                <w:rFonts w:ascii="Calibri" w:hAnsi="Calibri"/>
                <w:b/>
                <w:color w:val="FFFFFF"/>
                <w:sz w:val="20"/>
              </w:rPr>
              <w:t>Project</w:t>
            </w:r>
          </w:p>
        </w:tc>
        <w:tc>
          <w:tcPr>
            <w:tcW w:type="dxa" w:w="4536"/>
            <w:shd w:val="clear" w:color="auto" w:fill="0A2C4A"/>
          </w:tcPr>
          <w:p>
            <w:pPr>
              <w:spacing w:before="80" w:after="80"/>
            </w:pPr>
            <w:r>
              <w:rPr>
                <w:rFonts w:ascii="Calibri" w:hAnsi="Calibri"/>
                <w:b/>
                <w:color w:val="FFFFFF"/>
                <w:sz w:val="20"/>
              </w:rPr>
              <w:t>Details</w:t>
            </w:r>
          </w:p>
        </w:tc>
      </w:tr>
      <w:tr>
        <w:tc>
          <w:tcPr>
            <w:tcW w:type="dxa" w:w="4536"/>
            <w:shd w:val="clear" w:color="auto" w:fill="EBF4FA"/>
          </w:tcPr>
          <w:p>
            <w:pPr>
              <w:spacing w:before="80" w:after="80"/>
            </w:pPr>
            <w:r>
              <w:rPr>
                <w:rFonts w:ascii="Calibri" w:hAnsi="Calibri"/>
                <w:b/>
                <w:i/>
                <w:color w:val="CC5500"/>
                <w:sz w:val="20"/>
              </w:rPr>
              <w:t>[Client Name — anonymised if required]</w:t>
            </w:r>
          </w:p>
        </w:tc>
        <w:tc>
          <w:tcPr>
            <w:tcW w:type="dxa" w:w="4536"/>
            <w:shd w:val="clear" w:color="auto" w:fill="EBF4FA"/>
          </w:tcPr>
          <w:p>
            <w:pPr>
              <w:spacing w:before="80" w:after="80"/>
            </w:pPr>
            <w:r>
              <w:rPr>
                <w:rFonts w:ascii="Calibri" w:hAnsi="Calibri"/>
                <w:i/>
                <w:color w:val="CC5500"/>
                <w:sz w:val="18"/>
              </w:rPr>
              <w:t>[Project: e.g. APRA CPS 230 Process Mapping | Sector: Financial Services | Duration: 4 weeks | Value: $35,000]</w:t>
            </w:r>
          </w:p>
        </w:tc>
      </w:tr>
      <w:tr>
        <w:tc>
          <w:tcPr>
            <w:tcW w:type="dxa" w:w="4536"/>
            <w:shd w:val="clear" w:color="auto" w:fill="FFFFFF"/>
          </w:tcPr>
          <w:p>
            <w:pPr>
              <w:spacing w:before="80" w:after="80"/>
            </w:pPr>
            <w:r>
              <w:rPr>
                <w:rFonts w:ascii="Calibri" w:hAnsi="Calibri"/>
                <w:b/>
                <w:i/>
                <w:color w:val="CC5500"/>
                <w:sz w:val="20"/>
              </w:rPr>
              <w:t>[Client Name]</w:t>
            </w:r>
          </w:p>
        </w:tc>
        <w:tc>
          <w:tcPr>
            <w:tcW w:type="dxa" w:w="4536"/>
            <w:shd w:val="clear" w:color="auto" w:fill="FFFFFF"/>
          </w:tcPr>
          <w:p>
            <w:pPr>
              <w:spacing w:before="80" w:after="80"/>
            </w:pPr>
            <w:r>
              <w:rPr>
                <w:rFonts w:ascii="Calibri" w:hAnsi="Calibri"/>
                <w:i/>
                <w:color w:val="CC5500"/>
                <w:sz w:val="18"/>
              </w:rPr>
              <w:t>[Project | Sector | Duration | Value]</w:t>
            </w:r>
          </w:p>
        </w:tc>
      </w:tr>
      <w:tr>
        <w:tc>
          <w:tcPr>
            <w:tcW w:type="dxa" w:w="4536"/>
            <w:shd w:val="clear" w:color="auto" w:fill="EBF4FA"/>
          </w:tcPr>
          <w:p>
            <w:pPr>
              <w:spacing w:before="80" w:after="80"/>
            </w:pPr>
            <w:r>
              <w:rPr>
                <w:rFonts w:ascii="Calibri" w:hAnsi="Calibri"/>
                <w:b/>
                <w:i/>
                <w:color w:val="CC5500"/>
                <w:sz w:val="20"/>
              </w:rPr>
              <w:t>[Client Name]</w:t>
            </w:r>
          </w:p>
        </w:tc>
        <w:tc>
          <w:tcPr>
            <w:tcW w:type="dxa" w:w="4536"/>
            <w:shd w:val="clear" w:color="auto" w:fill="EBF4FA"/>
          </w:tcPr>
          <w:p>
            <w:pPr>
              <w:spacing w:before="80" w:after="80"/>
            </w:pPr>
            <w:r>
              <w:rPr>
                <w:rFonts w:ascii="Calibri" w:hAnsi="Calibri"/>
                <w:i/>
                <w:color w:val="CC5500"/>
                <w:sz w:val="18"/>
              </w:rPr>
              <w:t>[Project | Sector | Duration | Value]</w:t>
            </w:r>
          </w:p>
        </w:tc>
      </w:tr>
    </w:tbl>
    <w:p/>
    <w:p>
      <w:pPr>
        <w:spacing w:before="120" w:after="120"/>
        <w:pBdr>
          <w:bottom w:val="single" w:sz="6" w:space="1" w:color="008B8B"/>
        </w:pBdr>
      </w:pPr>
    </w:p>
    <w:p>
      <w:pPr>
        <w:spacing w:before="160" w:after="120" w:line="280" w:lineRule="exact"/>
      </w:pPr>
      <w:r>
        <w:rPr>
          <w:rFonts w:ascii="Calibri" w:hAnsi="Calibri"/>
          <w:b w:val="0"/>
          <w:color w:val="999999"/>
          <w:sz w:val="20"/>
        </w:rPr>
        <w:t>This tender response has been prepared by ProcessBI and is accurate as at the submission date. ProcessBI is committed to delivering the outcomes described in this submission and is available for clarification meetings or presentations at the agency's request.</w:t>
      </w:r>
    </w:p>
    <w:tbl>
      <w:tblPr>
        <w:tblStyle w:val="TableGrid"/>
        <w:tblW w:type="auto" w:w="0"/>
        <w:tblLook w:firstColumn="1" w:firstRow="1" w:lastColumn="0" w:lastRow="0" w:noHBand="0" w:noVBand="1" w:val="04A0"/>
      </w:tblPr>
      <w:tblGrid>
        <w:gridCol w:w="4536"/>
        <w:gridCol w:w="4536"/>
      </w:tblGrid>
      <w:tr>
        <w:tc>
          <w:tcPr>
            <w:tcW w:type="dxa" w:w="4536"/>
            <w:shd w:val="clear" w:color="auto" w:fill="0A2C4A"/>
          </w:tcPr>
          <w:p>
            <w:pPr>
              <w:spacing w:before="160" w:after="160"/>
            </w:pPr>
            <w:r>
              <w:rPr>
                <w:rFonts w:ascii="Calibri" w:hAnsi="Calibri"/>
                <w:b/>
                <w:color w:val="FFFFFF"/>
                <w:sz w:val="18"/>
              </w:rPr>
              <w:t>processbi.com.au  |  info@processbi.com.au</w:t>
            </w:r>
          </w:p>
        </w:tc>
        <w:tc>
          <w:tcPr>
            <w:tcW w:type="dxa" w:w="4536"/>
            <w:shd w:val="clear" w:color="auto" w:fill="0A2C4A"/>
          </w:tcPr>
          <w:p>
            <w:pPr>
              <w:spacing w:before="160" w:after="160"/>
              <w:jc w:val="right"/>
            </w:pPr>
            <w:r>
              <w:rPr>
                <w:rFonts w:ascii="Calibri" w:hAnsi="Calibri"/>
                <w:color w:val="88AACC"/>
                <w:sz w:val="16"/>
              </w:rPr>
              <w:t>COMMERCIAL-IN-CONFIDENCE</w:t>
            </w:r>
          </w:p>
        </w:tc>
      </w:tr>
    </w:tbl>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