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Course project MLT 2025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"The study of the comparative efficiency of machine learning algorithms in solving specific problem"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(result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rtl w:val="0"/>
        </w:rPr>
        <w:t xml:space="preserve">Select a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Choose a topic according to the theme of your Master research in the University (preferable) or select from the list below: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https://www.kaggle.com/datasets/hojjatk/mnist-dataset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https://www.kaggle.com/datasets/janiobachmann/bank-marketing-dataset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https://www.kaggle.com/c/walmart-recruiting-store-sales-forecasting/data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https://www.kaggle.com/c/rossmann-store-sales/data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Build a mathematical formalization of the problem (loss function, optimization algorithm etc.)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Describe the quality metric(s) by which the solution of the problem can be assessed.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Select at least 3 methods / algorithms of machine learning to study the comparative effectiveness of the methods of solving the task.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Compare the quality of algorithms with respect to the chosen metric(s).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Make a conclusion about which algorithm gives the best results for the task (and why).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Report form: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 in English 5-10 pages (introduction, related works, problem statement, description of methods, data processing, experiments, conclusion).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Template is on the following pages.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ggyh2s5p8q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Ministry of Science and Higher education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of the Russian Federation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ITMO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rtl w:val="0"/>
        </w:rPr>
        <w:t xml:space="preserve">Faculty of Digital Transformations      </w:t>
        <w:tab/>
        <w:tab/>
        <w:tab/>
        <w:tab/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rtl w:val="0"/>
        </w:rPr>
        <w:t xml:space="preserve">Subject area (major) 01.04.02. Applied mathematics and informatics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REPORT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rtl w:val="0"/>
        </w:rPr>
        <w:t xml:space="preserve"> (report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Student: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rtl w:val="0"/>
        </w:rPr>
        <w:t xml:space="preserve">Ivanov Ivan C42111c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vdvh3wifexm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Supervisor: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rtl w:val="0"/>
        </w:rPr>
        <w:t xml:space="preserve">Gladilin P.E. – or your research supervisor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ab/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41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rtl w:val="0"/>
        </w:rPr>
        <w:t xml:space="preserve">Date   23.03.20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 Petersburg</w:t>
      </w:r>
    </w:p>
    <w:p w:rsidR="00000000" w:rsidDel="00000000" w:rsidP="00000000" w:rsidRDefault="00000000" w:rsidRPr="00000000" w14:paraId="00000034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</w:t>
      </w:r>
    </w:p>
    <w:p w:rsidR="00000000" w:rsidDel="00000000" w:rsidP="00000000" w:rsidRDefault="00000000" w:rsidRPr="00000000" w14:paraId="00000035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TABLE OF CONTENT</w:t>
      </w:r>
    </w:p>
    <w:sdt>
      <w:sdtPr>
        <w:id w:val="-3953072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28lgqo46prz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1.</w:t>
              <w:tab/>
              <w:t xml:space="preserve">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</w:rPr>
          </w:pPr>
          <w:hyperlink w:anchor="_gef2hz7uff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2.</w:t>
              <w:tab/>
              <w:t xml:space="preserve">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</w:rPr>
          </w:pPr>
          <w:hyperlink w:anchor="_bszwuyrg4wc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3.</w:t>
              <w:tab/>
              <w:t xml:space="preserve">Models and Algorithms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</w:rPr>
          </w:pPr>
          <w:hyperlink w:anchor="_d0vm05ez3ph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4.</w:t>
              <w:tab/>
              <w:t xml:space="preserve">Experimental research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</w:rPr>
          </w:pPr>
          <w:hyperlink w:anchor="_o5l0kj554am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5.</w:t>
              <w:tab/>
              <w:t xml:space="preserve">Conclusions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</w:rPr>
          </w:pPr>
          <w:hyperlink w:anchor="_wnbyqg54em0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References (example)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8lgqo46prz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review</w:t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8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/>
        <w:drawing>
          <wp:inline distB="0" distT="0" distL="0" distR="3175">
            <wp:extent cx="5940425" cy="2999105"/>
            <wp:effectExtent b="0" l="0" r="0" t="0"/>
            <wp:docPr descr="C:\Users\Alex\Downloads\KaggleMNISThist3.png" id="1" name="image1.png"/>
            <a:graphic>
              <a:graphicData uri="http://schemas.openxmlformats.org/drawingml/2006/picture">
                <pic:pic>
                  <pic:nvPicPr>
                    <pic:cNvPr descr="C:\Users\Alex\Downloads\KaggleMNISThist3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Figure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rtl w:val="0"/>
        </w:rPr>
        <w:t xml:space="preserve">– (example of the figure caption)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 Kaggle MNIST public leaderboards scores, July 15 2018</w:t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szwuyrg4wc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Models, Algorithms and Datasets</w:t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0vm05ez3ph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research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XXX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Table 1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rtl w:val="0"/>
        </w:rPr>
        <w:t xml:space="preserve">(example of the figure caption)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CNN-5 results</w:t>
      </w:r>
    </w:p>
    <w:tbl>
      <w:tblPr>
        <w:tblStyle w:val="Table1"/>
        <w:tblW w:w="8306.000000000002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5546"/>
        <w:gridCol w:w="1368"/>
        <w:gridCol w:w="1392"/>
        <w:tblGridChange w:id="0">
          <w:tblGrid>
            <w:gridCol w:w="5546"/>
            <w:gridCol w:w="1368"/>
            <w:gridCol w:w="13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Submission and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Private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Public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cnn-5-baseline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0.075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0.089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cnn5_balanced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0.009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cnn5_balanced_20ep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0.010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cnn5_balanced_20ep_undersampling (16x16)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cnn5_64x64_balaced_20ep_undersampling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0.046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rtl w:val="0"/>
              </w:rPr>
              <w:t xml:space="preserve">0.050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o5l0kj554am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Conclusions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nbyqg54em0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 (example)</w:t>
      </w:r>
    </w:p>
    <w:p w:rsidR="00000000" w:rsidDel="00000000" w:rsidP="00000000" w:rsidRDefault="00000000" w:rsidRPr="00000000" w14:paraId="00000063">
      <w:pPr>
        <w:widowControl w:val="0"/>
        <w:spacing w:after="140" w:line="288" w:lineRule="auto"/>
        <w:ind w:left="640" w:hanging="6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  <w:tab/>
        <w:t xml:space="preserve">Tan M., Le Q. V. EfficientNet: Rethinking model scaling for convolutional neural networks // 36th Int. Conf. Mach. Learn. ICML 2019. 2019. Vol. 2019-June. P. 10691–10700.</w:t>
        <w:tab/>
      </w:r>
    </w:p>
    <w:p w:rsidR="00000000" w:rsidDel="00000000" w:rsidP="00000000" w:rsidRDefault="00000000" w:rsidRPr="00000000" w14:paraId="00000064">
      <w:pPr>
        <w:widowControl w:val="0"/>
        <w:spacing w:after="140" w:line="288" w:lineRule="auto"/>
        <w:ind w:left="640" w:hanging="6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  <w:t xml:space="preserve">Huang G. et al. Densely connected convolutional networks // Proc. - 30th IEEE Conf. Comput. Vis. Pattern Recognition, CVPR 2017. 2017. Vol. 2017-January. P. 2261–2269.</w:t>
      </w:r>
    </w:p>
    <w:p w:rsidR="00000000" w:rsidDel="00000000" w:rsidP="00000000" w:rsidRDefault="00000000" w:rsidRPr="00000000" w14:paraId="00000065">
      <w:pPr>
        <w:widowControl w:val="0"/>
        <w:spacing w:after="140" w:line="288" w:lineRule="auto"/>
        <w:ind w:left="640" w:hanging="6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  <w:tab/>
        <w:t xml:space="preserve">Yun S. et al. CutMix: Regularization Strategy to Train Strong Classifiers with Localizable Features. 2019.</w:t>
      </w:r>
    </w:p>
    <w:p w:rsidR="00000000" w:rsidDel="00000000" w:rsidP="00000000" w:rsidRDefault="00000000" w:rsidRPr="00000000" w14:paraId="00000066">
      <w:pPr>
        <w:widowControl w:val="0"/>
        <w:spacing w:after="140" w:line="288" w:lineRule="auto"/>
        <w:ind w:left="640" w:hanging="6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  <w:tab/>
        <w:t xml:space="preserve">Zhang H. et al. MixUp: Beyond empirical risk minimization // 6th Int. Conf. Learn. Represent. ICLR 2018 - Conf. Track Proc. 2018. P. 1–13.</w:t>
      </w:r>
    </w:p>
    <w:p w:rsidR="00000000" w:rsidDel="00000000" w:rsidP="00000000" w:rsidRDefault="00000000" w:rsidRPr="00000000" w14:paraId="00000067">
      <w:pPr>
        <w:widowControl w:val="0"/>
        <w:spacing w:after="140" w:line="288" w:lineRule="auto"/>
        <w:ind w:left="640" w:hanging="6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  <w:tab/>
        <w:t xml:space="preserve">Zoph B. et al. Learning Transferable Architectures for Scalable Image Recognition // Proc. IEEE Comput. Soc. Conf. Comput. Vis. Pattern Recognit. 2018. P. 8697–8710.</w:t>
      </w:r>
    </w:p>
    <w:p w:rsidR="00000000" w:rsidDel="00000000" w:rsidP="00000000" w:rsidRDefault="00000000" w:rsidRPr="00000000" w14:paraId="00000068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="360" w:lineRule="auto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www.kaggle.com/c/rossmann-store-sales/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hojjatk/mnist-dataset" TargetMode="External"/><Relationship Id="rId7" Type="http://schemas.openxmlformats.org/officeDocument/2006/relationships/hyperlink" Target="https://www.kaggle.com/datasets/janiobachmann/bank-marketing-dataset" TargetMode="External"/><Relationship Id="rId8" Type="http://schemas.openxmlformats.org/officeDocument/2006/relationships/hyperlink" Target="https://www.kaggle.com/c/walmart-recruiting-store-sales-forecasting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