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List of Figures</w:t>
      </w:r>
    </w:p>
    <w:p>
      <w:pPr>
        <w:spacing w:after="480"/>
        <w:jc w:val="center"/>
      </w:pPr>
      <w:r>
        <w:rPr>
          <w:rFonts w:ascii="Times New Roman" w:cs="Times New Roman" w:eastAsia="Times New Roman" w:hAnsi="Times New Roman"/>
          <w:i/>
          <w:iCs/>
          <w:sz w:val="22"/>
          <w:szCs w:val="22"/>
        </w:rPr>
        <w:t xml:space="preserve">A reproducible EPANET-WNTR framework with synthetic IoT leak diagnostics for smart water networks: Rail Nagar, Rajkot, Gujarat, Bharat</w:t>
      </w:r>
    </w:p>
    <w:p>
      <w:pPr>
        <w:spacing w:after="160" w:before="160"/>
        <w:jc w:val="both"/>
      </w:pPr>
      <w:r>
        <w:rPr>
          <w:rFonts w:ascii="Times New Roman" w:cs="Times New Roman" w:eastAsia="Times New Roman" w:hAnsi="Times New Roman"/>
          <w:b/>
          <w:bCs/>
          <w:i/>
          <w:iCs/>
          <w:sz w:val="22"/>
          <w:szCs w:val="22"/>
        </w:rPr>
        <w:t xml:space="preserve">Figure 1.</w:t>
      </w:r>
      <w:r>
        <w:rPr>
          <w:rFonts w:ascii="Times New Roman" w:cs="Times New Roman" w:eastAsia="Times New Roman" w:hAnsi="Times New Roman"/>
          <w:i/>
          <w:iCs/>
          <w:sz w:val="22"/>
          <w:szCs w:val="22"/>
        </w:rPr>
        <w:t xml:space="preserve"> Climate context of Rajkot from NASA POWER (1995–2024): (a) monthly rainfall climatology with daily maximum and minimum temperatures; (b) inter-annual rainfall variability around the 30-year mean (691 mm).</w:t>
      </w:r>
    </w:p>
    <w:p>
      <w:pPr>
        <w:spacing w:after="160" w:before="160"/>
        <w:jc w:val="both"/>
      </w:pPr>
      <w:r>
        <w:rPr>
          <w:rFonts w:ascii="Times New Roman" w:cs="Times New Roman" w:eastAsia="Times New Roman" w:hAnsi="Times New Roman"/>
          <w:b/>
          <w:bCs/>
          <w:i/>
          <w:iCs/>
          <w:sz w:val="22"/>
          <w:szCs w:val="22"/>
        </w:rPr>
        <w:t xml:space="preserve">Figure 2.</w:t>
      </w:r>
      <w:r>
        <w:rPr>
          <w:rFonts w:ascii="Times New Roman" w:cs="Times New Roman" w:eastAsia="Times New Roman" w:hAnsi="Times New Roman"/>
          <w:i/>
          <w:iCs/>
          <w:sz w:val="22"/>
          <w:szCs w:val="22"/>
        </w:rPr>
        <w:t xml:space="preserve"> Six parallel centrifugal pumps at the Rail Nagar feeder pumping station (authors' field survey, 22 September 2024). Two of the six delivery mains are visible in the foreground and the pump discharge line manifolds into the ESR supply header. The redundant pumping arrangement supports the distinct incoming and ESR-supply telemetry streams documented in Figures 3 and 4.</w:t>
      </w:r>
    </w:p>
    <w:p>
      <w:pPr>
        <w:spacing w:after="160" w:before="160"/>
        <w:jc w:val="both"/>
      </w:pPr>
      <w:r>
        <w:rPr>
          <w:rFonts w:ascii="Times New Roman" w:cs="Times New Roman" w:eastAsia="Times New Roman" w:hAnsi="Times New Roman"/>
          <w:b/>
          <w:bCs/>
          <w:i/>
          <w:iCs/>
          <w:sz w:val="22"/>
          <w:szCs w:val="22"/>
        </w:rPr>
        <w:t xml:space="preserve">Figure 3.</w:t>
      </w:r>
      <w:r>
        <w:rPr>
          <w:rFonts w:ascii="Times New Roman" w:cs="Times New Roman" w:eastAsia="Times New Roman" w:hAnsi="Times New Roman"/>
          <w:i/>
          <w:iCs/>
          <w:sz w:val="22"/>
          <w:szCs w:val="22"/>
        </w:rPr>
        <w:t xml:space="preserve"> Allen-Bradley SCADA “Flow Data – 1” panel at the Rail Nagar pumping station (photographed 22 September 2024, 08:48:30 IST). Incoming line (from Chanteshwar headworks): current-day total 6.74 ML, previous-day total 10.87 ML, instantaneous rate 0.00 m³ h⁻¹ at the moment of the reading. ESR supply line: current-day total 6.61 ML, previous-day total 11.83 ML, instantaneous rate 1,249.11 m³ h⁻¹ (≈ 347 L s⁻¹). These are the operational-context values cited in §2 and Table 1.</w:t>
      </w:r>
    </w:p>
    <w:p>
      <w:pPr>
        <w:spacing w:after="160" w:before="160"/>
        <w:jc w:val="both"/>
      </w:pPr>
      <w:r>
        <w:rPr>
          <w:rFonts w:ascii="Times New Roman" w:cs="Times New Roman" w:eastAsia="Times New Roman" w:hAnsi="Times New Roman"/>
          <w:b/>
          <w:bCs/>
          <w:i/>
          <w:iCs/>
          <w:sz w:val="22"/>
          <w:szCs w:val="22"/>
        </w:rPr>
        <w:t xml:space="preserve">Figure 4.</w:t>
      </w:r>
      <w:r>
        <w:rPr>
          <w:rFonts w:ascii="Times New Roman" w:cs="Times New Roman" w:eastAsia="Times New Roman" w:hAnsi="Times New Roman"/>
          <w:i/>
          <w:iCs/>
          <w:sz w:val="22"/>
          <w:szCs w:val="22"/>
        </w:rPr>
        <w:t xml:space="preserve"> Allen-Bradley PLC–SCADA overview panel (photographed 22 September 2024, 08:49:10 IST) showing the Rail Nagar process schematic: Chanteshwar incoming line via electromagnetic flow-meter (EMF), the ground-level reservoir (GSR), the six-pump bank, the elevated storage reservoir (ESR), chlorine dosing, and the ESR supply outflow via magnetic flow-meter (MF). The two red pilot lamps (MAIN ON, UPS ON) below the screen confirm that the operator interface is on redundant mains + uninterruptible power, supporting the reliability claims in §2.</w:t>
      </w:r>
    </w:p>
    <w:p>
      <w:pPr>
        <w:spacing w:after="160" w:before="160"/>
        <w:jc w:val="both"/>
      </w:pPr>
      <w:r>
        <w:rPr>
          <w:rFonts w:ascii="Times New Roman" w:cs="Times New Roman" w:eastAsia="Times New Roman" w:hAnsi="Times New Roman"/>
          <w:b/>
          <w:bCs/>
          <w:i/>
          <w:iCs/>
          <w:sz w:val="22"/>
          <w:szCs w:val="22"/>
        </w:rPr>
        <w:t xml:space="preserve">Figure 5.</w:t>
      </w:r>
      <w:r>
        <w:rPr>
          <w:rFonts w:ascii="Times New Roman" w:cs="Times New Roman" w:eastAsia="Times New Roman" w:hAnsi="Times New Roman"/>
          <w:i/>
          <w:iCs/>
          <w:sz w:val="22"/>
          <w:szCs w:val="22"/>
        </w:rPr>
        <w:t xml:space="preserve"> Reproducible four-stage methodology for the Rail Nagar Smart Water Distribution Network analysis. Stage 1: open data inputs (Census of India, Copernicus DEM GLO-30, NASA POWER, IS 1172:1993, CPHEEO 1999). Stage 2: hydraulic and water-quality modelling in EPANET 2.2 via WNTR 1.4. Stage 3: smart-layer analysis (synthetic IoT, leak detection, resilience indices, sensor placement). Stage 4: verification and decision-support framing.</w:t>
      </w:r>
    </w:p>
    <w:p>
      <w:pPr>
        <w:spacing w:after="160" w:before="160"/>
        <w:jc w:val="both"/>
      </w:pPr>
      <w:r>
        <w:rPr>
          <w:rFonts w:ascii="Times New Roman" w:cs="Times New Roman" w:eastAsia="Times New Roman" w:hAnsi="Times New Roman"/>
          <w:b/>
          <w:bCs/>
          <w:i/>
          <w:iCs/>
          <w:sz w:val="22"/>
          <w:szCs w:val="22"/>
        </w:rPr>
        <w:t xml:space="preserve">Figure 6.</w:t>
      </w:r>
      <w:r>
        <w:rPr>
          <w:rFonts w:ascii="Times New Roman" w:cs="Times New Roman" w:eastAsia="Times New Roman" w:hAnsi="Times New Roman"/>
          <w:i/>
          <w:iCs/>
          <w:sz w:val="22"/>
          <w:szCs w:val="22"/>
        </w:rPr>
        <w:t xml:space="preserve"> Smart Water Distribution Network of Rail Nagar (field survey, 2024). An elevated service reservoir (Rail Nagar Water Tank; node TA1) at the south-west gravity-feeds 61 demand junctions through 61 pipes (5.64 km total length). Red markers denote junction nodes labelled with ground elevation (m above mean sea level; range 130–141 m). Pipes are colour-coded by diameter class using the Wong colour-blind-safe palette: vermilion (#D55E00) for the 147.6 mm trunk main (P1–P12, TA1→JU13); blue (#0072B2) for the 101.6 mm secondary chain (P13–P15, JU13→JU16); and reddish-purple (#CC79A7) for the remaining 81.4 mm tertiary distribution pipes. The network is dendritic (tree-structured) and gravity-fed. The map carries a WGS84 latitude–longitude graticule with degree–minute–second tick labels on all four sides, a north arrow, and a 200 m scale bar.</w:t>
      </w:r>
    </w:p>
    <w:p>
      <w:pPr>
        <w:spacing w:after="160" w:before="160"/>
        <w:jc w:val="both"/>
      </w:pPr>
      <w:r>
        <w:rPr>
          <w:rFonts w:ascii="Times New Roman" w:cs="Times New Roman" w:eastAsia="Times New Roman" w:hAnsi="Times New Roman"/>
          <w:b/>
          <w:bCs/>
          <w:i/>
          <w:iCs/>
          <w:sz w:val="22"/>
          <w:szCs w:val="22"/>
        </w:rPr>
        <w:t xml:space="preserve">Figure 7.</w:t>
      </w:r>
      <w:r>
        <w:rPr>
          <w:rFonts w:ascii="Times New Roman" w:cs="Times New Roman" w:eastAsia="Times New Roman" w:hAnsi="Times New Roman"/>
          <w:i/>
          <w:iCs/>
          <w:sz w:val="22"/>
          <w:szCs w:val="22"/>
        </w:rPr>
        <w:t xml:space="preserve"> Steady-state hydraulic performance under IS 1172:1993 design peak factor 3.0: (a) residual pressure at every third junction with the 15-m design minimum (dashed); (b) distribution of pipe velocities, with the recommended 0.6–2.5 m s⁻¹ range shaded; (c) unit head loss versus pipe length, colour-coded by diameter; (d) distribution of pipe flow rates.</w:t>
      </w:r>
    </w:p>
    <w:p>
      <w:pPr>
        <w:spacing w:after="160" w:before="160"/>
        <w:jc w:val="both"/>
      </w:pPr>
      <w:r>
        <w:rPr>
          <w:rFonts w:ascii="Times New Roman" w:cs="Times New Roman" w:eastAsia="Times New Roman" w:hAnsi="Times New Roman"/>
          <w:b/>
          <w:bCs/>
          <w:i/>
          <w:iCs/>
          <w:sz w:val="22"/>
          <w:szCs w:val="22"/>
        </w:rPr>
        <w:t xml:space="preserve">Figure 8.</w:t>
      </w:r>
      <w:r>
        <w:rPr>
          <w:rFonts w:ascii="Times New Roman" w:cs="Times New Roman" w:eastAsia="Times New Roman" w:hAnsi="Times New Roman"/>
          <w:i/>
          <w:iCs/>
          <w:sz w:val="22"/>
          <w:szCs w:val="22"/>
        </w:rPr>
        <w:t xml:space="preserve"> Extended-period simulation (24 h, 1-h time step): (a) tank water level showing the diurnal storage cycle; (b) network pressure envelope (range with mean) relative to the 15-m design minimum; (c) total system inflow following the imposed diurnal demand pattern shown in (d).</w:t>
      </w:r>
    </w:p>
    <w:p>
      <w:pPr>
        <w:spacing w:after="160" w:before="160"/>
        <w:jc w:val="both"/>
      </w:pPr>
      <w:r>
        <w:rPr>
          <w:rFonts w:ascii="Times New Roman" w:cs="Times New Roman" w:eastAsia="Times New Roman" w:hAnsi="Times New Roman"/>
          <w:b/>
          <w:bCs/>
          <w:i/>
          <w:iCs/>
          <w:sz w:val="22"/>
          <w:szCs w:val="22"/>
        </w:rPr>
        <w:t xml:space="preserve">Figure 9.</w:t>
      </w:r>
      <w:r>
        <w:rPr>
          <w:rFonts w:ascii="Times New Roman" w:cs="Times New Roman" w:eastAsia="Times New Roman" w:hAnsi="Times New Roman"/>
          <w:i/>
          <w:iCs/>
          <w:sz w:val="22"/>
          <w:szCs w:val="22"/>
        </w:rPr>
        <w:t xml:space="preserve"> Water-quality simulation: (a) network-wide chlorine residual after 3-day steady state (k_b = 0.5 day⁻¹, C_in = 1.0 mg L⁻¹); (b) mean water age after 7-day spin-up. Note the high water age (&gt; 140 h) at the distal junction JU63.</w:t>
      </w:r>
    </w:p>
    <w:p>
      <w:pPr>
        <w:spacing w:after="160" w:before="160"/>
        <w:jc w:val="both"/>
      </w:pPr>
      <w:r>
        <w:rPr>
          <w:rFonts w:ascii="Times New Roman" w:cs="Times New Roman" w:eastAsia="Times New Roman" w:hAnsi="Times New Roman"/>
          <w:b/>
          <w:bCs/>
          <w:i/>
          <w:iCs/>
          <w:sz w:val="22"/>
          <w:szCs w:val="22"/>
        </w:rPr>
        <w:t xml:space="preserve">Figure 10.</w:t>
      </w:r>
      <w:r>
        <w:rPr>
          <w:rFonts w:ascii="Times New Roman" w:cs="Times New Roman" w:eastAsia="Times New Roman" w:hAnsi="Times New Roman"/>
          <w:i/>
          <w:iCs/>
          <w:sz w:val="22"/>
          <w:szCs w:val="22"/>
        </w:rPr>
        <w:t xml:space="preserve"> Synthetic IoT leak detection: (a) pressure time series at the leak node JU8 with the leak introduced at hour 12 (dashed line); (b) pressure residual (observed − modelled) at all four leak-affected sensors; (c) per-sensor leak-alert frequency, with leak nodes coloured in orange; (d) overall detection-performance summary.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 of Figures - Rail Nagar SWDN</dc:title>
  <dc:creator>Claude (V10 revision)</dc:creator>
  <cp:lastModifiedBy>Un-named</cp:lastModifiedBy>
  <cp:revision>1</cp:revision>
  <dcterms:created xsi:type="dcterms:W3CDTF">2026-07-03T06:54:16.843Z</dcterms:created>
  <dcterms:modified xsi:type="dcterms:W3CDTF">2026-07-03T06:54:16.843Z</dcterms:modified>
</cp:coreProperties>
</file>

<file path=docProps/custom.xml><?xml version="1.0" encoding="utf-8"?>
<Properties xmlns="http://schemas.openxmlformats.org/officeDocument/2006/custom-properties" xmlns:vt="http://schemas.openxmlformats.org/officeDocument/2006/docPropsVTypes"/>
</file>