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r>
        <w:t xml:space="preserve"/>
      </w:r>
    </w:p>
    <w:p>
      <w:pPr>
        <w:spacing w:after="50"/>
        <w:jc w:val="center"/>
      </w:pPr>
      <w:r>
        <w:rPr>
          <w:b/>
          <w:bCs/>
          <w:color w:val="2A4D0C"/>
          <w:sz w:val="24"/>
          <w:szCs w:val="24"/>
        </w:rPr>
        <w:t xml:space="preserve">URBENO PRIVATE LIMITED</w:t>
      </w:r>
    </w:p>
    <w:p>
      <w:pPr>
        <w:spacing w:after="700"/>
        <w:jc w:val="center"/>
      </w:pPr>
      <w:r>
        <w:rPr>
          <w:i/>
          <w:iCs/>
          <w:color w:val="3B6D11"/>
          <w:sz w:val="20"/>
          <w:szCs w:val="20"/>
        </w:rPr>
        <w:t xml:space="preserve">Recycling Heroes™</w:t>
      </w:r>
    </w:p>
    <w:p>
      <w:pPr>
        <w:spacing w:after="110"/>
        <w:jc w:val="center"/>
      </w:pPr>
      <w:r>
        <w:rPr>
          <w:b/>
          <w:bCs/>
          <w:color w:val="2A4D0C"/>
          <w:sz w:val="46"/>
          <w:szCs w:val="46"/>
        </w:rPr>
        <w:t xml:space="preserve">URB TECTRACK™</w:t>
      </w:r>
    </w:p>
    <w:p>
      <w:pPr>
        <w:spacing w:after="230"/>
        <w:jc w:val="center"/>
      </w:pPr>
      <w:r>
        <w:rPr>
          <w:color w:val="3B6D11"/>
          <w:sz w:val="32"/>
          <w:szCs w:val="32"/>
        </w:rPr>
        <w:t xml:space="preserve">Backend Production Build Plan</w:t>
      </w:r>
    </w:p>
    <w:p>
      <w:pPr>
        <w:spacing w:after="800"/>
        <w:jc w:val="center"/>
      </w:pPr>
      <w:r>
        <w:rPr>
          <w:i/>
          <w:iCs/>
          <w:color w:val="666666"/>
          <w:sz w:val="20"/>
          <w:szCs w:val="20"/>
        </w:rPr>
        <w:t xml:space="preserve">Taking the working prototype to a hosted, multi-tenant, audit-ready platform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800"/>
      </w:tblGrid>
      <w:tr>
        <w:trPr>
          <w:tblHeader/>
        </w:trPr>
        <w:tc>
          <w:tcPr>
            <w:tcW w:type="dxa" w:w="2000"/>
            <w:shd w:fill="3B6D11" w:color="auto" w:val="clear"/>
            <w:tcMar>
              <w:top w:type="dxa" w:w="85"/>
              <w:left w:type="dxa" w:w="110"/>
              <w:bottom w:type="dxa" w:w="85"/>
              <w:right w:type="dxa" w:w="110"/>
            </w:tcMar>
          </w:tcPr>
          <w:p>
            <w:pPr>
              <w:jc w:val="left"/>
            </w:pPr>
            <w:r>
              <w:rPr>
                <w:b/>
                <w:bCs/>
                <w:color w:val="FFFFFF"/>
                <w:sz w:val="18"/>
                <w:szCs w:val="18"/>
              </w:rPr>
              <w:t xml:space="preserve">Document</w:t>
            </w:r>
          </w:p>
        </w:tc>
        <w:tc>
          <w:tcPr>
            <w:tcW w:type="dxa" w:w="4400"/>
            <w:shd w:fill="3B6D11" w:color="auto" w:val="clear"/>
            <w:tcMar>
              <w:top w:type="dxa" w:w="85"/>
              <w:left w:type="dxa" w:w="110"/>
              <w:bottom w:type="dxa" w:w="85"/>
              <w:right w:type="dxa" w:w="110"/>
            </w:tcMar>
          </w:tcPr>
          <w:p>
            <w:pPr>
              <w:jc w:val="left"/>
            </w:pPr>
            <w:r>
              <w:rPr>
                <w:b/>
                <w:bCs/>
                <w:color w:val="FFFFFF"/>
                <w:sz w:val="18"/>
                <w:szCs w:val="18"/>
              </w:rPr>
              <w:t xml:space="preserve">Purpose</w:t>
            </w:r>
          </w:p>
        </w:tc>
        <w:tc>
          <w:tcPr>
            <w:tcW w:type="dxa" w:w="2800"/>
            <w:shd w:fill="3B6D11" w:color="auto" w:val="clear"/>
            <w:tcMar>
              <w:top w:type="dxa" w:w="85"/>
              <w:left w:type="dxa" w:w="110"/>
              <w:bottom w:type="dxa" w:w="85"/>
              <w:right w:type="dxa" w:w="110"/>
            </w:tcMar>
          </w:tcPr>
          <w:p>
            <w:pPr>
              <w:jc w:val="left"/>
            </w:pPr>
            <w:r>
              <w:rPr>
                <w:b/>
                <w:bCs/>
                <w:color w:val="FFFFFF"/>
                <w:sz w:val="18"/>
                <w:szCs w:val="18"/>
              </w:rPr>
              <w:t xml:space="preserve">Audience</w:t>
            </w:r>
          </w:p>
        </w:tc>
      </w:tr>
      <w:tr>
        <w:tc>
          <w:tcPr>
            <w:tcW w:type="dxa" w:w="2000"/>
            <w:tcMar>
              <w:top w:type="dxa" w:w="85"/>
              <w:left w:type="dxa" w:w="110"/>
              <w:bottom w:type="dxa" w:w="85"/>
              <w:right w:type="dxa" w:w="110"/>
            </w:tcMar>
          </w:tcPr>
          <w:p>
            <w:pPr>
              <w:jc w:val="left"/>
            </w:pPr>
            <w:r>
              <w:rPr>
                <w:b w:val="false"/>
                <w:bCs w:val="false"/>
                <w:sz w:val="18"/>
                <w:szCs w:val="18"/>
              </w:rPr>
              <w:t xml:space="preserve">Build Plan v1</w:t>
            </w:r>
          </w:p>
        </w:tc>
        <w:tc>
          <w:tcPr>
            <w:tcW w:type="dxa" w:w="4400"/>
            <w:tcMar>
              <w:top w:type="dxa" w:w="85"/>
              <w:left w:type="dxa" w:w="110"/>
              <w:bottom w:type="dxa" w:w="85"/>
              <w:right w:type="dxa" w:w="110"/>
            </w:tcMar>
          </w:tcPr>
          <w:p>
            <w:pPr>
              <w:jc w:val="left"/>
            </w:pPr>
            <w:r>
              <w:rPr>
                <w:b w:val="false"/>
                <w:bCs w:val="false"/>
                <w:sz w:val="18"/>
                <w:szCs w:val="18"/>
              </w:rPr>
              <w:t xml:space="preserve">Phase-by-phase engineering plan for production delivery</w:t>
            </w:r>
          </w:p>
        </w:tc>
        <w:tc>
          <w:tcPr>
            <w:tcW w:type="dxa" w:w="2800"/>
            <w:tcMar>
              <w:top w:type="dxa" w:w="85"/>
              <w:left w:type="dxa" w:w="110"/>
              <w:bottom w:type="dxa" w:w="85"/>
              <w:right w:type="dxa" w:w="110"/>
            </w:tcMar>
          </w:tcPr>
          <w:p>
            <w:pPr>
              <w:jc w:val="left"/>
            </w:pPr>
            <w:r>
              <w:rPr>
                <w:b w:val="false"/>
                <w:bCs w:val="false"/>
                <w:sz w:val="18"/>
                <w:szCs w:val="18"/>
              </w:rPr>
              <w:t xml:space="preserve">Development partner, Urbeno technical owner</w:t>
            </w:r>
          </w:p>
        </w:tc>
      </w:tr>
    </w:tbl>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3B6D11" w:color="auto" w:val="clear"/>
            <w:tcMar>
              <w:top w:type="dxa" w:w="85"/>
              <w:left w:type="dxa" w:w="110"/>
              <w:bottom w:type="dxa" w:w="85"/>
              <w:right w:type="dxa" w:w="110"/>
            </w:tcMar>
          </w:tcPr>
          <w:p>
            <w:pPr>
              <w:jc w:val="left"/>
            </w:pPr>
            <w:r>
              <w:rPr>
                <w:b/>
                <w:bCs/>
                <w:color w:val="FFFFFF"/>
                <w:sz w:val="18"/>
                <w:szCs w:val="18"/>
              </w:rPr>
              <w:t xml:space="preserve">Reference input</w:t>
            </w:r>
          </w:p>
        </w:tc>
        <w:tc>
          <w:tcPr>
            <w:tcW w:type="dxa" w:w="5800"/>
            <w:shd w:fill="3B6D11" w:color="auto" w:val="clear"/>
            <w:tcMar>
              <w:top w:type="dxa" w:w="85"/>
              <w:left w:type="dxa" w:w="110"/>
              <w:bottom w:type="dxa" w:w="85"/>
              <w:right w:type="dxa" w:w="110"/>
            </w:tcMar>
          </w:tcPr>
          <w:p>
            <w:pPr>
              <w:jc w:val="left"/>
            </w:pPr>
            <w:r>
              <w:rPr>
                <w:b/>
                <w:bCs/>
                <w:color w:val="FFFFFF"/>
                <w:sz w:val="18"/>
                <w:szCs w:val="18"/>
              </w:rPr>
              <w:t xml:space="preserve">What it provides</w:t>
            </w:r>
          </w:p>
        </w:tc>
      </w:tr>
      <w:tr>
        <w:tc>
          <w:tcPr>
            <w:tcW w:type="dxa" w:w="3400"/>
            <w:tcMar>
              <w:top w:type="dxa" w:w="85"/>
              <w:left w:type="dxa" w:w="110"/>
              <w:bottom w:type="dxa" w:w="85"/>
              <w:right w:type="dxa" w:w="110"/>
            </w:tcMar>
          </w:tcPr>
          <w:p>
            <w:pPr>
              <w:jc w:val="left"/>
            </w:pPr>
            <w:r>
              <w:rPr>
                <w:b w:val="false"/>
                <w:bCs w:val="false"/>
                <w:sz w:val="18"/>
                <w:szCs w:val="18"/>
              </w:rPr>
              <w:t xml:space="preserve">urb-tectrack-v6.3-complete.html</w:t>
            </w:r>
          </w:p>
        </w:tc>
        <w:tc>
          <w:tcPr>
            <w:tcW w:type="dxa" w:w="5800"/>
            <w:tcMar>
              <w:top w:type="dxa" w:w="85"/>
              <w:left w:type="dxa" w:w="110"/>
              <w:bottom w:type="dxa" w:w="85"/>
              <w:right w:type="dxa" w:w="110"/>
            </w:tcMar>
          </w:tcPr>
          <w:p>
            <w:pPr>
              <w:jc w:val="left"/>
            </w:pPr>
            <w:r>
              <w:rPr>
                <w:b w:val="false"/>
                <w:bCs w:val="false"/>
                <w:sz w:val="18"/>
                <w:szCs w:val="18"/>
              </w:rPr>
              <w:t xml:space="preserve">The working prototype. Authoritative for business rules, screens and data shape.</w:t>
            </w:r>
          </w:p>
        </w:tc>
      </w:tr>
      <w:tr>
        <w:tc>
          <w:tcPr>
            <w:tcW w:type="dxa" w:w="3400"/>
            <w:tcMar>
              <w:top w:type="dxa" w:w="85"/>
              <w:left w:type="dxa" w:w="110"/>
              <w:bottom w:type="dxa" w:w="85"/>
              <w:right w:type="dxa" w:w="110"/>
            </w:tcMar>
          </w:tcPr>
          <w:p>
            <w:pPr>
              <w:jc w:val="left"/>
            </w:pPr>
            <w:r>
              <w:rPr>
                <w:b w:val="false"/>
                <w:bCs w:val="false"/>
                <w:sz w:val="18"/>
                <w:szCs w:val="18"/>
              </w:rPr>
              <w:t xml:space="preserve">Urbeno-TecTrack-RFP-v3.docx</w:t>
            </w:r>
          </w:p>
        </w:tc>
        <w:tc>
          <w:tcPr>
            <w:tcW w:type="dxa" w:w="5800"/>
            <w:tcMar>
              <w:top w:type="dxa" w:w="85"/>
              <w:left w:type="dxa" w:w="110"/>
              <w:bottom w:type="dxa" w:w="85"/>
              <w:right w:type="dxa" w:w="110"/>
            </w:tcMar>
          </w:tcPr>
          <w:p>
            <w:pPr>
              <w:jc w:val="left"/>
            </w:pPr>
            <w:r>
              <w:rPr>
                <w:b w:val="false"/>
                <w:bCs w:val="false"/>
                <w:sz w:val="18"/>
                <w:szCs w:val="18"/>
              </w:rPr>
              <w:t xml:space="preserve">Commercial scope, workstreams, non-functional requirements.</w:t>
            </w:r>
          </w:p>
        </w:tc>
      </w:tr>
      <w:tr>
        <w:tc>
          <w:tcPr>
            <w:tcW w:type="dxa" w:w="3400"/>
            <w:tcMar>
              <w:top w:type="dxa" w:w="85"/>
              <w:left w:type="dxa" w:w="110"/>
              <w:bottom w:type="dxa" w:w="85"/>
              <w:right w:type="dxa" w:w="110"/>
            </w:tcMar>
          </w:tcPr>
          <w:p>
            <w:pPr>
              <w:jc w:val="left"/>
            </w:pPr>
            <w:r>
              <w:rPr>
                <w:b w:val="false"/>
                <w:bCs w:val="false"/>
                <w:sz w:val="18"/>
                <w:szCs w:val="18"/>
              </w:rPr>
              <w:t xml:space="preserve">Authorization_break_up_Urbeno.xlsx</w:t>
            </w:r>
          </w:p>
        </w:tc>
        <w:tc>
          <w:tcPr>
            <w:tcW w:type="dxa" w:w="5800"/>
            <w:tcMar>
              <w:top w:type="dxa" w:w="85"/>
              <w:left w:type="dxa" w:w="110"/>
              <w:bottom w:type="dxa" w:w="85"/>
              <w:right w:type="dxa" w:w="110"/>
            </w:tcMar>
          </w:tcPr>
          <w:p>
            <w:pPr>
              <w:jc w:val="left"/>
            </w:pPr>
            <w:r>
              <w:rPr>
                <w:b w:val="false"/>
                <w:bCs w:val="false"/>
                <w:sz w:val="18"/>
                <w:szCs w:val="18"/>
              </w:rPr>
              <w:t xml:space="preserve">126 authorised category entries per facility.</w:t>
            </w:r>
          </w:p>
        </w:tc>
      </w:tr>
      <w:tr>
        <w:tc>
          <w:tcPr>
            <w:tcW w:type="dxa" w:w="3400"/>
            <w:tcMar>
              <w:top w:type="dxa" w:w="85"/>
              <w:left w:type="dxa" w:w="110"/>
              <w:bottom w:type="dxa" w:w="85"/>
              <w:right w:type="dxa" w:w="110"/>
            </w:tcMar>
          </w:tcPr>
          <w:p>
            <w:pPr>
              <w:jc w:val="left"/>
            </w:pPr>
            <w:r>
              <w:rPr>
                <w:b w:val="false"/>
                <w:bCs w:val="false"/>
                <w:sz w:val="18"/>
                <w:szCs w:val="18"/>
              </w:rPr>
              <w:t xml:space="preserve">Urbeno-Sustainability-Methodology.pdf</w:t>
            </w:r>
          </w:p>
        </w:tc>
        <w:tc>
          <w:tcPr>
            <w:tcW w:type="dxa" w:w="5800"/>
            <w:tcMar>
              <w:top w:type="dxa" w:w="85"/>
              <w:left w:type="dxa" w:w="110"/>
              <w:bottom w:type="dxa" w:w="85"/>
              <w:right w:type="dxa" w:w="110"/>
            </w:tcMar>
          </w:tcPr>
          <w:p>
            <w:pPr>
              <w:jc w:val="left"/>
            </w:pPr>
            <w:r>
              <w:rPr>
                <w:b w:val="false"/>
                <w:bCs w:val="false"/>
                <w:sz w:val="18"/>
                <w:szCs w:val="18"/>
              </w:rPr>
              <w:t xml:space="preserve">How every environmental figure is derived.</w:t>
            </w:r>
          </w:p>
        </w:tc>
      </w:tr>
    </w:tbl>
    <w:p>
      <w:pPr>
        <w:spacing w:before="900"/>
      </w:pPr>
      <w:r>
        <w:t xml:space="preserve"/>
      </w:r>
    </w:p>
    <w:p>
      <w:pPr>
        <w:jc w:val="center"/>
      </w:pPr>
      <w:r>
        <w:rPr>
          <w:b/>
          <w:bCs/>
          <w:color w:val="CC0000"/>
          <w:sz w:val="18"/>
          <w:szCs w:val="18"/>
        </w:rPr>
        <w:t xml:space="preserve">CONFIDENTIAL</w:t>
      </w:r>
    </w:p>
    <w:p>
      <w:r>
        <w:br w:type="page"/>
      </w:r>
    </w:p>
    <w:p>
      <w:pPr>
        <w:pStyle w:val="Heading1"/>
        <w:spacing w:after="160" w:before="400"/>
      </w:pPr>
      <w:r>
        <w:rPr>
          <w:b/>
          <w:bCs/>
          <w:color w:val="2A4D0C"/>
          <w:sz w:val="30"/>
          <w:szCs w:val="30"/>
        </w:rPr>
        <w:t xml:space="preserve">How to read this plan</w:t>
      </w:r>
    </w:p>
    <w:p>
      <w:pPr>
        <w:spacing w:after="110"/>
        <w:jc w:val="left"/>
      </w:pPr>
      <w:r>
        <w:rPr>
          <w:sz w:val="21"/>
          <w:szCs w:val="21"/>
        </w:rPr>
        <w:t xml:space="preserve">This document turns the Urb TecTrack prototype into a production build sequence. It is written for the engineering team that will do the work and for the Urbeno owner who has to judge whether a phase is genuinely finished.</w:t>
      </w:r>
    </w:p>
    <w:p>
      <w:pPr>
        <w:spacing w:after="110"/>
        <w:jc w:val="left"/>
      </w:pPr>
      <w:r>
        <w:rPr>
          <w:sz w:val="21"/>
          <w:szCs w:val="21"/>
        </w:rPr>
        <w:t xml:space="preserve">Twelve phases run roughly in order, though several overlap. Each phase states what it delivers, the work inside it, the decisions that must be settled before it starts, and — most importantly — the exit criteria. The exit criteria are the point of the document. A phase is not complete because the code exists; it is complete when someone can demonstrate the listed conditions.</w:t>
      </w:r>
    </w:p>
    <w:p>
      <w:pPr>
        <w:spacing w:after="90" w:before="190"/>
      </w:pPr>
      <w:r>
        <w:rPr>
          <w:b/>
          <w:bCs/>
          <w:color w:val="3B6D11"/>
          <w:sz w:val="21"/>
          <w:szCs w:val="21"/>
        </w:rPr>
        <w:t xml:space="preserve">The one rule that matters most</w:t>
      </w:r>
    </w:p>
    <w:p>
      <w:pPr>
        <w:spacing w:after="110"/>
        <w:jc w:val="left"/>
      </w:pPr>
      <w:r>
        <w:rPr>
          <w:sz w:val="21"/>
          <w:szCs w:val="21"/>
        </w:rPr>
        <w:t xml:space="preserve">The prototype already separates business logic from storage. Every mutation flows through a service object — db.subs, db.inv, db.veh, auth, audit, notify, mail, files, catm — and each carries a // MIGRATION: comment marking the exact swap point. There are seventeen of these markers.</w:t>
      </w:r>
    </w:p>
    <w:p>
      <w:pPr>
        <w:spacing w:after="110"/>
      </w:pPr>
      <w:r>
        <w:rPr>
          <w:b/>
          <w:bCs/>
          <w:sz w:val="21"/>
          <w:szCs w:val="21"/>
        </w:rPr>
        <w:t xml:space="preserve">Do not rewrite the business rules. </w:t>
      </w:r>
      <w:r>
        <w:rPr>
          <w:sz w:val="21"/>
          <w:szCs w:val="21"/>
        </w:rPr>
        <w:t xml:space="preserve">Port them. The prototype encodes rules that took several rounds of operational feedback to get right: category splits must reconcile to invoice weight, MRN sequences reset each April per facility, closure requires full payment, stage is derived rather than stored. Rewriting from a specification will lose these. Reading the prototype and replacing only the storage layer will not.</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F5F5F0" w:color="auto" w:val="clear"/>
            <w:tcMar>
              <w:top w:type="dxa" w:w="170"/>
              <w:left w:type="dxa" w:w="190"/>
              <w:bottom w:type="dxa" w:w="170"/>
              <w:right w:type="dxa" w:w="190"/>
            </w:tcMar>
          </w:tcPr>
          <w:p>
            <w:pPr>
              <w:spacing w:after="70"/>
            </w:pPr>
            <w:r>
              <w:rPr>
                <w:b/>
                <w:bCs/>
                <w:color w:val="2A4D0C"/>
                <w:sz w:val="21"/>
                <w:szCs w:val="21"/>
              </w:rPr>
              <w:t xml:space="preserve">A note on estimates</w:t>
            </w:r>
          </w:p>
          <w:p>
            <w:pPr>
              <w:spacing w:after="55"/>
            </w:pPr>
            <w:r>
              <w:rPr>
                <w:sz w:val="19"/>
                <w:szCs w:val="19"/>
              </w:rPr>
              <w:t xml:space="preserve">Durations assume a team of two senior full-stack engineers, one mid-level engineer, a part-time DevOps engineer and a part-time QA engineer, as set out in the RFP. A smaller team does not compress these phases; it extends them.</w:t>
            </w:r>
          </w:p>
          <w:p>
            <w:pPr>
              <w:spacing w:after="55"/>
            </w:pPr>
            <w:r>
              <w:rPr>
                <w:sz w:val="19"/>
                <w:szCs w:val="19"/>
              </w:rPr>
              <w:t xml:space="preserve">The total sits at 14 to 16 weeks. Phases 0 and 1 look administrative and are routinely underestimated — the accounts, domains and legal groundwork in Phase 0 have long lead times and should start on day one.</w:t>
            </w:r>
          </w:p>
        </w:tc>
      </w:tr>
    </w:tbl>
    <w:p>
      <w:r>
        <w:br w:type="page"/>
      </w:r>
    </w:p>
    <w:p>
      <w:pPr>
        <w:pStyle w:val="Heading1"/>
        <w:spacing w:after="160" w:before="400"/>
      </w:pPr>
      <w:r>
        <w:rPr>
          <w:b/>
          <w:bCs/>
          <w:color w:val="2A4D0C"/>
          <w:sz w:val="30"/>
          <w:szCs w:val="30"/>
        </w:rPr>
        <w:t xml:space="preserve">The phases at a glance</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100"/>
        <w:gridCol w:w="4200"/>
      </w:tblGrid>
      <w:tr>
        <w:trPr>
          <w:tblHeader/>
        </w:trPr>
        <w:tc>
          <w:tcPr>
            <w:tcW w:type="dxa" w:w="600"/>
            <w:shd w:fill="3B6D11" w:color="auto" w:val="clear"/>
            <w:tcMar>
              <w:top w:type="dxa" w:w="85"/>
              <w:left w:type="dxa" w:w="110"/>
              <w:bottom w:type="dxa" w:w="85"/>
              <w:right w:type="dxa" w:w="110"/>
            </w:tcMar>
          </w:tcPr>
          <w:p>
            <w:pPr>
              <w:jc w:val="left"/>
            </w:pPr>
            <w:r>
              <w:rPr>
                <w:b/>
                <w:bCs/>
                <w:color w:val="FFFFFF"/>
                <w:sz w:val="18"/>
                <w:szCs w:val="18"/>
              </w:rPr>
              <w:t xml:space="preserve">#</w:t>
            </w:r>
          </w:p>
        </w:tc>
        <w:tc>
          <w:tcPr>
            <w:tcW w:type="dxa" w:w="3300"/>
            <w:shd w:fill="3B6D11" w:color="auto" w:val="clear"/>
            <w:tcMar>
              <w:top w:type="dxa" w:w="85"/>
              <w:left w:type="dxa" w:w="110"/>
              <w:bottom w:type="dxa" w:w="85"/>
              <w:right w:type="dxa" w:w="110"/>
            </w:tcMar>
          </w:tcPr>
          <w:p>
            <w:pPr>
              <w:jc w:val="left"/>
            </w:pPr>
            <w:r>
              <w:rPr>
                <w:b/>
                <w:bCs/>
                <w:color w:val="FFFFFF"/>
                <w:sz w:val="18"/>
                <w:szCs w:val="18"/>
              </w:rPr>
              <w:t xml:space="preserve">Phase</w:t>
            </w:r>
          </w:p>
        </w:tc>
        <w:tc>
          <w:tcPr>
            <w:tcW w:type="dxa" w:w="1100"/>
            <w:shd w:fill="3B6D11" w:color="auto" w:val="clear"/>
            <w:tcMar>
              <w:top w:type="dxa" w:w="85"/>
              <w:left w:type="dxa" w:w="110"/>
              <w:bottom w:type="dxa" w:w="85"/>
              <w:right w:type="dxa" w:w="110"/>
            </w:tcMar>
          </w:tcPr>
          <w:p>
            <w:pPr>
              <w:jc w:val="left"/>
            </w:pPr>
            <w:r>
              <w:rPr>
                <w:b/>
                <w:bCs/>
                <w:color w:val="FFFFFF"/>
                <w:sz w:val="18"/>
                <w:szCs w:val="18"/>
              </w:rPr>
              <w:t xml:space="preserve">Weeks</w:t>
            </w:r>
          </w:p>
        </w:tc>
        <w:tc>
          <w:tcPr>
            <w:tcW w:type="dxa" w:w="4200"/>
            <w:shd w:fill="3B6D11" w:color="auto" w:val="clear"/>
            <w:tcMar>
              <w:top w:type="dxa" w:w="85"/>
              <w:left w:type="dxa" w:w="110"/>
              <w:bottom w:type="dxa" w:w="85"/>
              <w:right w:type="dxa" w:w="110"/>
            </w:tcMar>
          </w:tcPr>
          <w:p>
            <w:pPr>
              <w:jc w:val="left"/>
            </w:pPr>
            <w:r>
              <w:rPr>
                <w:b/>
                <w:bCs/>
                <w:color w:val="FFFFFF"/>
                <w:sz w:val="18"/>
                <w:szCs w:val="18"/>
              </w:rPr>
              <w:t xml:space="preserve">Delivers</w:t>
            </w:r>
          </w:p>
        </w:tc>
      </w:tr>
      <w:tr>
        <w:tc>
          <w:tcPr>
            <w:tcW w:type="dxa" w:w="600"/>
            <w:tcMar>
              <w:top w:type="dxa" w:w="85"/>
              <w:left w:type="dxa" w:w="110"/>
              <w:bottom w:type="dxa" w:w="85"/>
              <w:right w:type="dxa" w:w="110"/>
            </w:tcMar>
          </w:tcPr>
          <w:p>
            <w:pPr>
              <w:jc w:val="left"/>
            </w:pPr>
            <w:r>
              <w:rPr>
                <w:b w:val="false"/>
                <w:bCs w:val="false"/>
                <w:sz w:val="18"/>
                <w:szCs w:val="18"/>
              </w:rPr>
              <w:t xml:space="preserve">0</w:t>
            </w:r>
          </w:p>
        </w:tc>
        <w:tc>
          <w:tcPr>
            <w:tcW w:type="dxa" w:w="3300"/>
            <w:tcMar>
              <w:top w:type="dxa" w:w="85"/>
              <w:left w:type="dxa" w:w="110"/>
              <w:bottom w:type="dxa" w:w="85"/>
              <w:right w:type="dxa" w:w="110"/>
            </w:tcMar>
          </w:tcPr>
          <w:p>
            <w:pPr>
              <w:jc w:val="left"/>
            </w:pPr>
            <w:r>
              <w:rPr>
                <w:b w:val="false"/>
                <w:bCs w:val="false"/>
                <w:sz w:val="18"/>
                <w:szCs w:val="18"/>
              </w:rPr>
              <w:t xml:space="preserve">Decisions and prerequisites</w:t>
            </w:r>
          </w:p>
        </w:tc>
        <w:tc>
          <w:tcPr>
            <w:tcW w:type="dxa" w:w="1100"/>
            <w:tcMar>
              <w:top w:type="dxa" w:w="85"/>
              <w:left w:type="dxa" w:w="110"/>
              <w:bottom w:type="dxa" w:w="85"/>
              <w:right w:type="dxa" w:w="110"/>
            </w:tcMar>
          </w:tcPr>
          <w:p>
            <w:pPr>
              <w:jc w:val="left"/>
            </w:pPr>
            <w:r>
              <w:rPr>
                <w:b w:val="false"/>
                <w:bCs w:val="false"/>
                <w:sz w:val="18"/>
                <w:szCs w:val="18"/>
              </w:rPr>
              <w:t xml:space="preserve">W1</w:t>
            </w:r>
          </w:p>
        </w:tc>
        <w:tc>
          <w:tcPr>
            <w:tcW w:type="dxa" w:w="4200"/>
            <w:tcMar>
              <w:top w:type="dxa" w:w="85"/>
              <w:left w:type="dxa" w:w="110"/>
              <w:bottom w:type="dxa" w:w="85"/>
              <w:right w:type="dxa" w:w="110"/>
            </w:tcMar>
          </w:tcPr>
          <w:p>
            <w:pPr>
              <w:jc w:val="left"/>
            </w:pPr>
            <w:r>
              <w:rPr>
                <w:b w:val="false"/>
                <w:bCs w:val="false"/>
                <w:sz w:val="18"/>
                <w:szCs w:val="18"/>
              </w:rPr>
              <w:t xml:space="preserve">Stack fixed, accounts open, legal started</w:t>
            </w:r>
          </w:p>
        </w:tc>
      </w:tr>
      <w:tr>
        <w:tc>
          <w:tcPr>
            <w:tcW w:type="dxa" w:w="600"/>
            <w:tcMar>
              <w:top w:type="dxa" w:w="85"/>
              <w:left w:type="dxa" w:w="110"/>
              <w:bottom w:type="dxa" w:w="85"/>
              <w:right w:type="dxa" w:w="110"/>
            </w:tcMar>
          </w:tcPr>
          <w:p>
            <w:pPr>
              <w:jc w:val="left"/>
            </w:pPr>
            <w:r>
              <w:rPr>
                <w:b w:val="false"/>
                <w:bCs w:val="false"/>
                <w:sz w:val="18"/>
                <w:szCs w:val="18"/>
              </w:rPr>
              <w:t xml:space="preserve">1</w:t>
            </w:r>
          </w:p>
        </w:tc>
        <w:tc>
          <w:tcPr>
            <w:tcW w:type="dxa" w:w="3300"/>
            <w:tcMar>
              <w:top w:type="dxa" w:w="85"/>
              <w:left w:type="dxa" w:w="110"/>
              <w:bottom w:type="dxa" w:w="85"/>
              <w:right w:type="dxa" w:w="110"/>
            </w:tcMar>
          </w:tcPr>
          <w:p>
            <w:pPr>
              <w:jc w:val="left"/>
            </w:pPr>
            <w:r>
              <w:rPr>
                <w:b w:val="false"/>
                <w:bCs w:val="false"/>
                <w:sz w:val="18"/>
                <w:szCs w:val="18"/>
              </w:rPr>
              <w:t xml:space="preserve">Foundation and environments</w:t>
            </w:r>
          </w:p>
        </w:tc>
        <w:tc>
          <w:tcPr>
            <w:tcW w:type="dxa" w:w="1100"/>
            <w:tcMar>
              <w:top w:type="dxa" w:w="85"/>
              <w:left w:type="dxa" w:w="110"/>
              <w:bottom w:type="dxa" w:w="85"/>
              <w:right w:type="dxa" w:w="110"/>
            </w:tcMar>
          </w:tcPr>
          <w:p>
            <w:pPr>
              <w:jc w:val="left"/>
            </w:pPr>
            <w:r>
              <w:rPr>
                <w:b w:val="false"/>
                <w:bCs w:val="false"/>
                <w:sz w:val="18"/>
                <w:szCs w:val="18"/>
              </w:rPr>
              <w:t xml:space="preserve">W1–2</w:t>
            </w:r>
          </w:p>
        </w:tc>
        <w:tc>
          <w:tcPr>
            <w:tcW w:type="dxa" w:w="4200"/>
            <w:tcMar>
              <w:top w:type="dxa" w:w="85"/>
              <w:left w:type="dxa" w:w="110"/>
              <w:bottom w:type="dxa" w:w="85"/>
              <w:right w:type="dxa" w:w="110"/>
            </w:tcMar>
          </w:tcPr>
          <w:p>
            <w:pPr>
              <w:jc w:val="left"/>
            </w:pPr>
            <w:r>
              <w:rPr>
                <w:b w:val="false"/>
                <w:bCs w:val="false"/>
                <w:sz w:val="18"/>
                <w:szCs w:val="18"/>
              </w:rPr>
              <w:t xml:space="preserve">Repo, CI/CD, three environments, schema</w:t>
            </w:r>
          </w:p>
        </w:tc>
      </w:tr>
      <w:tr>
        <w:tc>
          <w:tcPr>
            <w:tcW w:type="dxa" w:w="600"/>
            <w:tcMar>
              <w:top w:type="dxa" w:w="85"/>
              <w:left w:type="dxa" w:w="110"/>
              <w:bottom w:type="dxa" w:w="85"/>
              <w:right w:type="dxa" w:w="110"/>
            </w:tcMar>
          </w:tcPr>
          <w:p>
            <w:pPr>
              <w:jc w:val="left"/>
            </w:pPr>
            <w:r>
              <w:rPr>
                <w:b w:val="false"/>
                <w:bCs w:val="false"/>
                <w:sz w:val="18"/>
                <w:szCs w:val="18"/>
              </w:rPr>
              <w:t xml:space="preserve">2</w:t>
            </w:r>
          </w:p>
        </w:tc>
        <w:tc>
          <w:tcPr>
            <w:tcW w:type="dxa" w:w="3300"/>
            <w:tcMar>
              <w:top w:type="dxa" w:w="85"/>
              <w:left w:type="dxa" w:w="110"/>
              <w:bottom w:type="dxa" w:w="85"/>
              <w:right w:type="dxa" w:w="110"/>
            </w:tcMar>
          </w:tcPr>
          <w:p>
            <w:pPr>
              <w:jc w:val="left"/>
            </w:pPr>
            <w:r>
              <w:rPr>
                <w:b w:val="false"/>
                <w:bCs w:val="false"/>
                <w:sz w:val="18"/>
                <w:szCs w:val="18"/>
              </w:rPr>
              <w:t xml:space="preserve">Identity, tenancy and access</w:t>
            </w:r>
          </w:p>
        </w:tc>
        <w:tc>
          <w:tcPr>
            <w:tcW w:type="dxa" w:w="1100"/>
            <w:tcMar>
              <w:top w:type="dxa" w:w="85"/>
              <w:left w:type="dxa" w:w="110"/>
              <w:bottom w:type="dxa" w:w="85"/>
              <w:right w:type="dxa" w:w="110"/>
            </w:tcMar>
          </w:tcPr>
          <w:p>
            <w:pPr>
              <w:jc w:val="left"/>
            </w:pPr>
            <w:r>
              <w:rPr>
                <w:b w:val="false"/>
                <w:bCs w:val="false"/>
                <w:sz w:val="18"/>
                <w:szCs w:val="18"/>
              </w:rPr>
              <w:t xml:space="preserve">W2–4</w:t>
            </w:r>
          </w:p>
        </w:tc>
        <w:tc>
          <w:tcPr>
            <w:tcW w:type="dxa" w:w="4200"/>
            <w:tcMar>
              <w:top w:type="dxa" w:w="85"/>
              <w:left w:type="dxa" w:w="110"/>
              <w:bottom w:type="dxa" w:w="85"/>
              <w:right w:type="dxa" w:w="110"/>
            </w:tcMar>
          </w:tcPr>
          <w:p>
            <w:pPr>
              <w:jc w:val="left"/>
            </w:pPr>
            <w:r>
              <w:rPr>
                <w:b w:val="false"/>
                <w:bCs w:val="false"/>
                <w:sz w:val="18"/>
                <w:szCs w:val="18"/>
              </w:rPr>
              <w:t xml:space="preserve">Login, roles, row-level isolation, reset</w:t>
            </w:r>
          </w:p>
        </w:tc>
      </w:tr>
      <w:tr>
        <w:tc>
          <w:tcPr>
            <w:tcW w:type="dxa" w:w="600"/>
            <w:tcMar>
              <w:top w:type="dxa" w:w="85"/>
              <w:left w:type="dxa" w:w="110"/>
              <w:bottom w:type="dxa" w:w="85"/>
              <w:right w:type="dxa" w:w="110"/>
            </w:tcMar>
          </w:tcPr>
          <w:p>
            <w:pPr>
              <w:jc w:val="left"/>
            </w:pPr>
            <w:r>
              <w:rPr>
                <w:b w:val="false"/>
                <w:bCs w:val="false"/>
                <w:sz w:val="18"/>
                <w:szCs w:val="18"/>
              </w:rPr>
              <w:t xml:space="preserve">3</w:t>
            </w:r>
          </w:p>
        </w:tc>
        <w:tc>
          <w:tcPr>
            <w:tcW w:type="dxa" w:w="3300"/>
            <w:tcMar>
              <w:top w:type="dxa" w:w="85"/>
              <w:left w:type="dxa" w:w="110"/>
              <w:bottom w:type="dxa" w:w="85"/>
              <w:right w:type="dxa" w:w="110"/>
            </w:tcMar>
          </w:tcPr>
          <w:p>
            <w:pPr>
              <w:jc w:val="left"/>
            </w:pPr>
            <w:r>
              <w:rPr>
                <w:b w:val="false"/>
                <w:bCs w:val="false"/>
                <w:sz w:val="18"/>
                <w:szCs w:val="18"/>
              </w:rPr>
              <w:t xml:space="preserve">Core domain API</w:t>
            </w:r>
          </w:p>
        </w:tc>
        <w:tc>
          <w:tcPr>
            <w:tcW w:type="dxa" w:w="1100"/>
            <w:tcMar>
              <w:top w:type="dxa" w:w="85"/>
              <w:left w:type="dxa" w:w="110"/>
              <w:bottom w:type="dxa" w:w="85"/>
              <w:right w:type="dxa" w:w="110"/>
            </w:tcMar>
          </w:tcPr>
          <w:p>
            <w:pPr>
              <w:jc w:val="left"/>
            </w:pPr>
            <w:r>
              <w:rPr>
                <w:b w:val="false"/>
                <w:bCs w:val="false"/>
                <w:sz w:val="18"/>
                <w:szCs w:val="18"/>
              </w:rPr>
              <w:t xml:space="preserve">W3–7</w:t>
            </w:r>
          </w:p>
        </w:tc>
        <w:tc>
          <w:tcPr>
            <w:tcW w:type="dxa" w:w="4200"/>
            <w:tcMar>
              <w:top w:type="dxa" w:w="85"/>
              <w:left w:type="dxa" w:w="110"/>
              <w:bottom w:type="dxa" w:w="85"/>
              <w:right w:type="dxa" w:w="110"/>
            </w:tcMar>
          </w:tcPr>
          <w:p>
            <w:pPr>
              <w:jc w:val="left"/>
            </w:pPr>
            <w:r>
              <w:rPr>
                <w:b w:val="false"/>
                <w:bCs w:val="false"/>
                <w:sz w:val="18"/>
                <w:szCs w:val="18"/>
              </w:rPr>
              <w:t xml:space="preserve">The nine-stage lifecycle as real endpoints</w:t>
            </w:r>
          </w:p>
        </w:tc>
      </w:tr>
      <w:tr>
        <w:tc>
          <w:tcPr>
            <w:tcW w:type="dxa" w:w="600"/>
            <w:tcMar>
              <w:top w:type="dxa" w:w="85"/>
              <w:left w:type="dxa" w:w="110"/>
              <w:bottom w:type="dxa" w:w="85"/>
              <w:right w:type="dxa" w:w="110"/>
            </w:tcMar>
          </w:tcPr>
          <w:p>
            <w:pPr>
              <w:jc w:val="left"/>
            </w:pPr>
            <w:r>
              <w:rPr>
                <w:b w:val="false"/>
                <w:bCs w:val="false"/>
                <w:sz w:val="18"/>
                <w:szCs w:val="18"/>
              </w:rPr>
              <w:t xml:space="preserve">4</w:t>
            </w:r>
          </w:p>
        </w:tc>
        <w:tc>
          <w:tcPr>
            <w:tcW w:type="dxa" w:w="3300"/>
            <w:tcMar>
              <w:top w:type="dxa" w:w="85"/>
              <w:left w:type="dxa" w:w="110"/>
              <w:bottom w:type="dxa" w:w="85"/>
              <w:right w:type="dxa" w:w="110"/>
            </w:tcMar>
          </w:tcPr>
          <w:p>
            <w:pPr>
              <w:jc w:val="left"/>
            </w:pPr>
            <w:r>
              <w:rPr>
                <w:b w:val="false"/>
                <w:bCs w:val="false"/>
                <w:sz w:val="18"/>
                <w:szCs w:val="18"/>
              </w:rPr>
              <w:t xml:space="preserve">Documents and file storage</w:t>
            </w:r>
          </w:p>
        </w:tc>
        <w:tc>
          <w:tcPr>
            <w:tcW w:type="dxa" w:w="1100"/>
            <w:tcMar>
              <w:top w:type="dxa" w:w="85"/>
              <w:left w:type="dxa" w:w="110"/>
              <w:bottom w:type="dxa" w:w="85"/>
              <w:right w:type="dxa" w:w="110"/>
            </w:tcMar>
          </w:tcPr>
          <w:p>
            <w:pPr>
              <w:jc w:val="left"/>
            </w:pPr>
            <w:r>
              <w:rPr>
                <w:b w:val="false"/>
                <w:bCs w:val="false"/>
                <w:sz w:val="18"/>
                <w:szCs w:val="18"/>
              </w:rPr>
              <w:t xml:space="preserve">W5–8</w:t>
            </w:r>
          </w:p>
        </w:tc>
        <w:tc>
          <w:tcPr>
            <w:tcW w:type="dxa" w:w="4200"/>
            <w:tcMar>
              <w:top w:type="dxa" w:w="85"/>
              <w:left w:type="dxa" w:w="110"/>
              <w:bottom w:type="dxa" w:w="85"/>
              <w:right w:type="dxa" w:w="110"/>
            </w:tcMar>
          </w:tcPr>
          <w:p>
            <w:pPr>
              <w:jc w:val="left"/>
            </w:pPr>
            <w:r>
              <w:rPr>
                <w:b w:val="false"/>
                <w:bCs w:val="false"/>
                <w:sz w:val="18"/>
                <w:szCs w:val="18"/>
              </w:rPr>
              <w:t xml:space="preserve">S3, server-side PDFs, retention</w:t>
            </w:r>
          </w:p>
        </w:tc>
      </w:tr>
      <w:tr>
        <w:tc>
          <w:tcPr>
            <w:tcW w:type="dxa" w:w="600"/>
            <w:tcMar>
              <w:top w:type="dxa" w:w="85"/>
              <w:left w:type="dxa" w:w="110"/>
              <w:bottom w:type="dxa" w:w="85"/>
              <w:right w:type="dxa" w:w="110"/>
            </w:tcMar>
          </w:tcPr>
          <w:p>
            <w:pPr>
              <w:jc w:val="left"/>
            </w:pPr>
            <w:r>
              <w:rPr>
                <w:b w:val="false"/>
                <w:bCs w:val="false"/>
                <w:sz w:val="18"/>
                <w:szCs w:val="18"/>
              </w:rPr>
              <w:t xml:space="preserve">5</w:t>
            </w:r>
          </w:p>
        </w:tc>
        <w:tc>
          <w:tcPr>
            <w:tcW w:type="dxa" w:w="3300"/>
            <w:tcMar>
              <w:top w:type="dxa" w:w="85"/>
              <w:left w:type="dxa" w:w="110"/>
              <w:bottom w:type="dxa" w:w="85"/>
              <w:right w:type="dxa" w:w="110"/>
            </w:tcMar>
          </w:tcPr>
          <w:p>
            <w:pPr>
              <w:jc w:val="left"/>
            </w:pPr>
            <w:r>
              <w:rPr>
                <w:b w:val="false"/>
                <w:bCs w:val="false"/>
                <w:sz w:val="18"/>
                <w:szCs w:val="18"/>
              </w:rPr>
              <w:t xml:space="preserve">Notifications and email</w:t>
            </w:r>
          </w:p>
        </w:tc>
        <w:tc>
          <w:tcPr>
            <w:tcW w:type="dxa" w:w="1100"/>
            <w:tcMar>
              <w:top w:type="dxa" w:w="85"/>
              <w:left w:type="dxa" w:w="110"/>
              <w:bottom w:type="dxa" w:w="85"/>
              <w:right w:type="dxa" w:w="110"/>
            </w:tcMar>
          </w:tcPr>
          <w:p>
            <w:pPr>
              <w:jc w:val="left"/>
            </w:pPr>
            <w:r>
              <w:rPr>
                <w:b w:val="false"/>
                <w:bCs w:val="false"/>
                <w:sz w:val="18"/>
                <w:szCs w:val="18"/>
              </w:rPr>
              <w:t xml:space="preserve">W6–9</w:t>
            </w:r>
          </w:p>
        </w:tc>
        <w:tc>
          <w:tcPr>
            <w:tcW w:type="dxa" w:w="4200"/>
            <w:tcMar>
              <w:top w:type="dxa" w:w="85"/>
              <w:left w:type="dxa" w:w="110"/>
              <w:bottom w:type="dxa" w:w="85"/>
              <w:right w:type="dxa" w:w="110"/>
            </w:tcMar>
          </w:tcPr>
          <w:p>
            <w:pPr>
              <w:jc w:val="left"/>
            </w:pPr>
            <w:r>
              <w:rPr>
                <w:b w:val="false"/>
                <w:bCs w:val="false"/>
                <w:sz w:val="18"/>
                <w:szCs w:val="18"/>
              </w:rPr>
              <w:t xml:space="preserve">Transactional mail, templates, campaigns</w:t>
            </w:r>
          </w:p>
        </w:tc>
      </w:tr>
      <w:tr>
        <w:tc>
          <w:tcPr>
            <w:tcW w:type="dxa" w:w="600"/>
            <w:tcMar>
              <w:top w:type="dxa" w:w="85"/>
              <w:left w:type="dxa" w:w="110"/>
              <w:bottom w:type="dxa" w:w="85"/>
              <w:right w:type="dxa" w:w="110"/>
            </w:tcMar>
          </w:tcPr>
          <w:p>
            <w:pPr>
              <w:jc w:val="left"/>
            </w:pPr>
            <w:r>
              <w:rPr>
                <w:b w:val="false"/>
                <w:bCs w:val="false"/>
                <w:sz w:val="18"/>
                <w:szCs w:val="18"/>
              </w:rPr>
              <w:t xml:space="preserve">6</w:t>
            </w:r>
          </w:p>
        </w:tc>
        <w:tc>
          <w:tcPr>
            <w:tcW w:type="dxa" w:w="3300"/>
            <w:tcMar>
              <w:top w:type="dxa" w:w="85"/>
              <w:left w:type="dxa" w:w="110"/>
              <w:bottom w:type="dxa" w:w="85"/>
              <w:right w:type="dxa" w:w="110"/>
            </w:tcMar>
          </w:tcPr>
          <w:p>
            <w:pPr>
              <w:jc w:val="left"/>
            </w:pPr>
            <w:r>
              <w:rPr>
                <w:b w:val="false"/>
                <w:bCs w:val="false"/>
                <w:sz w:val="18"/>
                <w:szCs w:val="18"/>
              </w:rPr>
              <w:t xml:space="preserve">Frontend migration</w:t>
            </w:r>
          </w:p>
        </w:tc>
        <w:tc>
          <w:tcPr>
            <w:tcW w:type="dxa" w:w="1100"/>
            <w:tcMar>
              <w:top w:type="dxa" w:w="85"/>
              <w:left w:type="dxa" w:w="110"/>
              <w:bottom w:type="dxa" w:w="85"/>
              <w:right w:type="dxa" w:w="110"/>
            </w:tcMar>
          </w:tcPr>
          <w:p>
            <w:pPr>
              <w:jc w:val="left"/>
            </w:pPr>
            <w:r>
              <w:rPr>
                <w:b w:val="false"/>
                <w:bCs w:val="false"/>
                <w:sz w:val="18"/>
                <w:szCs w:val="18"/>
              </w:rPr>
              <w:t xml:space="preserve">W5–10</w:t>
            </w:r>
          </w:p>
        </w:tc>
        <w:tc>
          <w:tcPr>
            <w:tcW w:type="dxa" w:w="4200"/>
            <w:tcMar>
              <w:top w:type="dxa" w:w="85"/>
              <w:left w:type="dxa" w:w="110"/>
              <w:bottom w:type="dxa" w:w="85"/>
              <w:right w:type="dxa" w:w="110"/>
            </w:tcMar>
          </w:tcPr>
          <w:p>
            <w:pPr>
              <w:jc w:val="left"/>
            </w:pPr>
            <w:r>
              <w:rPr>
                <w:b w:val="false"/>
                <w:bCs w:val="false"/>
                <w:sz w:val="18"/>
                <w:szCs w:val="18"/>
              </w:rPr>
              <w:t xml:space="preserve">Prototype UI wired to the API</w:t>
            </w:r>
          </w:p>
        </w:tc>
      </w:tr>
      <w:tr>
        <w:tc>
          <w:tcPr>
            <w:tcW w:type="dxa" w:w="600"/>
            <w:tcMar>
              <w:top w:type="dxa" w:w="85"/>
              <w:left w:type="dxa" w:w="110"/>
              <w:bottom w:type="dxa" w:w="85"/>
              <w:right w:type="dxa" w:w="110"/>
            </w:tcMar>
          </w:tcPr>
          <w:p>
            <w:pPr>
              <w:jc w:val="left"/>
            </w:pPr>
            <w:r>
              <w:rPr>
                <w:b w:val="false"/>
                <w:bCs w:val="false"/>
                <w:sz w:val="18"/>
                <w:szCs w:val="18"/>
              </w:rPr>
              <w:t xml:space="preserve">7</w:t>
            </w:r>
          </w:p>
        </w:tc>
        <w:tc>
          <w:tcPr>
            <w:tcW w:type="dxa" w:w="3300"/>
            <w:tcMar>
              <w:top w:type="dxa" w:w="85"/>
              <w:left w:type="dxa" w:w="110"/>
              <w:bottom w:type="dxa" w:w="85"/>
              <w:right w:type="dxa" w:w="110"/>
            </w:tcMar>
          </w:tcPr>
          <w:p>
            <w:pPr>
              <w:jc w:val="left"/>
            </w:pPr>
            <w:r>
              <w:rPr>
                <w:b w:val="false"/>
                <w:bCs w:val="false"/>
                <w:sz w:val="18"/>
                <w:szCs w:val="18"/>
              </w:rPr>
              <w:t xml:space="preserve">Scheduled work</w:t>
            </w:r>
          </w:p>
        </w:tc>
        <w:tc>
          <w:tcPr>
            <w:tcW w:type="dxa" w:w="1100"/>
            <w:tcMar>
              <w:top w:type="dxa" w:w="85"/>
              <w:left w:type="dxa" w:w="110"/>
              <w:bottom w:type="dxa" w:w="85"/>
              <w:right w:type="dxa" w:w="110"/>
            </w:tcMar>
          </w:tcPr>
          <w:p>
            <w:pPr>
              <w:jc w:val="left"/>
            </w:pPr>
            <w:r>
              <w:rPr>
                <w:b w:val="false"/>
                <w:bCs w:val="false"/>
                <w:sz w:val="18"/>
                <w:szCs w:val="18"/>
              </w:rPr>
              <w:t xml:space="preserve">W8–10</w:t>
            </w:r>
          </w:p>
        </w:tc>
        <w:tc>
          <w:tcPr>
            <w:tcW w:type="dxa" w:w="4200"/>
            <w:tcMar>
              <w:top w:type="dxa" w:w="85"/>
              <w:left w:type="dxa" w:w="110"/>
              <w:bottom w:type="dxa" w:w="85"/>
              <w:right w:type="dxa" w:w="110"/>
            </w:tcMar>
          </w:tcPr>
          <w:p>
            <w:pPr>
              <w:jc w:val="left"/>
            </w:pPr>
            <w:r>
              <w:rPr>
                <w:b w:val="false"/>
                <w:bCs w:val="false"/>
                <w:sz w:val="18"/>
                <w:szCs w:val="18"/>
              </w:rPr>
              <w:t xml:space="preserve">Payment reminders, SLA watch, alerts</w:t>
            </w:r>
          </w:p>
        </w:tc>
      </w:tr>
      <w:tr>
        <w:tc>
          <w:tcPr>
            <w:tcW w:type="dxa" w:w="600"/>
            <w:tcMar>
              <w:top w:type="dxa" w:w="85"/>
              <w:left w:type="dxa" w:w="110"/>
              <w:bottom w:type="dxa" w:w="85"/>
              <w:right w:type="dxa" w:w="110"/>
            </w:tcMar>
          </w:tcPr>
          <w:p>
            <w:pPr>
              <w:jc w:val="left"/>
            </w:pPr>
            <w:r>
              <w:rPr>
                <w:b w:val="false"/>
                <w:bCs w:val="false"/>
                <w:sz w:val="18"/>
                <w:szCs w:val="18"/>
              </w:rPr>
              <w:t xml:space="preserve">8</w:t>
            </w:r>
          </w:p>
        </w:tc>
        <w:tc>
          <w:tcPr>
            <w:tcW w:type="dxa" w:w="3300"/>
            <w:tcMar>
              <w:top w:type="dxa" w:w="85"/>
              <w:left w:type="dxa" w:w="110"/>
              <w:bottom w:type="dxa" w:w="85"/>
              <w:right w:type="dxa" w:w="110"/>
            </w:tcMar>
          </w:tcPr>
          <w:p>
            <w:pPr>
              <w:jc w:val="left"/>
            </w:pPr>
            <w:r>
              <w:rPr>
                <w:b w:val="false"/>
                <w:bCs w:val="false"/>
                <w:sz w:val="18"/>
                <w:szCs w:val="18"/>
              </w:rPr>
              <w:t xml:space="preserve">Reporting and analytics</w:t>
            </w:r>
          </w:p>
        </w:tc>
        <w:tc>
          <w:tcPr>
            <w:tcW w:type="dxa" w:w="1100"/>
            <w:tcMar>
              <w:top w:type="dxa" w:w="85"/>
              <w:left w:type="dxa" w:w="110"/>
              <w:bottom w:type="dxa" w:w="85"/>
              <w:right w:type="dxa" w:w="110"/>
            </w:tcMar>
          </w:tcPr>
          <w:p>
            <w:pPr>
              <w:jc w:val="left"/>
            </w:pPr>
            <w:r>
              <w:rPr>
                <w:b w:val="false"/>
                <w:bCs w:val="false"/>
                <w:sz w:val="18"/>
                <w:szCs w:val="18"/>
              </w:rPr>
              <w:t xml:space="preserve">W9–12</w:t>
            </w:r>
          </w:p>
        </w:tc>
        <w:tc>
          <w:tcPr>
            <w:tcW w:type="dxa" w:w="4200"/>
            <w:tcMar>
              <w:top w:type="dxa" w:w="85"/>
              <w:left w:type="dxa" w:w="110"/>
              <w:bottom w:type="dxa" w:w="85"/>
              <w:right w:type="dxa" w:w="110"/>
            </w:tcMar>
          </w:tcPr>
          <w:p>
            <w:pPr>
              <w:jc w:val="left"/>
            </w:pPr>
            <w:r>
              <w:rPr>
                <w:b w:val="false"/>
                <w:bCs w:val="false"/>
                <w:sz w:val="18"/>
                <w:szCs w:val="18"/>
              </w:rPr>
              <w:t xml:space="preserve">Eight reports, exports, dashboards</w:t>
            </w:r>
          </w:p>
        </w:tc>
      </w:tr>
      <w:tr>
        <w:tc>
          <w:tcPr>
            <w:tcW w:type="dxa" w:w="600"/>
            <w:tcMar>
              <w:top w:type="dxa" w:w="85"/>
              <w:left w:type="dxa" w:w="110"/>
              <w:bottom w:type="dxa" w:w="85"/>
              <w:right w:type="dxa" w:w="110"/>
            </w:tcMar>
          </w:tcPr>
          <w:p>
            <w:pPr>
              <w:jc w:val="left"/>
            </w:pPr>
            <w:r>
              <w:rPr>
                <w:b w:val="false"/>
                <w:bCs w:val="false"/>
                <w:sz w:val="18"/>
                <w:szCs w:val="18"/>
              </w:rPr>
              <w:t xml:space="preserve">9</w:t>
            </w:r>
          </w:p>
        </w:tc>
        <w:tc>
          <w:tcPr>
            <w:tcW w:type="dxa" w:w="3300"/>
            <w:tcMar>
              <w:top w:type="dxa" w:w="85"/>
              <w:left w:type="dxa" w:w="110"/>
              <w:bottom w:type="dxa" w:w="85"/>
              <w:right w:type="dxa" w:w="110"/>
            </w:tcMar>
          </w:tcPr>
          <w:p>
            <w:pPr>
              <w:jc w:val="left"/>
            </w:pPr>
            <w:r>
              <w:rPr>
                <w:b w:val="false"/>
                <w:bCs w:val="false"/>
                <w:sz w:val="18"/>
                <w:szCs w:val="18"/>
              </w:rPr>
              <w:t xml:space="preserve">Security hardening and DPDPA</w:t>
            </w:r>
          </w:p>
        </w:tc>
        <w:tc>
          <w:tcPr>
            <w:tcW w:type="dxa" w:w="1100"/>
            <w:tcMar>
              <w:top w:type="dxa" w:w="85"/>
              <w:left w:type="dxa" w:w="110"/>
              <w:bottom w:type="dxa" w:w="85"/>
              <w:right w:type="dxa" w:w="110"/>
            </w:tcMar>
          </w:tcPr>
          <w:p>
            <w:pPr>
              <w:jc w:val="left"/>
            </w:pPr>
            <w:r>
              <w:rPr>
                <w:b w:val="false"/>
                <w:bCs w:val="false"/>
                <w:sz w:val="18"/>
                <w:szCs w:val="18"/>
              </w:rPr>
              <w:t xml:space="preserve">W10–13</w:t>
            </w:r>
          </w:p>
        </w:tc>
        <w:tc>
          <w:tcPr>
            <w:tcW w:type="dxa" w:w="4200"/>
            <w:tcMar>
              <w:top w:type="dxa" w:w="85"/>
              <w:left w:type="dxa" w:w="110"/>
              <w:bottom w:type="dxa" w:w="85"/>
              <w:right w:type="dxa" w:w="110"/>
            </w:tcMar>
          </w:tcPr>
          <w:p>
            <w:pPr>
              <w:jc w:val="left"/>
            </w:pPr>
            <w:r>
              <w:rPr>
                <w:b w:val="false"/>
                <w:bCs w:val="false"/>
                <w:sz w:val="18"/>
                <w:szCs w:val="18"/>
              </w:rPr>
              <w:t xml:space="preserve">Audit, pen test, compliance posture</w:t>
            </w:r>
          </w:p>
        </w:tc>
      </w:tr>
      <w:tr>
        <w:tc>
          <w:tcPr>
            <w:tcW w:type="dxa" w:w="600"/>
            <w:tcMar>
              <w:top w:type="dxa" w:w="85"/>
              <w:left w:type="dxa" w:w="110"/>
              <w:bottom w:type="dxa" w:w="85"/>
              <w:right w:type="dxa" w:w="110"/>
            </w:tcMar>
          </w:tcPr>
          <w:p>
            <w:pPr>
              <w:jc w:val="left"/>
            </w:pPr>
            <w:r>
              <w:rPr>
                <w:b w:val="false"/>
                <w:bCs w:val="false"/>
                <w:sz w:val="18"/>
                <w:szCs w:val="18"/>
              </w:rPr>
              <w:t xml:space="preserve">10</w:t>
            </w:r>
          </w:p>
        </w:tc>
        <w:tc>
          <w:tcPr>
            <w:tcW w:type="dxa" w:w="3300"/>
            <w:tcMar>
              <w:top w:type="dxa" w:w="85"/>
              <w:left w:type="dxa" w:w="110"/>
              <w:bottom w:type="dxa" w:w="85"/>
              <w:right w:type="dxa" w:w="110"/>
            </w:tcMar>
          </w:tcPr>
          <w:p>
            <w:pPr>
              <w:jc w:val="left"/>
            </w:pPr>
            <w:r>
              <w:rPr>
                <w:b w:val="false"/>
                <w:bCs w:val="false"/>
                <w:sz w:val="18"/>
                <w:szCs w:val="18"/>
              </w:rPr>
              <w:t xml:space="preserve">Data migration and UAT</w:t>
            </w:r>
          </w:p>
        </w:tc>
        <w:tc>
          <w:tcPr>
            <w:tcW w:type="dxa" w:w="1100"/>
            <w:tcMar>
              <w:top w:type="dxa" w:w="85"/>
              <w:left w:type="dxa" w:w="110"/>
              <w:bottom w:type="dxa" w:w="85"/>
              <w:right w:type="dxa" w:w="110"/>
            </w:tcMar>
          </w:tcPr>
          <w:p>
            <w:pPr>
              <w:jc w:val="left"/>
            </w:pPr>
            <w:r>
              <w:rPr>
                <w:b w:val="false"/>
                <w:bCs w:val="false"/>
                <w:sz w:val="18"/>
                <w:szCs w:val="18"/>
              </w:rPr>
              <w:t xml:space="preserve">W12–14</w:t>
            </w:r>
          </w:p>
        </w:tc>
        <w:tc>
          <w:tcPr>
            <w:tcW w:type="dxa" w:w="4200"/>
            <w:tcMar>
              <w:top w:type="dxa" w:w="85"/>
              <w:left w:type="dxa" w:w="110"/>
              <w:bottom w:type="dxa" w:w="85"/>
              <w:right w:type="dxa" w:w="110"/>
            </w:tcMar>
          </w:tcPr>
          <w:p>
            <w:pPr>
              <w:jc w:val="left"/>
            </w:pPr>
            <w:r>
              <w:rPr>
                <w:b w:val="false"/>
                <w:bCs w:val="false"/>
                <w:sz w:val="18"/>
                <w:szCs w:val="18"/>
              </w:rPr>
              <w:t xml:space="preserve">Real data loaded, ops team signed off</w:t>
            </w:r>
          </w:p>
        </w:tc>
      </w:tr>
      <w:tr>
        <w:tc>
          <w:tcPr>
            <w:tcW w:type="dxa" w:w="600"/>
            <w:tcMar>
              <w:top w:type="dxa" w:w="85"/>
              <w:left w:type="dxa" w:w="110"/>
              <w:bottom w:type="dxa" w:w="85"/>
              <w:right w:type="dxa" w:w="110"/>
            </w:tcMar>
          </w:tcPr>
          <w:p>
            <w:pPr>
              <w:jc w:val="left"/>
            </w:pPr>
            <w:r>
              <w:rPr>
                <w:b w:val="false"/>
                <w:bCs w:val="false"/>
                <w:sz w:val="18"/>
                <w:szCs w:val="18"/>
              </w:rPr>
              <w:t xml:space="preserve">11</w:t>
            </w:r>
          </w:p>
        </w:tc>
        <w:tc>
          <w:tcPr>
            <w:tcW w:type="dxa" w:w="3300"/>
            <w:tcMar>
              <w:top w:type="dxa" w:w="85"/>
              <w:left w:type="dxa" w:w="110"/>
              <w:bottom w:type="dxa" w:w="85"/>
              <w:right w:type="dxa" w:w="110"/>
            </w:tcMar>
          </w:tcPr>
          <w:p>
            <w:pPr>
              <w:jc w:val="left"/>
            </w:pPr>
            <w:r>
              <w:rPr>
                <w:b w:val="false"/>
                <w:bCs w:val="false"/>
                <w:sz w:val="18"/>
                <w:szCs w:val="18"/>
              </w:rPr>
              <w:t xml:space="preserve">Go-live</w:t>
            </w:r>
          </w:p>
        </w:tc>
        <w:tc>
          <w:tcPr>
            <w:tcW w:type="dxa" w:w="1100"/>
            <w:tcMar>
              <w:top w:type="dxa" w:w="85"/>
              <w:left w:type="dxa" w:w="110"/>
              <w:bottom w:type="dxa" w:w="85"/>
              <w:right w:type="dxa" w:w="110"/>
            </w:tcMar>
          </w:tcPr>
          <w:p>
            <w:pPr>
              <w:jc w:val="left"/>
            </w:pPr>
            <w:r>
              <w:rPr>
                <w:b w:val="false"/>
                <w:bCs w:val="false"/>
                <w:sz w:val="18"/>
                <w:szCs w:val="18"/>
              </w:rPr>
              <w:t xml:space="preserve">W14–15</w:t>
            </w:r>
          </w:p>
        </w:tc>
        <w:tc>
          <w:tcPr>
            <w:tcW w:type="dxa" w:w="4200"/>
            <w:tcMar>
              <w:top w:type="dxa" w:w="85"/>
              <w:left w:type="dxa" w:w="110"/>
              <w:bottom w:type="dxa" w:w="85"/>
              <w:right w:type="dxa" w:w="110"/>
            </w:tcMar>
          </w:tcPr>
          <w:p>
            <w:pPr>
              <w:jc w:val="left"/>
            </w:pPr>
            <w:r>
              <w:rPr>
                <w:b w:val="false"/>
                <w:bCs w:val="false"/>
                <w:sz w:val="18"/>
                <w:szCs w:val="18"/>
              </w:rPr>
              <w:t xml:space="preserve">Production cutover</w:t>
            </w:r>
          </w:p>
        </w:tc>
      </w:tr>
      <w:tr>
        <w:tc>
          <w:tcPr>
            <w:tcW w:type="dxa" w:w="600"/>
            <w:tcMar>
              <w:top w:type="dxa" w:w="85"/>
              <w:left w:type="dxa" w:w="110"/>
              <w:bottom w:type="dxa" w:w="85"/>
              <w:right w:type="dxa" w:w="110"/>
            </w:tcMar>
          </w:tcPr>
          <w:p>
            <w:pPr>
              <w:jc w:val="left"/>
            </w:pPr>
            <w:r>
              <w:rPr>
                <w:b w:val="false"/>
                <w:bCs w:val="false"/>
                <w:sz w:val="18"/>
                <w:szCs w:val="18"/>
              </w:rPr>
              <w:t xml:space="preserve">12</w:t>
            </w:r>
          </w:p>
        </w:tc>
        <w:tc>
          <w:tcPr>
            <w:tcW w:type="dxa" w:w="3300"/>
            <w:tcMar>
              <w:top w:type="dxa" w:w="85"/>
              <w:left w:type="dxa" w:w="110"/>
              <w:bottom w:type="dxa" w:w="85"/>
              <w:right w:type="dxa" w:w="110"/>
            </w:tcMar>
          </w:tcPr>
          <w:p>
            <w:pPr>
              <w:jc w:val="left"/>
            </w:pPr>
            <w:r>
              <w:rPr>
                <w:b w:val="false"/>
                <w:bCs w:val="false"/>
                <w:sz w:val="18"/>
                <w:szCs w:val="18"/>
              </w:rPr>
              <w:t xml:space="preserve">Operate and hand over</w:t>
            </w:r>
          </w:p>
        </w:tc>
        <w:tc>
          <w:tcPr>
            <w:tcW w:type="dxa" w:w="1100"/>
            <w:tcMar>
              <w:top w:type="dxa" w:w="85"/>
              <w:left w:type="dxa" w:w="110"/>
              <w:bottom w:type="dxa" w:w="85"/>
              <w:right w:type="dxa" w:w="110"/>
            </w:tcMar>
          </w:tcPr>
          <w:p>
            <w:pPr>
              <w:jc w:val="left"/>
            </w:pPr>
            <w:r>
              <w:rPr>
                <w:b w:val="false"/>
                <w:bCs w:val="false"/>
                <w:sz w:val="18"/>
                <w:szCs w:val="18"/>
              </w:rPr>
              <w:t xml:space="preserve">W15–16+</w:t>
            </w:r>
          </w:p>
        </w:tc>
        <w:tc>
          <w:tcPr>
            <w:tcW w:type="dxa" w:w="4200"/>
            <w:tcMar>
              <w:top w:type="dxa" w:w="85"/>
              <w:left w:type="dxa" w:w="110"/>
              <w:bottom w:type="dxa" w:w="85"/>
              <w:right w:type="dxa" w:w="110"/>
            </w:tcMar>
          </w:tcPr>
          <w:p>
            <w:pPr>
              <w:jc w:val="left"/>
            </w:pPr>
            <w:r>
              <w:rPr>
                <w:b w:val="false"/>
                <w:bCs w:val="false"/>
                <w:sz w:val="18"/>
                <w:szCs w:val="18"/>
              </w:rPr>
              <w:t xml:space="preserve">Runbook, monitoring, warranty</w:t>
            </w:r>
          </w:p>
        </w:tc>
      </w:tr>
    </w:tbl>
    <w:p>
      <w:pPr>
        <w:spacing w:after="110"/>
      </w:pPr>
      <w:r>
        <w:t xml:space="preserve"/>
      </w:r>
    </w:p>
    <w:p>
      <w:pPr>
        <w:spacing w:after="110"/>
        <w:jc w:val="left"/>
      </w:pPr>
      <w:r>
        <w:rPr>
          <w:sz w:val="21"/>
          <w:szCs w:val="21"/>
        </w:rPr>
        <w:t xml:space="preserve">Phases 3 and 6 are the bulk of the work and run in parallel once the API contract is agreed. Phase 9 must not be compressed; it is the phase most often sacrificed to a deadline and the most expensive to skip.</w:t>
      </w:r>
    </w:p>
    <w:p>
      <w:r>
        <w:br w:type="page"/>
      </w:r>
    </w:p>
    <w:tbl>
      <w:tblPr>
        <w:tblW w:type="dxa" w:w="9200"/>
        <w:tblBorders>
          <w:top w:val="none"/>
          <w:left w:val="none"/>
          <w:bottom w:val="none"/>
          <w:right w:val="none"/>
          <w:insideH w:val="none"/>
          <w:insideV w:val="none"/>
        </w:tblBorders>
      </w:tblPr>
      <w:tblGrid>
        <w:gridCol w:w="1100"/>
        <w:gridCol w:w="5400"/>
        <w:gridCol w:w="1500"/>
        <w:gridCol w:w="1200"/>
      </w:tblGrid>
      <w:tr>
        <w:tc>
          <w:tcPr>
            <w:tcW w:type="dxa" w:w="1100"/>
            <w:shd w:fill="2A4D0C" w:color="auto" w:val="clear"/>
            <w:tcMar>
              <w:top w:type="dxa" w:w="150"/>
              <w:left w:type="dxa" w:w="100"/>
              <w:bottom w:type="dxa" w:w="150"/>
              <w:right w:type="dxa" w:w="100"/>
            </w:tcMar>
          </w:tcPr>
          <w:p>
            <w:pPr>
              <w:jc w:val="center"/>
            </w:pPr>
            <w:r>
              <w:rPr>
                <w:b/>
                <w:bCs/>
                <w:color w:val="FFFFFF"/>
                <w:sz w:val="14"/>
                <w:szCs w:val="14"/>
              </w:rPr>
              <w:t xml:space="preserve">PHASE</w:t>
            </w:r>
          </w:p>
          <w:p>
            <w:pPr>
              <w:jc w:val="center"/>
            </w:pPr>
            <w:r>
              <w:rPr>
                <w:b/>
                <w:bCs/>
                <w:color w:val="FFFFFF"/>
                <w:sz w:val="34"/>
                <w:szCs w:val="34"/>
              </w:rPr>
              <w:t xml:space="preserve">0</w:t>
            </w:r>
          </w:p>
        </w:tc>
        <w:tc>
          <w:tcPr>
            <w:tcW w:type="dxa" w:w="5400"/>
            <w:shd w:fill="3B6D11" w:color="auto" w:val="clear"/>
            <w:tcMar>
              <w:top w:type="dxa" w:w="150"/>
              <w:left w:type="dxa" w:w="190"/>
              <w:bottom w:type="dxa" w:w="150"/>
              <w:right w:type="dxa" w:w="120"/>
            </w:tcMar>
          </w:tcPr>
          <w:p>
            <w:r>
              <w:rPr>
                <w:b/>
                <w:bCs/>
                <w:color w:val="FFFFFF"/>
                <w:sz w:val="26"/>
                <w:szCs w:val="26"/>
              </w:rPr>
              <w:t xml:space="preserve">Decisions and prerequisites</w:t>
            </w:r>
          </w:p>
        </w:tc>
        <w:tc>
          <w:tcPr>
            <w:tcW w:type="dxa" w:w="1500"/>
            <w:shd w:fill="3B6D11" w:color="auto" w:val="clear"/>
            <w:tcMar>
              <w:top w:type="dxa" w:w="150"/>
              <w:left w:type="dxa" w:w="100"/>
              <w:bottom w:type="dxa" w:w="150"/>
              <w:right w:type="dxa" w:w="100"/>
            </w:tcMar>
          </w:tcPr>
          <w:p>
            <w:r>
              <w:rPr>
                <w:color w:val="C0DD97"/>
                <w:sz w:val="13"/>
                <w:szCs w:val="13"/>
              </w:rPr>
              <w:t xml:space="preserve">DURATION</w:t>
            </w:r>
          </w:p>
          <w:p>
            <w:r>
              <w:rPr>
                <w:b/>
                <w:bCs/>
                <w:color w:val="FFFFFF"/>
                <w:sz w:val="18"/>
                <w:szCs w:val="18"/>
              </w:rPr>
              <w:t xml:space="preserve">Week 1</w:t>
            </w:r>
          </w:p>
        </w:tc>
        <w:tc>
          <w:tcPr>
            <w:tcW w:type="dxa" w:w="1200"/>
            <w:shd w:fill="3B6D11" w:color="auto" w:val="clear"/>
            <w:tcMar>
              <w:top w:type="dxa" w:w="150"/>
              <w:left w:type="dxa" w:w="100"/>
              <w:bottom w:type="dxa" w:w="150"/>
              <w:right w:type="dxa" w:w="120"/>
            </w:tcMar>
          </w:tcPr>
          <w:p>
            <w:r>
              <w:rPr>
                <w:color w:val="C0DD97"/>
                <w:sz w:val="13"/>
                <w:szCs w:val="13"/>
              </w:rPr>
              <w:t xml:space="preserve">LEAD</w:t>
            </w:r>
          </w:p>
          <w:p>
            <w:r>
              <w:rPr>
                <w:b/>
                <w:bCs/>
                <w:color w:val="FFFFFF"/>
                <w:sz w:val="18"/>
                <w:szCs w:val="18"/>
              </w:rPr>
              <w:t xml:space="preserve">Urbeno + Lead</w:t>
            </w:r>
          </w:p>
        </w:tc>
      </w:tr>
    </w:tbl>
    <w:p>
      <w:pPr>
        <w:spacing w:after="110"/>
      </w:pPr>
      <w:r>
        <w:t xml:space="preserve"/>
      </w:r>
    </w:p>
    <w:p>
      <w:pPr>
        <w:spacing w:after="110"/>
        <w:jc w:val="left"/>
      </w:pPr>
      <w:r>
        <w:rPr>
          <w:sz w:val="21"/>
          <w:szCs w:val="21"/>
        </w:rPr>
        <w:t xml:space="preserve">Nothing here is code. All of it blocks something later, and several items have lead times measured in weeks, so start on day one.</w:t>
      </w:r>
    </w:p>
    <w:p>
      <w:pPr>
        <w:spacing w:after="90" w:before="190"/>
      </w:pPr>
      <w:r>
        <w:rPr>
          <w:b/>
          <w:bCs/>
          <w:color w:val="3B6D11"/>
          <w:sz w:val="21"/>
          <w:szCs w:val="21"/>
        </w:rPr>
        <w:t xml:space="preserve">Decisions Urbeno must make</w:t>
      </w:r>
    </w:p>
    <w:p>
      <w:pPr>
        <w:pStyle w:val="ListParagraph"/>
        <w:numPr>
          <w:ilvl w:val="0"/>
          <w:numId w:val="2"/>
        </w:numPr>
        <w:spacing w:after="55"/>
      </w:pPr>
      <w:r>
        <w:rPr>
          <w:b/>
          <w:bCs/>
          <w:sz w:val="21"/>
          <w:szCs w:val="21"/>
        </w:rPr>
        <w:t xml:space="preserve">Hosting region — </w:t>
      </w:r>
      <w:r>
        <w:rPr>
          <w:sz w:val="21"/>
          <w:szCs w:val="21"/>
        </w:rPr>
        <w:t xml:space="preserve">Must be in India. AWS ap-south-1 (Mumbai) or Azure Central India. This is a data-residency commitment, not a preference.</w:t>
      </w:r>
    </w:p>
    <w:p>
      <w:pPr>
        <w:pStyle w:val="ListParagraph"/>
        <w:numPr>
          <w:ilvl w:val="0"/>
          <w:numId w:val="2"/>
        </w:numPr>
        <w:spacing w:after="55"/>
      </w:pPr>
      <w:r>
        <w:rPr>
          <w:b/>
          <w:bCs/>
          <w:sz w:val="21"/>
          <w:szCs w:val="21"/>
        </w:rPr>
        <w:t xml:space="preserve">Managed vs self-hosted database — </w:t>
      </w:r>
      <w:r>
        <w:rPr>
          <w:sz w:val="21"/>
          <w:szCs w:val="21"/>
        </w:rPr>
        <w:t xml:space="preserve">Managed Postgres (RDS, Azure Database, or Supabase) removes a standing operational burden. Recommended unless there is a specific reason not to.</w:t>
      </w:r>
    </w:p>
    <w:p>
      <w:pPr>
        <w:pStyle w:val="ListParagraph"/>
        <w:numPr>
          <w:ilvl w:val="0"/>
          <w:numId w:val="2"/>
        </w:numPr>
        <w:spacing w:after="55"/>
      </w:pPr>
      <w:r>
        <w:rPr>
          <w:b/>
          <w:bCs/>
          <w:sz w:val="21"/>
          <w:szCs w:val="21"/>
        </w:rPr>
        <w:t xml:space="preserve">Domain — </w:t>
      </w:r>
      <w:r>
        <w:rPr>
          <w:sz w:val="21"/>
          <w:szCs w:val="21"/>
        </w:rPr>
        <w:t xml:space="preserve">A subdomain such as tectrack.urbeno.in. Decide now; DNS and certificates depend on it.</w:t>
      </w:r>
    </w:p>
    <w:p>
      <w:pPr>
        <w:pStyle w:val="ListParagraph"/>
        <w:numPr>
          <w:ilvl w:val="0"/>
          <w:numId w:val="2"/>
        </w:numPr>
        <w:spacing w:after="55"/>
      </w:pPr>
      <w:r>
        <w:rPr>
          <w:b/>
          <w:bCs/>
          <w:sz w:val="21"/>
          <w:szCs w:val="21"/>
        </w:rPr>
        <w:t xml:space="preserve">Email sending domain — </w:t>
      </w:r>
      <w:r>
        <w:rPr>
          <w:sz w:val="21"/>
          <w:szCs w:val="21"/>
        </w:rPr>
        <w:t xml:space="preserve">Transactional mail must send from a domain Urbeno controls, with SPF, DKIM and DMARC. Warming a new sending domain takes two to three weeks — start immediately.</w:t>
      </w:r>
    </w:p>
    <w:p>
      <w:pPr>
        <w:pStyle w:val="ListParagraph"/>
        <w:numPr>
          <w:ilvl w:val="0"/>
          <w:numId w:val="2"/>
        </w:numPr>
        <w:spacing w:after="55"/>
      </w:pPr>
      <w:r>
        <w:rPr>
          <w:b/>
          <w:bCs/>
          <w:sz w:val="21"/>
          <w:szCs w:val="21"/>
        </w:rPr>
        <w:t xml:space="preserve">Email service provider — </w:t>
      </w:r>
      <w:r>
        <w:rPr>
          <w:sz w:val="21"/>
          <w:szCs w:val="21"/>
        </w:rPr>
        <w:t xml:space="preserve">SendGrid, Amazon SES or Zoho ZeptoMail. SES is cheapest and has the most setup friction.</w:t>
      </w:r>
    </w:p>
    <w:p>
      <w:pPr>
        <w:pStyle w:val="ListParagraph"/>
        <w:numPr>
          <w:ilvl w:val="0"/>
          <w:numId w:val="2"/>
        </w:numPr>
        <w:spacing w:after="55"/>
      </w:pPr>
      <w:r>
        <w:rPr>
          <w:b/>
          <w:bCs/>
          <w:sz w:val="21"/>
          <w:szCs w:val="21"/>
        </w:rPr>
        <w:t xml:space="preserve">WhatsApp business service provider — </w:t>
      </w:r>
      <w:r>
        <w:rPr>
          <w:sz w:val="21"/>
          <w:szCs w:val="21"/>
        </w:rPr>
        <w:t xml:space="preserve">Gupshup, AiSensy or Twilio. Template approval by Meta takes one to two weeks.</w:t>
      </w:r>
    </w:p>
    <w:p>
      <w:pPr>
        <w:pStyle w:val="ListParagraph"/>
        <w:numPr>
          <w:ilvl w:val="0"/>
          <w:numId w:val="2"/>
        </w:numPr>
        <w:spacing w:after="55"/>
      </w:pPr>
      <w:r>
        <w:rPr>
          <w:b/>
          <w:bCs/>
          <w:sz w:val="21"/>
          <w:szCs w:val="21"/>
        </w:rPr>
        <w:t xml:space="preserve">Backup retention — </w:t>
      </w:r>
      <w:r>
        <w:rPr>
          <w:sz w:val="21"/>
          <w:szCs w:val="21"/>
        </w:rPr>
        <w:t xml:space="preserve">Thirty days of daily backups is the baseline. Confirm whether any client contract demands more.</w:t>
      </w:r>
    </w:p>
    <w:p>
      <w:pPr>
        <w:spacing w:after="90" w:before="190"/>
      </w:pPr>
      <w:r>
        <w:rPr>
          <w:b/>
          <w:bCs/>
          <w:color w:val="3B6D11"/>
          <w:sz w:val="21"/>
          <w:szCs w:val="21"/>
        </w:rPr>
        <w:t xml:space="preserve">Accounts and access to open</w:t>
      </w:r>
    </w:p>
    <w:p>
      <w:pPr>
        <w:pStyle w:val="ListParagraph"/>
        <w:numPr>
          <w:ilvl w:val="0"/>
          <w:numId w:val="2"/>
        </w:numPr>
        <w:spacing w:after="55"/>
      </w:pPr>
      <w:r>
        <w:rPr>
          <w:sz w:val="21"/>
          <w:szCs w:val="21"/>
        </w:rPr>
        <w:t xml:space="preserve">Cloud account with billing alerts configured and a separate production account or subscription</w:t>
      </w:r>
    </w:p>
    <w:p>
      <w:pPr>
        <w:pStyle w:val="ListParagraph"/>
        <w:numPr>
          <w:ilvl w:val="0"/>
          <w:numId w:val="2"/>
        </w:numPr>
        <w:spacing w:after="55"/>
      </w:pPr>
      <w:r>
        <w:rPr>
          <w:sz w:val="21"/>
          <w:szCs w:val="21"/>
        </w:rPr>
        <w:t xml:space="preserve">Source control organisation owned by Urbeno, not by the development partner</w:t>
      </w:r>
    </w:p>
    <w:p>
      <w:pPr>
        <w:pStyle w:val="ListParagraph"/>
        <w:numPr>
          <w:ilvl w:val="0"/>
          <w:numId w:val="2"/>
        </w:numPr>
        <w:spacing w:after="55"/>
      </w:pPr>
      <w:r>
        <w:rPr>
          <w:sz w:val="21"/>
          <w:szCs w:val="21"/>
        </w:rPr>
        <w:t xml:space="preserve">Error tracking (Sentry or equivalent), uptime monitoring, and a status page if clients will be given one</w:t>
      </w:r>
    </w:p>
    <w:p>
      <w:pPr>
        <w:pStyle w:val="ListParagraph"/>
        <w:numPr>
          <w:ilvl w:val="0"/>
          <w:numId w:val="2"/>
        </w:numPr>
        <w:spacing w:after="55"/>
      </w:pPr>
      <w:r>
        <w:rPr>
          <w:sz w:val="21"/>
          <w:szCs w:val="21"/>
        </w:rPr>
        <w:t xml:space="preserve">Email, SMS and WhatsApp provider accounts, with sender identities verified</w:t>
      </w:r>
    </w:p>
    <w:p>
      <w:pPr>
        <w:pStyle w:val="ListParagraph"/>
        <w:numPr>
          <w:ilvl w:val="0"/>
          <w:numId w:val="2"/>
        </w:numPr>
        <w:spacing w:after="55"/>
      </w:pPr>
      <w:r>
        <w:rPr>
          <w:sz w:val="21"/>
          <w:szCs w:val="21"/>
        </w:rPr>
        <w:t xml:space="preserve">A shared password manager for the credentials above — no secrets in chat or email</w:t>
      </w:r>
    </w:p>
    <w:p>
      <w:pPr>
        <w:spacing w:after="90" w:before="190"/>
      </w:pPr>
      <w:r>
        <w:rPr>
          <w:b/>
          <w:bCs/>
          <w:color w:val="3B6D11"/>
          <w:sz w:val="21"/>
          <w:szCs w:val="21"/>
        </w:rPr>
        <w:t xml:space="preserve">Legal and compliance, started now</w:t>
      </w:r>
    </w:p>
    <w:p>
      <w:pPr>
        <w:pStyle w:val="ListParagraph"/>
        <w:numPr>
          <w:ilvl w:val="0"/>
          <w:numId w:val="2"/>
        </w:numPr>
        <w:spacing w:after="55"/>
      </w:pPr>
      <w:r>
        <w:rPr>
          <w:sz w:val="21"/>
          <w:szCs w:val="21"/>
        </w:rPr>
        <w:t xml:space="preserve">Privacy policy and terms of service reviewed against the DPDPA. The prototype already contains a Terms of Use document; it is a starting draft, not legal advice, and must be reviewed by counsel.</w:t>
      </w:r>
    </w:p>
    <w:p>
      <w:pPr>
        <w:pStyle w:val="ListParagraph"/>
        <w:numPr>
          <w:ilvl w:val="0"/>
          <w:numId w:val="2"/>
        </w:numPr>
        <w:spacing w:after="55"/>
      </w:pPr>
      <w:r>
        <w:rPr>
          <w:sz w:val="21"/>
          <w:szCs w:val="21"/>
        </w:rPr>
        <w:t xml:space="preserve">Data processing agreement between Urbeno and the development partner</w:t>
      </w:r>
    </w:p>
    <w:p>
      <w:pPr>
        <w:pStyle w:val="ListParagraph"/>
        <w:numPr>
          <w:ilvl w:val="0"/>
          <w:numId w:val="2"/>
        </w:numPr>
        <w:spacing w:after="55"/>
      </w:pPr>
      <w:r>
        <w:rPr>
          <w:sz w:val="21"/>
          <w:szCs w:val="21"/>
        </w:rPr>
        <w:t xml:space="preserve">Mutual NDA if not already signed</w:t>
      </w:r>
    </w:p>
    <w:p>
      <w:pPr>
        <w:pStyle w:val="ListParagraph"/>
        <w:numPr>
          <w:ilvl w:val="0"/>
          <w:numId w:val="2"/>
        </w:numPr>
        <w:spacing w:after="55"/>
      </w:pPr>
      <w:r>
        <w:rPr>
          <w:sz w:val="21"/>
          <w:szCs w:val="21"/>
        </w:rPr>
        <w:t xml:space="preserve">Book the third-party security audit for Phase 9 now — good firms are booked four to six weeks out</w:t>
      </w:r>
    </w:p>
    <w:p>
      <w:pPr>
        <w:spacing w:after="90" w:before="190"/>
      </w:pPr>
      <w:r>
        <w:rPr>
          <w:b/>
          <w:bCs/>
          <w:color w:val="3B6D11"/>
          <w:sz w:val="21"/>
          <w:szCs w:val="21"/>
        </w:rPr>
        <w:t xml:space="preserve">Technical decisions the partner must record</w:t>
      </w:r>
    </w:p>
    <w:p>
      <w:pPr>
        <w:pStyle w:val="ListParagraph"/>
        <w:numPr>
          <w:ilvl w:val="0"/>
          <w:numId w:val="2"/>
        </w:numPr>
        <w:spacing w:after="55"/>
      </w:pPr>
      <w:r>
        <w:rPr>
          <w:sz w:val="21"/>
          <w:szCs w:val="21"/>
        </w:rPr>
        <w:t xml:space="preserve">Language and framework, with the reasoning written down</w:t>
      </w:r>
    </w:p>
    <w:p>
      <w:pPr>
        <w:pStyle w:val="ListParagraph"/>
        <w:numPr>
          <w:ilvl w:val="0"/>
          <w:numId w:val="2"/>
        </w:numPr>
        <w:spacing w:after="55"/>
      </w:pPr>
      <w:r>
        <w:rPr>
          <w:sz w:val="21"/>
          <w:szCs w:val="21"/>
        </w:rPr>
        <w:t xml:space="preserve">API style — REST or GraphQL. REST is recommended here; the prototype service layer maps to resource endpoints almost one to one.</w:t>
      </w:r>
    </w:p>
    <w:p>
      <w:pPr>
        <w:pStyle w:val="ListParagraph"/>
        <w:numPr>
          <w:ilvl w:val="0"/>
          <w:numId w:val="2"/>
        </w:numPr>
        <w:spacing w:after="55"/>
      </w:pPr>
      <w:r>
        <w:rPr>
          <w:sz w:val="21"/>
          <w:szCs w:val="21"/>
        </w:rPr>
        <w:t xml:space="preserve">Migration tooling, so schema changes are versioned from the first commit</w:t>
      </w:r>
    </w:p>
    <w:p>
      <w:pPr>
        <w:pStyle w:val="ListParagraph"/>
        <w:numPr>
          <w:ilvl w:val="0"/>
          <w:numId w:val="2"/>
        </w:numPr>
        <w:spacing w:after="55"/>
      </w:pPr>
      <w:r>
        <w:rPr>
          <w:sz w:val="21"/>
          <w:szCs w:val="21"/>
        </w:rPr>
        <w:t xml:space="preserve">Test framework and the coverage bar the team will hold itself to</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Exit criteria — do not start the next phase until all of these are true</w:t>
            </w:r>
          </w:p>
          <w:p>
            <w:pPr>
              <w:spacing w:after="55"/>
            </w:pPr>
            <w:r>
              <w:rPr>
                <w:sz w:val="19"/>
                <w:szCs w:val="19"/>
              </w:rPr>
              <w:t xml:space="preserve">☐  Hosting region, database choice and domain are decided and recorded</w:t>
            </w:r>
          </w:p>
          <w:p>
            <w:pPr>
              <w:spacing w:after="55"/>
            </w:pPr>
            <w:r>
              <w:rPr>
                <w:sz w:val="19"/>
                <w:szCs w:val="19"/>
              </w:rPr>
              <w:t xml:space="preserve">☐  All cloud, email, SMS and monitoring accounts exist and are owned by Urbeno</w:t>
            </w:r>
          </w:p>
          <w:p>
            <w:pPr>
              <w:spacing w:after="55"/>
            </w:pPr>
            <w:r>
              <w:rPr>
                <w:sz w:val="19"/>
                <w:szCs w:val="19"/>
              </w:rPr>
              <w:t xml:space="preserve">☐  Sending domain is configured with SPF, DKIM and DMARC and is warming</w:t>
            </w:r>
          </w:p>
          <w:p>
            <w:pPr>
              <w:spacing w:after="55"/>
            </w:pPr>
            <w:r>
              <w:rPr>
                <w:sz w:val="19"/>
                <w:szCs w:val="19"/>
              </w:rPr>
              <w:t xml:space="preserve">☐  Security audit is booked with a date</w:t>
            </w:r>
          </w:p>
          <w:p>
            <w:pPr>
              <w:spacing w:after="55"/>
            </w:pPr>
            <w:r>
              <w:rPr>
                <w:sz w:val="19"/>
                <w:szCs w:val="19"/>
              </w:rPr>
              <w:t xml:space="preserve">☐  Counsel has the privacy policy and terms in hand</w:t>
            </w:r>
          </w:p>
          <w:p>
            <w:pPr>
              <w:spacing w:after="55"/>
            </w:pPr>
            <w:r>
              <w:rPr>
                <w:sz w:val="19"/>
                <w:szCs w:val="19"/>
              </w:rPr>
              <w:t xml:space="preserve">☐  A one-page architecture decision record exists and Urbeno has read it</w:t>
            </w:r>
          </w:p>
        </w:tc>
      </w:tr>
    </w:tbl>
    <w:p>
      <w:r>
        <w:br w:type="page"/>
      </w:r>
    </w:p>
    <w:tbl>
      <w:tblPr>
        <w:tblW w:type="dxa" w:w="9200"/>
        <w:tblBorders>
          <w:top w:val="none"/>
          <w:left w:val="none"/>
          <w:bottom w:val="none"/>
          <w:right w:val="none"/>
          <w:insideH w:val="none"/>
          <w:insideV w:val="none"/>
        </w:tblBorders>
      </w:tblPr>
      <w:tblGrid>
        <w:gridCol w:w="1100"/>
        <w:gridCol w:w="5400"/>
        <w:gridCol w:w="1500"/>
        <w:gridCol w:w="1200"/>
      </w:tblGrid>
      <w:tr>
        <w:tc>
          <w:tcPr>
            <w:tcW w:type="dxa" w:w="1100"/>
            <w:shd w:fill="2A4D0C" w:color="auto" w:val="clear"/>
            <w:tcMar>
              <w:top w:type="dxa" w:w="150"/>
              <w:left w:type="dxa" w:w="100"/>
              <w:bottom w:type="dxa" w:w="150"/>
              <w:right w:type="dxa" w:w="100"/>
            </w:tcMar>
          </w:tcPr>
          <w:p>
            <w:pPr>
              <w:jc w:val="center"/>
            </w:pPr>
            <w:r>
              <w:rPr>
                <w:b/>
                <w:bCs/>
                <w:color w:val="FFFFFF"/>
                <w:sz w:val="14"/>
                <w:szCs w:val="14"/>
              </w:rPr>
              <w:t xml:space="preserve">PHASE</w:t>
            </w:r>
          </w:p>
          <w:p>
            <w:pPr>
              <w:jc w:val="center"/>
            </w:pPr>
            <w:r>
              <w:rPr>
                <w:b/>
                <w:bCs/>
                <w:color w:val="FFFFFF"/>
                <w:sz w:val="34"/>
                <w:szCs w:val="34"/>
              </w:rPr>
              <w:t xml:space="preserve">1</w:t>
            </w:r>
          </w:p>
        </w:tc>
        <w:tc>
          <w:tcPr>
            <w:tcW w:type="dxa" w:w="5400"/>
            <w:shd w:fill="3B6D11" w:color="auto" w:val="clear"/>
            <w:tcMar>
              <w:top w:type="dxa" w:w="150"/>
              <w:left w:type="dxa" w:w="190"/>
              <w:bottom w:type="dxa" w:w="150"/>
              <w:right w:type="dxa" w:w="120"/>
            </w:tcMar>
          </w:tcPr>
          <w:p>
            <w:r>
              <w:rPr>
                <w:b/>
                <w:bCs/>
                <w:color w:val="FFFFFF"/>
                <w:sz w:val="26"/>
                <w:szCs w:val="26"/>
              </w:rPr>
              <w:t xml:space="preserve">Foundation and environments</w:t>
            </w:r>
          </w:p>
        </w:tc>
        <w:tc>
          <w:tcPr>
            <w:tcW w:type="dxa" w:w="1500"/>
            <w:shd w:fill="3B6D11" w:color="auto" w:val="clear"/>
            <w:tcMar>
              <w:top w:type="dxa" w:w="150"/>
              <w:left w:type="dxa" w:w="100"/>
              <w:bottom w:type="dxa" w:w="150"/>
              <w:right w:type="dxa" w:w="100"/>
            </w:tcMar>
          </w:tcPr>
          <w:p>
            <w:r>
              <w:rPr>
                <w:color w:val="C0DD97"/>
                <w:sz w:val="13"/>
                <w:szCs w:val="13"/>
              </w:rPr>
              <w:t xml:space="preserve">DURATION</w:t>
            </w:r>
          </w:p>
          <w:p>
            <w:r>
              <w:rPr>
                <w:b/>
                <w:bCs/>
                <w:color w:val="FFFFFF"/>
                <w:sz w:val="18"/>
                <w:szCs w:val="18"/>
              </w:rPr>
              <w:t xml:space="preserve">Weeks 1–2</w:t>
            </w:r>
          </w:p>
        </w:tc>
        <w:tc>
          <w:tcPr>
            <w:tcW w:type="dxa" w:w="1200"/>
            <w:shd w:fill="3B6D11" w:color="auto" w:val="clear"/>
            <w:tcMar>
              <w:top w:type="dxa" w:w="150"/>
              <w:left w:type="dxa" w:w="100"/>
              <w:bottom w:type="dxa" w:w="150"/>
              <w:right w:type="dxa" w:w="120"/>
            </w:tcMar>
          </w:tcPr>
          <w:p>
            <w:r>
              <w:rPr>
                <w:color w:val="C0DD97"/>
                <w:sz w:val="13"/>
                <w:szCs w:val="13"/>
              </w:rPr>
              <w:t xml:space="preserve">LEAD</w:t>
            </w:r>
          </w:p>
          <w:p>
            <w:r>
              <w:rPr>
                <w:b/>
                <w:bCs/>
                <w:color w:val="FFFFFF"/>
                <w:sz w:val="18"/>
                <w:szCs w:val="18"/>
              </w:rPr>
              <w:t xml:space="preserve">Partner</w:t>
            </w:r>
          </w:p>
        </w:tc>
      </w:tr>
    </w:tbl>
    <w:p>
      <w:pPr>
        <w:spacing w:after="110"/>
      </w:pPr>
      <w:r>
        <w:t xml:space="preserve"/>
      </w:r>
    </w:p>
    <w:p>
      <w:pPr>
        <w:spacing w:after="110"/>
        <w:jc w:val="left"/>
      </w:pPr>
      <w:r>
        <w:rPr>
          <w:sz w:val="21"/>
          <w:szCs w:val="21"/>
        </w:rPr>
        <w:t xml:space="preserve">The aim is a repository where an empty feature can travel from a developer laptop to production through automation, before any real feature exists. Teams that defer this end up deploying by hand for months.</w:t>
      </w:r>
    </w:p>
    <w:p>
      <w:pPr>
        <w:spacing w:after="90" w:before="190"/>
      </w:pPr>
      <w:r>
        <w:rPr>
          <w:b/>
          <w:bCs/>
          <w:color w:val="3B6D11"/>
          <w:sz w:val="21"/>
          <w:szCs w:val="21"/>
        </w:rPr>
        <w:t xml:space="preserve">Repository and pipeline</w:t>
      </w:r>
    </w:p>
    <w:p>
      <w:pPr>
        <w:pStyle w:val="ListParagraph"/>
        <w:numPr>
          <w:ilvl w:val="0"/>
          <w:numId w:val="2"/>
        </w:numPr>
        <w:spacing w:after="55"/>
      </w:pPr>
      <w:r>
        <w:rPr>
          <w:sz w:val="21"/>
          <w:szCs w:val="21"/>
        </w:rPr>
        <w:t xml:space="preserve">One repository, Urbeno-owned, with branch protection on main</w:t>
      </w:r>
    </w:p>
    <w:p>
      <w:pPr>
        <w:pStyle w:val="ListParagraph"/>
        <w:numPr>
          <w:ilvl w:val="0"/>
          <w:numId w:val="2"/>
        </w:numPr>
        <w:spacing w:after="55"/>
      </w:pPr>
      <w:r>
        <w:rPr>
          <w:sz w:val="21"/>
          <w:szCs w:val="21"/>
        </w:rPr>
        <w:t xml:space="preserve">Continuous integration on every push: linting, type checking, unit tests, and a build</w:t>
      </w:r>
    </w:p>
    <w:p>
      <w:pPr>
        <w:pStyle w:val="ListParagraph"/>
        <w:numPr>
          <w:ilvl w:val="0"/>
          <w:numId w:val="2"/>
        </w:numPr>
        <w:spacing w:after="55"/>
      </w:pPr>
      <w:r>
        <w:rPr>
          <w:sz w:val="21"/>
          <w:szCs w:val="21"/>
        </w:rPr>
        <w:t xml:space="preserve">Continuous deployment to development on merge, to staging on tag, to production on manual approval</w:t>
      </w:r>
    </w:p>
    <w:p>
      <w:pPr>
        <w:pStyle w:val="ListParagraph"/>
        <w:numPr>
          <w:ilvl w:val="0"/>
          <w:numId w:val="2"/>
        </w:numPr>
        <w:spacing w:after="55"/>
      </w:pPr>
      <w:r>
        <w:rPr>
          <w:sz w:val="21"/>
          <w:szCs w:val="21"/>
        </w:rPr>
        <w:t xml:space="preserve">Secrets held in the platform secret store, never in the repository</w:t>
      </w:r>
    </w:p>
    <w:p>
      <w:pPr>
        <w:spacing w:after="90" w:before="190"/>
      </w:pPr>
      <w:r>
        <w:rPr>
          <w:b/>
          <w:bCs/>
          <w:color w:val="3B6D11"/>
          <w:sz w:val="21"/>
          <w:szCs w:val="21"/>
        </w:rPr>
        <w:t xml:space="preserve">Three environments</w:t>
      </w:r>
    </w:p>
    <w:p>
      <w:pPr>
        <w:pStyle w:val="ListParagraph"/>
        <w:numPr>
          <w:ilvl w:val="0"/>
          <w:numId w:val="2"/>
        </w:numPr>
        <w:spacing w:after="55"/>
      </w:pPr>
      <w:r>
        <w:rPr>
          <w:b/>
          <w:bCs/>
          <w:sz w:val="21"/>
          <w:szCs w:val="21"/>
        </w:rPr>
        <w:t xml:space="preserve">Development — </w:t>
      </w:r>
      <w:r>
        <w:rPr>
          <w:sz w:val="21"/>
          <w:szCs w:val="21"/>
        </w:rPr>
        <w:t xml:space="preserve">Seeded with the prototype demo data. Wiped and reseeded freely. Engineers work here.</w:t>
      </w:r>
    </w:p>
    <w:p>
      <w:pPr>
        <w:pStyle w:val="ListParagraph"/>
        <w:numPr>
          <w:ilvl w:val="0"/>
          <w:numId w:val="2"/>
        </w:numPr>
        <w:spacing w:after="55"/>
      </w:pPr>
      <w:r>
        <w:rPr>
          <w:b/>
          <w:bCs/>
          <w:sz w:val="21"/>
          <w:szCs w:val="21"/>
        </w:rPr>
        <w:t xml:space="preserve">Staging — </w:t>
      </w:r>
      <w:r>
        <w:rPr>
          <w:sz w:val="21"/>
          <w:szCs w:val="21"/>
        </w:rPr>
        <w:t xml:space="preserve">Production-shaped. Real schema, anonymised data, every third-party service in test mode. UAT happens here.</w:t>
      </w:r>
    </w:p>
    <w:p>
      <w:pPr>
        <w:pStyle w:val="ListParagraph"/>
        <w:numPr>
          <w:ilvl w:val="0"/>
          <w:numId w:val="2"/>
        </w:numPr>
        <w:spacing w:after="55"/>
      </w:pPr>
      <w:r>
        <w:rPr>
          <w:b/>
          <w:bCs/>
          <w:sz w:val="21"/>
          <w:szCs w:val="21"/>
        </w:rPr>
        <w:t xml:space="preserve">Production — </w:t>
      </w:r>
      <w:r>
        <w:rPr>
          <w:sz w:val="21"/>
          <w:szCs w:val="21"/>
        </w:rPr>
        <w:t xml:space="preserve">Real data. Access restricted. Deploys require approval and are logged.</w:t>
      </w:r>
    </w:p>
    <w:p>
      <w:pPr>
        <w:spacing w:after="90" w:before="190"/>
      </w:pPr>
      <w:r>
        <w:rPr>
          <w:b/>
          <w:bCs/>
          <w:color w:val="3B6D11"/>
          <w:sz w:val="21"/>
          <w:szCs w:val="21"/>
        </w:rPr>
        <w:t xml:space="preserve">Database schema</w:t>
      </w:r>
    </w:p>
    <w:p>
      <w:pPr>
        <w:spacing w:after="110"/>
        <w:jc w:val="left"/>
      </w:pPr>
      <w:r>
        <w:rPr>
          <w:sz w:val="21"/>
          <w:szCs w:val="21"/>
        </w:rPr>
        <w:t xml:space="preserve">Model the entities the prototype already defines. The full inventory sits in Appendix B of RFP v3; the shape below is what the prototype actually carries.</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3B6D11" w:color="auto" w:val="clear"/>
            <w:tcMar>
              <w:top w:type="dxa" w:w="85"/>
              <w:left w:type="dxa" w:w="110"/>
              <w:bottom w:type="dxa" w:w="85"/>
              <w:right w:type="dxa" w:w="110"/>
            </w:tcMar>
          </w:tcPr>
          <w:p>
            <w:pPr>
              <w:jc w:val="left"/>
            </w:pPr>
            <w:r>
              <w:rPr>
                <w:b/>
                <w:bCs/>
                <w:color w:val="FFFFFF"/>
                <w:sz w:val="18"/>
                <w:szCs w:val="18"/>
              </w:rPr>
              <w:t xml:space="preserve">Table</w:t>
            </w:r>
          </w:p>
        </w:tc>
        <w:tc>
          <w:tcPr>
            <w:tcW w:type="dxa" w:w="6800"/>
            <w:shd w:fill="3B6D11" w:color="auto" w:val="clear"/>
            <w:tcMar>
              <w:top w:type="dxa" w:w="85"/>
              <w:left w:type="dxa" w:w="110"/>
              <w:bottom w:type="dxa" w:w="85"/>
              <w:right w:type="dxa" w:w="110"/>
            </w:tcMar>
          </w:tcPr>
          <w:p>
            <w:pPr>
              <w:jc w:val="left"/>
            </w:pPr>
            <w:r>
              <w:rPr>
                <w:b/>
                <w:bCs/>
                <w:color w:val="FFFFFF"/>
                <w:sz w:val="18"/>
                <w:szCs w:val="18"/>
              </w:rPr>
              <w:t xml:space="preserve">Notes that matter</w:t>
            </w:r>
          </w:p>
        </w:tc>
      </w:tr>
      <w:tr>
        <w:tc>
          <w:tcPr>
            <w:tcW w:type="dxa" w:w="2400"/>
            <w:tcMar>
              <w:top w:type="dxa" w:w="85"/>
              <w:left w:type="dxa" w:w="110"/>
              <w:bottom w:type="dxa" w:w="85"/>
              <w:right w:type="dxa" w:w="110"/>
            </w:tcMar>
          </w:tcPr>
          <w:p>
            <w:pPr>
              <w:jc w:val="left"/>
            </w:pPr>
            <w:r>
              <w:rPr>
                <w:b w:val="false"/>
                <w:bCs w:val="false"/>
                <w:sz w:val="18"/>
                <w:szCs w:val="18"/>
              </w:rPr>
              <w:t xml:space="preserve">clients</w:t>
            </w:r>
          </w:p>
        </w:tc>
        <w:tc>
          <w:tcPr>
            <w:tcW w:type="dxa" w:w="6800"/>
            <w:tcMar>
              <w:top w:type="dxa" w:w="85"/>
              <w:left w:type="dxa" w:w="110"/>
              <w:bottom w:type="dxa" w:w="85"/>
              <w:right w:type="dxa" w:w="110"/>
            </w:tcMar>
          </w:tcPr>
          <w:p>
            <w:pPr>
              <w:jc w:val="left"/>
            </w:pPr>
            <w:r>
              <w:rPr>
                <w:b w:val="false"/>
                <w:bCs w:val="false"/>
                <w:sz w:val="18"/>
                <w:szCs w:val="18"/>
              </w:rPr>
              <w:t xml:space="preserve">Four-character uppercase code as the business key, immutable once created. Payment terms live here.</w:t>
            </w:r>
          </w:p>
        </w:tc>
      </w:tr>
      <w:tr>
        <w:tc>
          <w:tcPr>
            <w:tcW w:type="dxa" w:w="2400"/>
            <w:tcMar>
              <w:top w:type="dxa" w:w="85"/>
              <w:left w:type="dxa" w:w="110"/>
              <w:bottom w:type="dxa" w:w="85"/>
              <w:right w:type="dxa" w:w="110"/>
            </w:tcMar>
          </w:tcPr>
          <w:p>
            <w:pPr>
              <w:jc w:val="left"/>
            </w:pPr>
            <w:r>
              <w:rPr>
                <w:b w:val="false"/>
                <w:bCs w:val="false"/>
                <w:sz w:val="18"/>
                <w:szCs w:val="18"/>
              </w:rPr>
              <w:t xml:space="preserve">sites</w:t>
            </w:r>
          </w:p>
        </w:tc>
        <w:tc>
          <w:tcPr>
            <w:tcW w:type="dxa" w:w="6800"/>
            <w:tcMar>
              <w:top w:type="dxa" w:w="85"/>
              <w:left w:type="dxa" w:w="110"/>
              <w:bottom w:type="dxa" w:w="85"/>
              <w:right w:type="dxa" w:w="110"/>
            </w:tcMar>
          </w:tcPr>
          <w:p>
            <w:pPr>
              <w:jc w:val="left"/>
            </w:pPr>
            <w:r>
              <w:rPr>
                <w:b w:val="false"/>
                <w:bCs w:val="false"/>
                <w:sz w:val="18"/>
                <w:szCs w:val="18"/>
              </w:rPr>
              <w:t xml:space="preserve">Per-client. Own GSTIN, address and pickup contact. Deactivate, never delete, once referenced.</w:t>
            </w:r>
          </w:p>
        </w:tc>
      </w:tr>
      <w:tr>
        <w:tc>
          <w:tcPr>
            <w:tcW w:type="dxa" w:w="2400"/>
            <w:tcMar>
              <w:top w:type="dxa" w:w="85"/>
              <w:left w:type="dxa" w:w="110"/>
              <w:bottom w:type="dxa" w:w="85"/>
              <w:right w:type="dxa" w:w="110"/>
            </w:tcMar>
          </w:tcPr>
          <w:p>
            <w:pPr>
              <w:jc w:val="left"/>
            </w:pPr>
            <w:r>
              <w:rPr>
                <w:b w:val="false"/>
                <w:bCs w:val="false"/>
                <w:sz w:val="18"/>
                <w:szCs w:val="18"/>
              </w:rPr>
              <w:t xml:space="preserve">factory_sites</w:t>
            </w:r>
          </w:p>
        </w:tc>
        <w:tc>
          <w:tcPr>
            <w:tcW w:type="dxa" w:w="6800"/>
            <w:tcMar>
              <w:top w:type="dxa" w:w="85"/>
              <w:left w:type="dxa" w:w="110"/>
              <w:bottom w:type="dxa" w:w="85"/>
              <w:right w:type="dxa" w:w="110"/>
            </w:tcMar>
          </w:tcPr>
          <w:p>
            <w:pPr>
              <w:jc w:val="left"/>
            </w:pPr>
            <w:r>
              <w:rPr>
                <w:b w:val="false"/>
                <w:bCs w:val="false"/>
                <w:sz w:val="18"/>
                <w:szCs w:val="18"/>
              </w:rPr>
              <w:t xml:space="preserve">Urbeno facilities. Own GSTIN, KSPCB consent, CPCB/EPR number, and MRN sequence state.</w:t>
            </w:r>
          </w:p>
        </w:tc>
      </w:tr>
      <w:tr>
        <w:tc>
          <w:tcPr>
            <w:tcW w:type="dxa" w:w="2400"/>
            <w:tcMar>
              <w:top w:type="dxa" w:w="85"/>
              <w:left w:type="dxa" w:w="110"/>
              <w:bottom w:type="dxa" w:w="85"/>
              <w:right w:type="dxa" w:w="110"/>
            </w:tcMar>
          </w:tcPr>
          <w:p>
            <w:pPr>
              <w:jc w:val="left"/>
            </w:pPr>
            <w:r>
              <w:rPr>
                <w:b w:val="false"/>
                <w:bCs w:val="false"/>
                <w:sz w:val="18"/>
                <w:szCs w:val="18"/>
              </w:rPr>
              <w:t xml:space="preserve">users</w:t>
            </w:r>
          </w:p>
        </w:tc>
        <w:tc>
          <w:tcPr>
            <w:tcW w:type="dxa" w:w="6800"/>
            <w:tcMar>
              <w:top w:type="dxa" w:w="85"/>
              <w:left w:type="dxa" w:w="110"/>
              <w:bottom w:type="dxa" w:w="85"/>
              <w:right w:type="dxa" w:w="110"/>
            </w:tcMar>
          </w:tcPr>
          <w:p>
            <w:pPr>
              <w:jc w:val="left"/>
            </w:pPr>
            <w:r>
              <w:rPr>
                <w:b w:val="false"/>
                <w:bCs w:val="false"/>
                <w:sz w:val="18"/>
                <w:szCs w:val="18"/>
              </w:rPr>
              <w:t xml:space="preserve">Role of admin, factory or client. Site and factory scoping arrays.</w:t>
            </w:r>
          </w:p>
        </w:tc>
      </w:tr>
      <w:tr>
        <w:tc>
          <w:tcPr>
            <w:tcW w:type="dxa" w:w="2400"/>
            <w:tcMar>
              <w:top w:type="dxa" w:w="85"/>
              <w:left w:type="dxa" w:w="110"/>
              <w:bottom w:type="dxa" w:w="85"/>
              <w:right w:type="dxa" w:w="110"/>
            </w:tcMar>
          </w:tcPr>
          <w:p>
            <w:pPr>
              <w:jc w:val="left"/>
            </w:pPr>
            <w:r>
              <w:rPr>
                <w:b w:val="false"/>
                <w:bCs w:val="false"/>
                <w:sz w:val="18"/>
                <w:szCs w:val="18"/>
              </w:rPr>
              <w:t xml:space="preserve">category_master</w:t>
            </w:r>
          </w:p>
        </w:tc>
        <w:tc>
          <w:tcPr>
            <w:tcW w:type="dxa" w:w="6800"/>
            <w:tcMar>
              <w:top w:type="dxa" w:w="85"/>
              <w:left w:type="dxa" w:w="110"/>
              <w:bottom w:type="dxa" w:w="85"/>
              <w:right w:type="dxa" w:w="110"/>
            </w:tcMar>
          </w:tcPr>
          <w:p>
            <w:pPr>
              <w:jc w:val="left"/>
            </w:pPr>
            <w:r>
              <w:rPr>
                <w:b w:val="false"/>
                <w:bCs w:val="false"/>
                <w:sz w:val="18"/>
                <w:szCs w:val="18"/>
              </w:rPr>
              <w:t xml:space="preserve">252 rows — 126 authorised entries replicated per facility. Capacity in tonnes per annum.</w:t>
            </w:r>
          </w:p>
        </w:tc>
      </w:tr>
      <w:tr>
        <w:tc>
          <w:tcPr>
            <w:tcW w:type="dxa" w:w="2400"/>
            <w:tcMar>
              <w:top w:type="dxa" w:w="85"/>
              <w:left w:type="dxa" w:w="110"/>
              <w:bottom w:type="dxa" w:w="85"/>
              <w:right w:type="dxa" w:w="110"/>
            </w:tcMar>
          </w:tcPr>
          <w:p>
            <w:pPr>
              <w:jc w:val="left"/>
            </w:pPr>
            <w:r>
              <w:rPr>
                <w:b w:val="false"/>
                <w:bCs w:val="false"/>
                <w:sz w:val="18"/>
                <w:szCs w:val="18"/>
              </w:rPr>
              <w:t xml:space="preserve">submissions</w:t>
            </w:r>
          </w:p>
        </w:tc>
        <w:tc>
          <w:tcPr>
            <w:tcW w:type="dxa" w:w="6800"/>
            <w:tcMar>
              <w:top w:type="dxa" w:w="85"/>
              <w:left w:type="dxa" w:w="110"/>
              <w:bottom w:type="dxa" w:w="85"/>
              <w:right w:type="dxa" w:w="110"/>
            </w:tcMar>
          </w:tcPr>
          <w:p>
            <w:pPr>
              <w:jc w:val="left"/>
            </w:pPr>
            <w:r>
              <w:rPr>
                <w:b w:val="false"/>
                <w:bCs w:val="false"/>
                <w:sz w:val="18"/>
                <w:szCs w:val="18"/>
              </w:rPr>
              <w:t xml:space="preserve">The request. Stage is derived, not stored — see Phase 3.</w:t>
            </w:r>
          </w:p>
        </w:tc>
      </w:tr>
      <w:tr>
        <w:tc>
          <w:tcPr>
            <w:tcW w:type="dxa" w:w="2400"/>
            <w:tcMar>
              <w:top w:type="dxa" w:w="85"/>
              <w:left w:type="dxa" w:w="110"/>
              <w:bottom w:type="dxa" w:w="85"/>
              <w:right w:type="dxa" w:w="110"/>
            </w:tcMar>
          </w:tcPr>
          <w:p>
            <w:pPr>
              <w:jc w:val="left"/>
            </w:pPr>
            <w:r>
              <w:rPr>
                <w:b w:val="false"/>
                <w:bCs w:val="false"/>
                <w:sz w:val="18"/>
                <w:szCs w:val="18"/>
              </w:rPr>
              <w:t xml:space="preserve">vehicles</w:t>
            </w:r>
          </w:p>
        </w:tc>
        <w:tc>
          <w:tcPr>
            <w:tcW w:type="dxa" w:w="6800"/>
            <w:tcMar>
              <w:top w:type="dxa" w:w="85"/>
              <w:left w:type="dxa" w:w="110"/>
              <w:bottom w:type="dxa" w:w="85"/>
              <w:right w:type="dxa" w:w="110"/>
            </w:tcMar>
          </w:tcPr>
          <w:p>
            <w:pPr>
              <w:jc w:val="left"/>
            </w:pPr>
            <w:r>
              <w:rPr>
                <w:b w:val="false"/>
                <w:bCs w:val="false"/>
                <w:sz w:val="18"/>
                <w:szCs w:val="18"/>
              </w:rPr>
              <w:t xml:space="preserve">Many per submission. Carries the manual-weighment flag.</w:t>
            </w:r>
          </w:p>
        </w:tc>
      </w:tr>
      <w:tr>
        <w:tc>
          <w:tcPr>
            <w:tcW w:type="dxa" w:w="2400"/>
            <w:tcMar>
              <w:top w:type="dxa" w:w="85"/>
              <w:left w:type="dxa" w:w="110"/>
              <w:bottom w:type="dxa" w:w="85"/>
              <w:right w:type="dxa" w:w="110"/>
            </w:tcMar>
          </w:tcPr>
          <w:p>
            <w:pPr>
              <w:jc w:val="left"/>
            </w:pPr>
            <w:r>
              <w:rPr>
                <w:b w:val="false"/>
                <w:bCs w:val="false"/>
                <w:sz w:val="18"/>
                <w:szCs w:val="18"/>
              </w:rPr>
              <w:t xml:space="preserve">vehicle_team</w:t>
            </w:r>
          </w:p>
        </w:tc>
        <w:tc>
          <w:tcPr>
            <w:tcW w:type="dxa" w:w="6800"/>
            <w:tcMar>
              <w:top w:type="dxa" w:w="85"/>
              <w:left w:type="dxa" w:w="110"/>
              <w:bottom w:type="dxa" w:w="85"/>
              <w:right w:type="dxa" w:w="110"/>
            </w:tcMar>
          </w:tcPr>
          <w:p>
            <w:pPr>
              <w:jc w:val="left"/>
            </w:pPr>
            <w:r>
              <w:rPr>
                <w:b w:val="false"/>
                <w:bCs w:val="false"/>
                <w:sz w:val="18"/>
                <w:szCs w:val="18"/>
              </w:rPr>
              <w:t xml:space="preserve">Many per vehicle. Name, role, phone for every person.</w:t>
            </w:r>
          </w:p>
        </w:tc>
      </w:tr>
      <w:tr>
        <w:tc>
          <w:tcPr>
            <w:tcW w:type="dxa" w:w="2400"/>
            <w:tcMar>
              <w:top w:type="dxa" w:w="85"/>
              <w:left w:type="dxa" w:w="110"/>
              <w:bottom w:type="dxa" w:w="85"/>
              <w:right w:type="dxa" w:w="110"/>
            </w:tcMar>
          </w:tcPr>
          <w:p>
            <w:pPr>
              <w:jc w:val="left"/>
            </w:pPr>
            <w:r>
              <w:rPr>
                <w:b w:val="false"/>
                <w:bCs w:val="false"/>
                <w:sz w:val="18"/>
                <w:szCs w:val="18"/>
              </w:rPr>
              <w:t xml:space="preserve">weighments</w:t>
            </w:r>
          </w:p>
        </w:tc>
        <w:tc>
          <w:tcPr>
            <w:tcW w:type="dxa" w:w="6800"/>
            <w:tcMar>
              <w:top w:type="dxa" w:w="85"/>
              <w:left w:type="dxa" w:w="110"/>
              <w:bottom w:type="dxa" w:w="85"/>
              <w:right w:type="dxa" w:w="110"/>
            </w:tcMar>
          </w:tcPr>
          <w:p>
            <w:pPr>
              <w:jc w:val="left"/>
            </w:pPr>
            <w:r>
              <w:rPr>
                <w:b w:val="false"/>
                <w:bCs w:val="false"/>
                <w:sz w:val="18"/>
                <w:szCs w:val="18"/>
              </w:rPr>
              <w:t xml:space="preserve">One per vehicle. Gross, tare, net, or a manual figure with method and reason.</w:t>
            </w:r>
          </w:p>
        </w:tc>
      </w:tr>
      <w:tr>
        <w:tc>
          <w:tcPr>
            <w:tcW w:type="dxa" w:w="2400"/>
            <w:tcMar>
              <w:top w:type="dxa" w:w="85"/>
              <w:left w:type="dxa" w:w="110"/>
              <w:bottom w:type="dxa" w:w="85"/>
              <w:right w:type="dxa" w:w="110"/>
            </w:tcMar>
          </w:tcPr>
          <w:p>
            <w:pPr>
              <w:jc w:val="left"/>
            </w:pPr>
            <w:r>
              <w:rPr>
                <w:b w:val="false"/>
                <w:bCs w:val="false"/>
                <w:sz w:val="18"/>
                <w:szCs w:val="18"/>
              </w:rPr>
              <w:t xml:space="preserve">invoices</w:t>
            </w:r>
          </w:p>
        </w:tc>
        <w:tc>
          <w:tcPr>
            <w:tcW w:type="dxa" w:w="6800"/>
            <w:tcMar>
              <w:top w:type="dxa" w:w="85"/>
              <w:left w:type="dxa" w:w="110"/>
              <w:bottom w:type="dxa" w:w="85"/>
              <w:right w:type="dxa" w:w="110"/>
            </w:tcMar>
          </w:tcPr>
          <w:p>
            <w:pPr>
              <w:jc w:val="left"/>
            </w:pPr>
            <w:r>
              <w:rPr>
                <w:b w:val="false"/>
                <w:bCs w:val="false"/>
                <w:sz w:val="18"/>
                <w:szCs w:val="18"/>
              </w:rPr>
              <w:t xml:space="preserve">Many per submission. Own e-way bill, tax rate, billing weight, deviation note.</w:t>
            </w:r>
          </w:p>
        </w:tc>
      </w:tr>
      <w:tr>
        <w:tc>
          <w:tcPr>
            <w:tcW w:type="dxa" w:w="2400"/>
            <w:tcMar>
              <w:top w:type="dxa" w:w="85"/>
              <w:left w:type="dxa" w:w="110"/>
              <w:bottom w:type="dxa" w:w="85"/>
              <w:right w:type="dxa" w:w="110"/>
            </w:tcMar>
          </w:tcPr>
          <w:p>
            <w:pPr>
              <w:jc w:val="left"/>
            </w:pPr>
            <w:r>
              <w:rPr>
                <w:b w:val="false"/>
                <w:bCs w:val="false"/>
                <w:sz w:val="18"/>
                <w:szCs w:val="18"/>
              </w:rPr>
              <w:t xml:space="preserve">payments</w:t>
            </w:r>
          </w:p>
        </w:tc>
        <w:tc>
          <w:tcPr>
            <w:tcW w:type="dxa" w:w="6800"/>
            <w:tcMar>
              <w:top w:type="dxa" w:w="85"/>
              <w:left w:type="dxa" w:w="110"/>
              <w:bottom w:type="dxa" w:w="85"/>
              <w:right w:type="dxa" w:w="110"/>
            </w:tcMar>
          </w:tcPr>
          <w:p>
            <w:pPr>
              <w:jc w:val="left"/>
            </w:pPr>
            <w:r>
              <w:rPr>
                <w:b w:val="false"/>
                <w:bCs w:val="false"/>
                <w:sz w:val="18"/>
                <w:szCs w:val="18"/>
              </w:rPr>
              <w:t xml:space="preserve">Many per invoice.</w:t>
            </w:r>
          </w:p>
        </w:tc>
      </w:tr>
      <w:tr>
        <w:tc>
          <w:tcPr>
            <w:tcW w:type="dxa" w:w="2400"/>
            <w:tcMar>
              <w:top w:type="dxa" w:w="85"/>
              <w:left w:type="dxa" w:w="110"/>
              <w:bottom w:type="dxa" w:w="85"/>
              <w:right w:type="dxa" w:w="110"/>
            </w:tcMar>
          </w:tcPr>
          <w:p>
            <w:pPr>
              <w:jc w:val="left"/>
            </w:pPr>
            <w:r>
              <w:rPr>
                <w:b w:val="false"/>
                <w:bCs w:val="false"/>
                <w:sz w:val="18"/>
                <w:szCs w:val="18"/>
              </w:rPr>
              <w:t xml:space="preserve">mrns</w:t>
            </w:r>
          </w:p>
        </w:tc>
        <w:tc>
          <w:tcPr>
            <w:tcW w:type="dxa" w:w="6800"/>
            <w:tcMar>
              <w:top w:type="dxa" w:w="85"/>
              <w:left w:type="dxa" w:w="110"/>
              <w:bottom w:type="dxa" w:w="85"/>
              <w:right w:type="dxa" w:w="110"/>
            </w:tcMar>
          </w:tcPr>
          <w:p>
            <w:pPr>
              <w:jc w:val="left"/>
            </w:pPr>
            <w:r>
              <w:rPr>
                <w:b w:val="false"/>
                <w:bCs w:val="false"/>
                <w:sz w:val="18"/>
                <w:szCs w:val="18"/>
              </w:rPr>
              <w:t xml:space="preserve">One per invoice. Factory-scoped, fiscal-year sequenced number.</w:t>
            </w:r>
          </w:p>
        </w:tc>
      </w:tr>
      <w:tr>
        <w:tc>
          <w:tcPr>
            <w:tcW w:type="dxa" w:w="2400"/>
            <w:tcMar>
              <w:top w:type="dxa" w:w="85"/>
              <w:left w:type="dxa" w:w="110"/>
              <w:bottom w:type="dxa" w:w="85"/>
              <w:right w:type="dxa" w:w="110"/>
            </w:tcMar>
          </w:tcPr>
          <w:p>
            <w:pPr>
              <w:jc w:val="left"/>
            </w:pPr>
            <w:r>
              <w:rPr>
                <w:b w:val="false"/>
                <w:bCs w:val="false"/>
                <w:sz w:val="18"/>
                <w:szCs w:val="18"/>
              </w:rPr>
              <w:t xml:space="preserve">recycling</w:t>
            </w:r>
          </w:p>
        </w:tc>
        <w:tc>
          <w:tcPr>
            <w:tcW w:type="dxa" w:w="6800"/>
            <w:tcMar>
              <w:top w:type="dxa" w:w="85"/>
              <w:left w:type="dxa" w:w="110"/>
              <w:bottom w:type="dxa" w:w="85"/>
              <w:right w:type="dxa" w:w="110"/>
            </w:tcMar>
          </w:tcPr>
          <w:p>
            <w:pPr>
              <w:jc w:val="left"/>
            </w:pPr>
            <w:r>
              <w:rPr>
                <w:b w:val="false"/>
                <w:bCs w:val="false"/>
                <w:sz w:val="18"/>
                <w:szCs w:val="18"/>
              </w:rPr>
              <w:t xml:space="preserve">One per invoice. Form 6 number, processing date, facility.</w:t>
            </w:r>
          </w:p>
        </w:tc>
      </w:tr>
      <w:tr>
        <w:tc>
          <w:tcPr>
            <w:tcW w:type="dxa" w:w="2400"/>
            <w:tcMar>
              <w:top w:type="dxa" w:w="85"/>
              <w:left w:type="dxa" w:w="110"/>
              <w:bottom w:type="dxa" w:w="85"/>
              <w:right w:type="dxa" w:w="110"/>
            </w:tcMar>
          </w:tcPr>
          <w:p>
            <w:pPr>
              <w:jc w:val="left"/>
            </w:pPr>
            <w:r>
              <w:rPr>
                <w:b w:val="false"/>
                <w:bCs w:val="false"/>
                <w:sz w:val="18"/>
                <w:szCs w:val="18"/>
              </w:rPr>
              <w:t xml:space="preserve">recycling_categories</w:t>
            </w:r>
          </w:p>
        </w:tc>
        <w:tc>
          <w:tcPr>
            <w:tcW w:type="dxa" w:w="6800"/>
            <w:tcMar>
              <w:top w:type="dxa" w:w="85"/>
              <w:left w:type="dxa" w:w="110"/>
              <w:bottom w:type="dxa" w:w="85"/>
              <w:right w:type="dxa" w:w="110"/>
            </w:tcMar>
          </w:tcPr>
          <w:p>
            <w:pPr>
              <w:jc w:val="left"/>
            </w:pPr>
            <w:r>
              <w:rPr>
                <w:b w:val="false"/>
                <w:bCs w:val="false"/>
                <w:sz w:val="18"/>
                <w:szCs w:val="18"/>
              </w:rPr>
              <w:t xml:space="preserve">The category split. Each row carries its own material recovery.</w:t>
            </w:r>
          </w:p>
        </w:tc>
      </w:tr>
      <w:tr>
        <w:tc>
          <w:tcPr>
            <w:tcW w:type="dxa" w:w="2400"/>
            <w:tcMar>
              <w:top w:type="dxa" w:w="85"/>
              <w:left w:type="dxa" w:w="110"/>
              <w:bottom w:type="dxa" w:w="85"/>
              <w:right w:type="dxa" w:w="110"/>
            </w:tcMar>
          </w:tcPr>
          <w:p>
            <w:pPr>
              <w:jc w:val="left"/>
            </w:pPr>
            <w:r>
              <w:rPr>
                <w:b w:val="false"/>
                <w:bCs w:val="false"/>
                <w:sz w:val="18"/>
                <w:szCs w:val="18"/>
              </w:rPr>
              <w:t xml:space="preserve">serials</w:t>
            </w:r>
          </w:p>
        </w:tc>
        <w:tc>
          <w:tcPr>
            <w:tcW w:type="dxa" w:w="6800"/>
            <w:tcMar>
              <w:top w:type="dxa" w:w="85"/>
              <w:left w:type="dxa" w:w="110"/>
              <w:bottom w:type="dxa" w:w="85"/>
              <w:right w:type="dxa" w:w="110"/>
            </w:tcMar>
          </w:tcPr>
          <w:p>
            <w:pPr>
              <w:jc w:val="left"/>
            </w:pPr>
            <w:r>
              <w:rPr>
                <w:b w:val="false"/>
                <w:bCs w:val="false"/>
                <w:sz w:val="18"/>
                <w:szCs w:val="18"/>
              </w:rPr>
              <w:t xml:space="preserve">Device-level chain of custody with destruction record.</w:t>
            </w:r>
          </w:p>
        </w:tc>
      </w:tr>
      <w:tr>
        <w:tc>
          <w:tcPr>
            <w:tcW w:type="dxa" w:w="2400"/>
            <w:tcMar>
              <w:top w:type="dxa" w:w="85"/>
              <w:left w:type="dxa" w:w="110"/>
              <w:bottom w:type="dxa" w:w="85"/>
              <w:right w:type="dxa" w:w="110"/>
            </w:tcMar>
          </w:tcPr>
          <w:p>
            <w:pPr>
              <w:jc w:val="left"/>
            </w:pPr>
            <w:r>
              <w:rPr>
                <w:b w:val="false"/>
                <w:bCs w:val="false"/>
                <w:sz w:val="18"/>
                <w:szCs w:val="18"/>
              </w:rPr>
              <w:t xml:space="preserve">certificates</w:t>
            </w:r>
          </w:p>
        </w:tc>
        <w:tc>
          <w:tcPr>
            <w:tcW w:type="dxa" w:w="6800"/>
            <w:tcMar>
              <w:top w:type="dxa" w:w="85"/>
              <w:left w:type="dxa" w:w="110"/>
              <w:bottom w:type="dxa" w:w="85"/>
              <w:right w:type="dxa" w:w="110"/>
            </w:tcMar>
          </w:tcPr>
          <w:p>
            <w:pPr>
              <w:jc w:val="left"/>
            </w:pPr>
            <w:r>
              <w:rPr>
                <w:b w:val="false"/>
                <w:bCs w:val="false"/>
                <w:sz w:val="18"/>
                <w:szCs w:val="18"/>
              </w:rPr>
              <w:t xml:space="preserve">Many per invoice. Certificate number unique across the whole system.</w:t>
            </w:r>
          </w:p>
        </w:tc>
      </w:tr>
      <w:tr>
        <w:tc>
          <w:tcPr>
            <w:tcW w:type="dxa" w:w="2400"/>
            <w:tcMar>
              <w:top w:type="dxa" w:w="85"/>
              <w:left w:type="dxa" w:w="110"/>
              <w:bottom w:type="dxa" w:w="85"/>
              <w:right w:type="dxa" w:w="110"/>
            </w:tcMar>
          </w:tcPr>
          <w:p>
            <w:pPr>
              <w:jc w:val="left"/>
            </w:pPr>
            <w:r>
              <w:rPr>
                <w:b w:val="false"/>
                <w:bCs w:val="false"/>
                <w:sz w:val="18"/>
                <w:szCs w:val="18"/>
              </w:rPr>
              <w:t xml:space="preserve">files</w:t>
            </w:r>
          </w:p>
        </w:tc>
        <w:tc>
          <w:tcPr>
            <w:tcW w:type="dxa" w:w="6800"/>
            <w:tcMar>
              <w:top w:type="dxa" w:w="85"/>
              <w:left w:type="dxa" w:w="110"/>
              <w:bottom w:type="dxa" w:w="85"/>
              <w:right w:type="dxa" w:w="110"/>
            </w:tcMar>
          </w:tcPr>
          <w:p>
            <w:pPr>
              <w:jc w:val="left"/>
            </w:pPr>
            <w:r>
              <w:rPr>
                <w:b w:val="false"/>
                <w:bCs w:val="false"/>
                <w:sz w:val="18"/>
                <w:szCs w:val="18"/>
              </w:rPr>
              <w:t xml:space="preserve">Metadata only. Bytes live in object storage.</w:t>
            </w:r>
          </w:p>
        </w:tc>
      </w:tr>
      <w:tr>
        <w:tc>
          <w:tcPr>
            <w:tcW w:type="dxa" w:w="2400"/>
            <w:tcMar>
              <w:top w:type="dxa" w:w="85"/>
              <w:left w:type="dxa" w:w="110"/>
              <w:bottom w:type="dxa" w:w="85"/>
              <w:right w:type="dxa" w:w="110"/>
            </w:tcMar>
          </w:tcPr>
          <w:p>
            <w:pPr>
              <w:jc w:val="left"/>
            </w:pPr>
            <w:r>
              <w:rPr>
                <w:b w:val="false"/>
                <w:bCs w:val="false"/>
                <w:sz w:val="18"/>
                <w:szCs w:val="18"/>
              </w:rPr>
              <w:t xml:space="preserve">tree_plantings</w:t>
            </w:r>
          </w:p>
        </w:tc>
        <w:tc>
          <w:tcPr>
            <w:tcW w:type="dxa" w:w="6800"/>
            <w:tcMar>
              <w:top w:type="dxa" w:w="85"/>
              <w:left w:type="dxa" w:w="110"/>
              <w:bottom w:type="dxa" w:w="85"/>
              <w:right w:type="dxa" w:w="110"/>
            </w:tcMar>
          </w:tcPr>
          <w:p>
            <w:pPr>
              <w:jc w:val="left"/>
            </w:pPr>
            <w:r>
              <w:rPr>
                <w:b w:val="false"/>
                <w:bCs w:val="false"/>
                <w:sz w:val="18"/>
                <w:szCs w:val="18"/>
              </w:rPr>
              <w:t xml:space="preserve">Recycle Heroes ledger, with dated growth photographs.</w:t>
            </w:r>
          </w:p>
        </w:tc>
      </w:tr>
      <w:tr>
        <w:tc>
          <w:tcPr>
            <w:tcW w:type="dxa" w:w="2400"/>
            <w:tcMar>
              <w:top w:type="dxa" w:w="85"/>
              <w:left w:type="dxa" w:w="110"/>
              <w:bottom w:type="dxa" w:w="85"/>
              <w:right w:type="dxa" w:w="110"/>
            </w:tcMar>
          </w:tcPr>
          <w:p>
            <w:pPr>
              <w:jc w:val="left"/>
            </w:pPr>
            <w:r>
              <w:rPr>
                <w:b w:val="false"/>
                <w:bCs w:val="false"/>
                <w:sz w:val="18"/>
                <w:szCs w:val="18"/>
              </w:rPr>
              <w:t xml:space="preserve">email_templates</w:t>
            </w:r>
          </w:p>
        </w:tc>
        <w:tc>
          <w:tcPr>
            <w:tcW w:type="dxa" w:w="6800"/>
            <w:tcMar>
              <w:top w:type="dxa" w:w="85"/>
              <w:left w:type="dxa" w:w="110"/>
              <w:bottom w:type="dxa" w:w="85"/>
              <w:right w:type="dxa" w:w="110"/>
            </w:tcMar>
          </w:tcPr>
          <w:p>
            <w:pPr>
              <w:jc w:val="left"/>
            </w:pPr>
            <w:r>
              <w:rPr>
                <w:b w:val="false"/>
                <w:bCs w:val="false"/>
                <w:sz w:val="18"/>
                <w:szCs w:val="18"/>
              </w:rPr>
              <w:t xml:space="preserve">Fixed transactional templates plus admin-editable ones.</w:t>
            </w:r>
          </w:p>
        </w:tc>
      </w:tr>
      <w:tr>
        <w:tc>
          <w:tcPr>
            <w:tcW w:type="dxa" w:w="2400"/>
            <w:tcMar>
              <w:top w:type="dxa" w:w="85"/>
              <w:left w:type="dxa" w:w="110"/>
              <w:bottom w:type="dxa" w:w="85"/>
              <w:right w:type="dxa" w:w="110"/>
            </w:tcMar>
          </w:tcPr>
          <w:p>
            <w:pPr>
              <w:jc w:val="left"/>
            </w:pPr>
            <w:r>
              <w:rPr>
                <w:b w:val="false"/>
                <w:bCs w:val="false"/>
                <w:sz w:val="18"/>
                <w:szCs w:val="18"/>
              </w:rPr>
              <w:t xml:space="preserve">audit_log</w:t>
            </w:r>
          </w:p>
        </w:tc>
        <w:tc>
          <w:tcPr>
            <w:tcW w:type="dxa" w:w="6800"/>
            <w:tcMar>
              <w:top w:type="dxa" w:w="85"/>
              <w:left w:type="dxa" w:w="110"/>
              <w:bottom w:type="dxa" w:w="85"/>
              <w:right w:type="dxa" w:w="110"/>
            </w:tcMar>
          </w:tcPr>
          <w:p>
            <w:pPr>
              <w:jc w:val="left"/>
            </w:pPr>
            <w:r>
              <w:rPr>
                <w:b w:val="false"/>
                <w:bCs w:val="false"/>
                <w:sz w:val="18"/>
                <w:szCs w:val="18"/>
              </w:rPr>
              <w:t xml:space="preserve">Append-only. Seven-year retention.</w:t>
            </w:r>
          </w:p>
        </w:tc>
      </w:tr>
      <w:tr>
        <w:tc>
          <w:tcPr>
            <w:tcW w:type="dxa" w:w="2400"/>
            <w:tcMar>
              <w:top w:type="dxa" w:w="85"/>
              <w:left w:type="dxa" w:w="110"/>
              <w:bottom w:type="dxa" w:w="85"/>
              <w:right w:type="dxa" w:w="110"/>
            </w:tcMar>
          </w:tcPr>
          <w:p>
            <w:pPr>
              <w:jc w:val="left"/>
            </w:pPr>
            <w:r>
              <w:rPr>
                <w:b w:val="false"/>
                <w:bCs w:val="false"/>
                <w:sz w:val="18"/>
                <w:szCs w:val="18"/>
              </w:rPr>
              <w:t xml:space="preserve">notifications</w:t>
            </w:r>
          </w:p>
        </w:tc>
        <w:tc>
          <w:tcPr>
            <w:tcW w:type="dxa" w:w="6800"/>
            <w:tcMar>
              <w:top w:type="dxa" w:w="85"/>
              <w:left w:type="dxa" w:w="110"/>
              <w:bottom w:type="dxa" w:w="85"/>
              <w:right w:type="dxa" w:w="110"/>
            </w:tcMar>
          </w:tcPr>
          <w:p>
            <w:pPr>
              <w:jc w:val="left"/>
            </w:pPr>
            <w:r>
              <w:rPr>
                <w:b w:val="false"/>
                <w:bCs w:val="false"/>
                <w:sz w:val="18"/>
                <w:szCs w:val="18"/>
              </w:rPr>
              <w:t xml:space="preserve">Per user, in-app.</w:t>
            </w:r>
          </w:p>
        </w:tc>
      </w:tr>
    </w:tbl>
    <w:p>
      <w:pPr>
        <w:spacing w:after="110"/>
      </w:pPr>
      <w:r>
        <w:t xml:space="preserve"/>
      </w:r>
    </w:p>
    <w:tbl>
      <w:tblPr>
        <w:tblW w:type="dxa" w:w="9200"/>
        <w:tblBorders>
          <w:top w:val="single" w:color="FCD34D" w:sz="6"/>
          <w:left w:val="single" w:color="FCD34D" w:sz="6"/>
          <w:bottom w:val="single" w:color="FCD34D" w:sz="6"/>
          <w:right w:val="single" w:color="FCD34D" w:sz="6"/>
          <w:insideH w:val="none"/>
          <w:insideV w:val="none"/>
        </w:tblBorders>
      </w:tblPr>
      <w:tblGrid>
        <w:gridCol w:w="9200"/>
      </w:tblGrid>
      <w:tr>
        <w:tc>
          <w:tcPr>
            <w:tcW w:type="dxa" w:w="9200"/>
            <w:shd w:fill="FEF3C7" w:color="auto" w:val="clear"/>
            <w:tcMar>
              <w:top w:type="dxa" w:w="170"/>
              <w:left w:type="dxa" w:w="190"/>
              <w:bottom w:type="dxa" w:w="170"/>
              <w:right w:type="dxa" w:w="190"/>
            </w:tcMar>
          </w:tcPr>
          <w:p>
            <w:pPr>
              <w:spacing w:after="70"/>
            </w:pPr>
            <w:r>
              <w:rPr>
                <w:b/>
                <w:bCs/>
                <w:color w:val="2A4D0C"/>
                <w:sz w:val="21"/>
                <w:szCs w:val="21"/>
              </w:rPr>
              <w:t xml:space="preserve">Two schema decisions worth getting right on day one</w:t>
            </w:r>
          </w:p>
          <w:p>
            <w:pPr>
              <w:spacing w:after="55"/>
            </w:pPr>
            <w:r>
              <w:rPr>
                <w:sz w:val="19"/>
                <w:szCs w:val="19"/>
              </w:rPr>
              <w:t xml:space="preserve">Money as integer paise, never floating point. The prototype uses JavaScript numbers because it is a prototype; production must not.</w:t>
            </w:r>
          </w:p>
          <w:p>
            <w:pPr>
              <w:spacing w:after="55"/>
            </w:pPr>
            <w:r>
              <w:rPr>
                <w:sz w:val="19"/>
                <w:szCs w:val="19"/>
              </w:rPr>
              <w:t xml:space="preserve">Weights as numeric with two decimal places. Weighbridge tickets are quoted to the kilogram and reconciliation depends on exact arithmetic.</w:t>
            </w:r>
          </w:p>
        </w:tc>
      </w:tr>
    </w:tbl>
    <w:p>
      <w:pPr>
        <w:spacing w:after="90" w:before="190"/>
      </w:pPr>
      <w:r>
        <w:rPr>
          <w:b/>
          <w:bCs/>
          <w:color w:val="3B6D11"/>
          <w:sz w:val="21"/>
          <w:szCs w:val="21"/>
        </w:rPr>
        <w:t xml:space="preserve">Seed and reference data</w:t>
      </w:r>
    </w:p>
    <w:p>
      <w:pPr>
        <w:pStyle w:val="ListParagraph"/>
        <w:numPr>
          <w:ilvl w:val="0"/>
          <w:numId w:val="2"/>
        </w:numPr>
        <w:spacing w:after="55"/>
      </w:pPr>
      <w:r>
        <w:rPr>
          <w:sz w:val="21"/>
          <w:szCs w:val="21"/>
        </w:rPr>
        <w:t xml:space="preserve">Load all 252 category master rows from the authorisation spreadsheet, tagged by facility</w:t>
      </w:r>
    </w:p>
    <w:p>
      <w:pPr>
        <w:pStyle w:val="ListParagraph"/>
        <w:numPr>
          <w:ilvl w:val="0"/>
          <w:numId w:val="2"/>
        </w:numPr>
        <w:spacing w:after="55"/>
      </w:pPr>
      <w:r>
        <w:rPr>
          <w:sz w:val="21"/>
          <w:szCs w:val="21"/>
        </w:rPr>
        <w:t xml:space="preserve">Load the lookup masters: logistics partners with GSTIN, vehicle types, team roles, payment modes, payment terms, tax rates, HSN codes, sanitisation standards</w:t>
      </w:r>
    </w:p>
    <w:p>
      <w:pPr>
        <w:pStyle w:val="ListParagraph"/>
        <w:numPr>
          <w:ilvl w:val="0"/>
          <w:numId w:val="2"/>
        </w:numPr>
        <w:spacing w:after="55"/>
      </w:pPr>
      <w:r>
        <w:rPr>
          <w:sz w:val="21"/>
          <w:szCs w:val="21"/>
        </w:rPr>
        <w:t xml:space="preserve">Load the fixed transactional email templates verbatim from the prototype</w:t>
      </w:r>
    </w:p>
    <w:p>
      <w:pPr>
        <w:pStyle w:val="ListParagraph"/>
        <w:numPr>
          <w:ilvl w:val="0"/>
          <w:numId w:val="2"/>
        </w:numPr>
        <w:spacing w:after="55"/>
      </w:pPr>
      <w:r>
        <w:rPr>
          <w:sz w:val="21"/>
          <w:szCs w:val="21"/>
        </w:rPr>
        <w:t xml:space="preserve">Keep the seed script in the repository — it is how a new environment gets built</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Exit criteria — do not start the next phase until all of these are true</w:t>
            </w:r>
          </w:p>
          <w:p>
            <w:pPr>
              <w:spacing w:after="55"/>
            </w:pPr>
            <w:r>
              <w:rPr>
                <w:sz w:val="19"/>
                <w:szCs w:val="19"/>
              </w:rPr>
              <w:t xml:space="preserve">☐  A trivial change reaches production through the pipeline with no manual step</w:t>
            </w:r>
          </w:p>
          <w:p>
            <w:pPr>
              <w:spacing w:after="55"/>
            </w:pPr>
            <w:r>
              <w:rPr>
                <w:sz w:val="19"/>
                <w:szCs w:val="19"/>
              </w:rPr>
              <w:t xml:space="preserve">☐  All three environments exist and are reachable at their own URLs</w:t>
            </w:r>
          </w:p>
          <w:p>
            <w:pPr>
              <w:spacing w:after="55"/>
            </w:pPr>
            <w:r>
              <w:rPr>
                <w:sz w:val="19"/>
                <w:szCs w:val="19"/>
              </w:rPr>
              <w:t xml:space="preserve">☐  Schema is created by a versioned migration, not by hand</w:t>
            </w:r>
          </w:p>
          <w:p>
            <w:pPr>
              <w:spacing w:after="55"/>
            </w:pPr>
            <w:r>
              <w:rPr>
                <w:sz w:val="19"/>
                <w:szCs w:val="19"/>
              </w:rPr>
              <w:t xml:space="preserve">☐  Seed script populates the 252 category rows and every lookup master</w:t>
            </w:r>
          </w:p>
          <w:p>
            <w:pPr>
              <w:spacing w:after="55"/>
            </w:pPr>
            <w:r>
              <w:rPr>
                <w:sz w:val="19"/>
                <w:szCs w:val="19"/>
              </w:rPr>
              <w:t xml:space="preserve">☐  Rolling back one migration and reapplying it works</w:t>
            </w:r>
          </w:p>
          <w:p>
            <w:pPr>
              <w:spacing w:after="55"/>
            </w:pPr>
            <w:r>
              <w:rPr>
                <w:sz w:val="19"/>
                <w:szCs w:val="19"/>
              </w:rPr>
              <w:t xml:space="preserve">☐  A restored backup produces a working database</w:t>
            </w:r>
          </w:p>
        </w:tc>
      </w:tr>
    </w:tbl>
    <w:p>
      <w:r>
        <w:br w:type="page"/>
      </w:r>
    </w:p>
    <w:tbl>
      <w:tblPr>
        <w:tblW w:type="dxa" w:w="9200"/>
        <w:tblBorders>
          <w:top w:val="none"/>
          <w:left w:val="none"/>
          <w:bottom w:val="none"/>
          <w:right w:val="none"/>
          <w:insideH w:val="none"/>
          <w:insideV w:val="none"/>
        </w:tblBorders>
      </w:tblPr>
      <w:tblGrid>
        <w:gridCol w:w="1100"/>
        <w:gridCol w:w="5400"/>
        <w:gridCol w:w="1500"/>
        <w:gridCol w:w="1200"/>
      </w:tblGrid>
      <w:tr>
        <w:tc>
          <w:tcPr>
            <w:tcW w:type="dxa" w:w="1100"/>
            <w:shd w:fill="2A4D0C" w:color="auto" w:val="clear"/>
            <w:tcMar>
              <w:top w:type="dxa" w:w="150"/>
              <w:left w:type="dxa" w:w="100"/>
              <w:bottom w:type="dxa" w:w="150"/>
              <w:right w:type="dxa" w:w="100"/>
            </w:tcMar>
          </w:tcPr>
          <w:p>
            <w:pPr>
              <w:jc w:val="center"/>
            </w:pPr>
            <w:r>
              <w:rPr>
                <w:b/>
                <w:bCs/>
                <w:color w:val="FFFFFF"/>
                <w:sz w:val="14"/>
                <w:szCs w:val="14"/>
              </w:rPr>
              <w:t xml:space="preserve">PHASE</w:t>
            </w:r>
          </w:p>
          <w:p>
            <w:pPr>
              <w:jc w:val="center"/>
            </w:pPr>
            <w:r>
              <w:rPr>
                <w:b/>
                <w:bCs/>
                <w:color w:val="FFFFFF"/>
                <w:sz w:val="34"/>
                <w:szCs w:val="34"/>
              </w:rPr>
              <w:t xml:space="preserve">2</w:t>
            </w:r>
          </w:p>
        </w:tc>
        <w:tc>
          <w:tcPr>
            <w:tcW w:type="dxa" w:w="5400"/>
            <w:shd w:fill="3B6D11" w:color="auto" w:val="clear"/>
            <w:tcMar>
              <w:top w:type="dxa" w:w="150"/>
              <w:left w:type="dxa" w:w="190"/>
              <w:bottom w:type="dxa" w:w="150"/>
              <w:right w:type="dxa" w:w="120"/>
            </w:tcMar>
          </w:tcPr>
          <w:p>
            <w:r>
              <w:rPr>
                <w:b/>
                <w:bCs/>
                <w:color w:val="FFFFFF"/>
                <w:sz w:val="26"/>
                <w:szCs w:val="26"/>
              </w:rPr>
              <w:t xml:space="preserve">Identity, tenancy and access</w:t>
            </w:r>
          </w:p>
        </w:tc>
        <w:tc>
          <w:tcPr>
            <w:tcW w:type="dxa" w:w="1500"/>
            <w:shd w:fill="3B6D11" w:color="auto" w:val="clear"/>
            <w:tcMar>
              <w:top w:type="dxa" w:w="150"/>
              <w:left w:type="dxa" w:w="100"/>
              <w:bottom w:type="dxa" w:w="150"/>
              <w:right w:type="dxa" w:w="100"/>
            </w:tcMar>
          </w:tcPr>
          <w:p>
            <w:r>
              <w:rPr>
                <w:color w:val="C0DD97"/>
                <w:sz w:val="13"/>
                <w:szCs w:val="13"/>
              </w:rPr>
              <w:t xml:space="preserve">DURATION</w:t>
            </w:r>
          </w:p>
          <w:p>
            <w:r>
              <w:rPr>
                <w:b/>
                <w:bCs/>
                <w:color w:val="FFFFFF"/>
                <w:sz w:val="18"/>
                <w:szCs w:val="18"/>
              </w:rPr>
              <w:t xml:space="preserve">Weeks 2–4</w:t>
            </w:r>
          </w:p>
        </w:tc>
        <w:tc>
          <w:tcPr>
            <w:tcW w:type="dxa" w:w="1200"/>
            <w:shd w:fill="3B6D11" w:color="auto" w:val="clear"/>
            <w:tcMar>
              <w:top w:type="dxa" w:w="150"/>
              <w:left w:type="dxa" w:w="100"/>
              <w:bottom w:type="dxa" w:w="150"/>
              <w:right w:type="dxa" w:w="120"/>
            </w:tcMar>
          </w:tcPr>
          <w:p>
            <w:r>
              <w:rPr>
                <w:color w:val="C0DD97"/>
                <w:sz w:val="13"/>
                <w:szCs w:val="13"/>
              </w:rPr>
              <w:t xml:space="preserve">LEAD</w:t>
            </w:r>
          </w:p>
          <w:p>
            <w:r>
              <w:rPr>
                <w:b/>
                <w:bCs/>
                <w:color w:val="FFFFFF"/>
                <w:sz w:val="18"/>
                <w:szCs w:val="18"/>
              </w:rPr>
              <w:t xml:space="preserve">Partner</w:t>
            </w:r>
          </w:p>
        </w:tc>
      </w:tr>
    </w:tbl>
    <w:p>
      <w:pPr>
        <w:spacing w:after="110"/>
      </w:pPr>
      <w:r>
        <w:t xml:space="preserve"/>
      </w:r>
    </w:p>
    <w:p>
      <w:pPr>
        <w:spacing w:after="110"/>
        <w:jc w:val="left"/>
      </w:pPr>
      <w:r>
        <w:rPr>
          <w:sz w:val="21"/>
          <w:szCs w:val="21"/>
        </w:rPr>
        <w:t xml:space="preserve">Every later phase depends on knowing who is asking and what they may see. Build it once, properly, and enforce it in one place.</w:t>
      </w:r>
    </w:p>
    <w:p>
      <w:pPr>
        <w:spacing w:after="90" w:before="190"/>
      </w:pPr>
      <w:r>
        <w:rPr>
          <w:b/>
          <w:bCs/>
          <w:color w:val="3B6D11"/>
          <w:sz w:val="21"/>
          <w:szCs w:val="21"/>
        </w:rPr>
        <w:t xml:space="preserve">Authentication</w:t>
      </w:r>
    </w:p>
    <w:p>
      <w:pPr>
        <w:pStyle w:val="ListParagraph"/>
        <w:numPr>
          <w:ilvl w:val="0"/>
          <w:numId w:val="2"/>
        </w:numPr>
        <w:spacing w:after="55"/>
      </w:pPr>
      <w:r>
        <w:rPr>
          <w:sz w:val="21"/>
          <w:szCs w:val="21"/>
        </w:rPr>
        <w:t xml:space="preserve">Password hashing with bcrypt or argon2. The prototype uses SHA-256 and says so in a comment — that is demo-grade and must not survive.</w:t>
      </w:r>
    </w:p>
    <w:p>
      <w:pPr>
        <w:pStyle w:val="ListParagraph"/>
        <w:numPr>
          <w:ilvl w:val="0"/>
          <w:numId w:val="2"/>
        </w:numPr>
        <w:spacing w:after="55"/>
      </w:pPr>
      <w:r>
        <w:rPr>
          <w:sz w:val="21"/>
          <w:szCs w:val="21"/>
        </w:rPr>
        <w:t xml:space="preserve">Server-side sessions in HttpOnly, Secure, SameSite cookies, or JWT with refresh rotation</w:t>
      </w:r>
    </w:p>
    <w:p>
      <w:pPr>
        <w:pStyle w:val="ListParagraph"/>
        <w:numPr>
          <w:ilvl w:val="0"/>
          <w:numId w:val="2"/>
        </w:numPr>
        <w:spacing w:after="55"/>
      </w:pPr>
      <w:r>
        <w:rPr>
          <w:sz w:val="21"/>
          <w:szCs w:val="21"/>
        </w:rPr>
        <w:t xml:space="preserve">Thirty-minute idle timeout with a five-minute warning, matching the prototype</w:t>
      </w:r>
    </w:p>
    <w:p>
      <w:pPr>
        <w:pStyle w:val="ListParagraph"/>
        <w:numPr>
          <w:ilvl w:val="0"/>
          <w:numId w:val="2"/>
        </w:numPr>
        <w:spacing w:after="55"/>
      </w:pPr>
      <w:r>
        <w:rPr>
          <w:sz w:val="21"/>
          <w:szCs w:val="21"/>
        </w:rPr>
        <w:t xml:space="preserve">Account lockout after five failed attempts within fifteen minutes</w:t>
      </w:r>
    </w:p>
    <w:p>
      <w:pPr>
        <w:pStyle w:val="ListParagraph"/>
        <w:numPr>
          <w:ilvl w:val="0"/>
          <w:numId w:val="2"/>
        </w:numPr>
        <w:spacing w:after="55"/>
      </w:pPr>
      <w:r>
        <w:rPr>
          <w:sz w:val="21"/>
          <w:szCs w:val="21"/>
        </w:rPr>
        <w:t xml:space="preserve">TOTP multi-factor, mandatory for admin and factory roles, optional for clients</w:t>
      </w:r>
    </w:p>
    <w:p>
      <w:pPr>
        <w:spacing w:after="90" w:before="190"/>
      </w:pPr>
      <w:r>
        <w:rPr>
          <w:b/>
          <w:bCs/>
          <w:color w:val="3B6D11"/>
          <w:sz w:val="21"/>
          <w:szCs w:val="21"/>
        </w:rPr>
        <w:t xml:space="preserve">Password reset</w:t>
      </w:r>
    </w:p>
    <w:p>
      <w:pPr>
        <w:spacing w:after="110"/>
        <w:jc w:val="left"/>
      </w:pPr>
      <w:r>
        <w:rPr>
          <w:sz w:val="21"/>
          <w:szCs w:val="21"/>
        </w:rPr>
        <w:t xml:space="preserve">The prototype implements the flow already: a six-digit code, valid fifteen minutes, single use, delivered by email.</w:t>
      </w:r>
    </w:p>
    <w:p>
      <w:pPr>
        <w:pStyle w:val="ListParagraph"/>
        <w:numPr>
          <w:ilvl w:val="0"/>
          <w:numId w:val="2"/>
        </w:numPr>
        <w:spacing w:after="55"/>
      </w:pPr>
      <w:r>
        <w:rPr>
          <w:sz w:val="21"/>
          <w:szCs w:val="21"/>
        </w:rPr>
        <w:t xml:space="preserve">Rate limit to five requests per email per fifteen minutes</w:t>
      </w:r>
    </w:p>
    <w:p>
      <w:pPr>
        <w:pStyle w:val="ListParagraph"/>
        <w:numPr>
          <w:ilvl w:val="0"/>
          <w:numId w:val="2"/>
        </w:numPr>
        <w:spacing w:after="55"/>
      </w:pPr>
      <w:r>
        <w:rPr>
          <w:sz w:val="21"/>
          <w:szCs w:val="21"/>
        </w:rPr>
        <w:t xml:space="preserve">Respond identically whether or not the account exists, so the endpoint cannot be used to discover users</w:t>
      </w:r>
    </w:p>
    <w:p>
      <w:pPr>
        <w:pStyle w:val="ListParagraph"/>
        <w:numPr>
          <w:ilvl w:val="0"/>
          <w:numId w:val="2"/>
        </w:numPr>
        <w:spacing w:after="55"/>
      </w:pPr>
      <w:r>
        <w:rPr>
          <w:sz w:val="21"/>
          <w:szCs w:val="21"/>
        </w:rPr>
        <w:t xml:space="preserve">Invalidate every existing session on a successful reset</w:t>
      </w:r>
    </w:p>
    <w:p>
      <w:pPr>
        <w:pStyle w:val="ListParagraph"/>
        <w:numPr>
          <w:ilvl w:val="0"/>
          <w:numId w:val="2"/>
        </w:numPr>
        <w:spacing w:after="55"/>
      </w:pPr>
      <w:r>
        <w:rPr>
          <w:sz w:val="21"/>
          <w:szCs w:val="21"/>
        </w:rPr>
        <w:t xml:space="preserve">Store the code hashed, never in plain text</w:t>
      </w:r>
    </w:p>
    <w:p>
      <w:pPr>
        <w:spacing w:after="90" w:before="190"/>
      </w:pPr>
      <w:r>
        <w:rPr>
          <w:b/>
          <w:bCs/>
          <w:color w:val="3B6D11"/>
          <w:sz w:val="21"/>
          <w:szCs w:val="21"/>
        </w:rPr>
        <w:t xml:space="preserve">Roles and scoping</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500"/>
      </w:tblGrid>
      <w:tr>
        <w:trPr>
          <w:tblHeader/>
        </w:trPr>
        <w:tc>
          <w:tcPr>
            <w:tcW w:type="dxa" w:w="1400"/>
            <w:shd w:fill="3B6D11" w:color="auto" w:val="clear"/>
            <w:tcMar>
              <w:top w:type="dxa" w:w="85"/>
              <w:left w:type="dxa" w:w="110"/>
              <w:bottom w:type="dxa" w:w="85"/>
              <w:right w:type="dxa" w:w="110"/>
            </w:tcMar>
          </w:tcPr>
          <w:p>
            <w:pPr>
              <w:jc w:val="left"/>
            </w:pPr>
            <w:r>
              <w:rPr>
                <w:b/>
                <w:bCs/>
                <w:color w:val="FFFFFF"/>
                <w:sz w:val="18"/>
                <w:szCs w:val="18"/>
              </w:rPr>
              <w:t xml:space="preserve">Role</w:t>
            </w:r>
          </w:p>
        </w:tc>
        <w:tc>
          <w:tcPr>
            <w:tcW w:type="dxa" w:w="3300"/>
            <w:shd w:fill="3B6D11" w:color="auto" w:val="clear"/>
            <w:tcMar>
              <w:top w:type="dxa" w:w="85"/>
              <w:left w:type="dxa" w:w="110"/>
              <w:bottom w:type="dxa" w:w="85"/>
              <w:right w:type="dxa" w:w="110"/>
            </w:tcMar>
          </w:tcPr>
          <w:p>
            <w:pPr>
              <w:jc w:val="left"/>
            </w:pPr>
            <w:r>
              <w:rPr>
                <w:b/>
                <w:bCs/>
                <w:color w:val="FFFFFF"/>
                <w:sz w:val="18"/>
                <w:szCs w:val="18"/>
              </w:rPr>
              <w:t xml:space="preserve">Sees</w:t>
            </w:r>
          </w:p>
        </w:tc>
        <w:tc>
          <w:tcPr>
            <w:tcW w:type="dxa" w:w="4500"/>
            <w:shd w:fill="3B6D11" w:color="auto" w:val="clear"/>
            <w:tcMar>
              <w:top w:type="dxa" w:w="85"/>
              <w:left w:type="dxa" w:w="110"/>
              <w:bottom w:type="dxa" w:w="85"/>
              <w:right w:type="dxa" w:w="110"/>
            </w:tcMar>
          </w:tcPr>
          <w:p>
            <w:pPr>
              <w:jc w:val="left"/>
            </w:pPr>
            <w:r>
              <w:rPr>
                <w:b/>
                <w:bCs/>
                <w:color w:val="FFFFFF"/>
                <w:sz w:val="18"/>
                <w:szCs w:val="18"/>
              </w:rPr>
              <w:t xml:space="preserve">Notes</w:t>
            </w:r>
          </w:p>
        </w:tc>
      </w:tr>
      <w:tr>
        <w:tc>
          <w:tcPr>
            <w:tcW w:type="dxa" w:w="1400"/>
            <w:tcMar>
              <w:top w:type="dxa" w:w="85"/>
              <w:left w:type="dxa" w:w="110"/>
              <w:bottom w:type="dxa" w:w="85"/>
              <w:right w:type="dxa" w:w="110"/>
            </w:tcMar>
          </w:tcPr>
          <w:p>
            <w:pPr>
              <w:jc w:val="left"/>
            </w:pPr>
            <w:r>
              <w:rPr>
                <w:b w:val="false"/>
                <w:bCs w:val="false"/>
                <w:sz w:val="18"/>
                <w:szCs w:val="18"/>
              </w:rPr>
              <w:t xml:space="preserve">admin</w:t>
            </w:r>
          </w:p>
        </w:tc>
        <w:tc>
          <w:tcPr>
            <w:tcW w:type="dxa" w:w="3300"/>
            <w:tcMar>
              <w:top w:type="dxa" w:w="85"/>
              <w:left w:type="dxa" w:w="110"/>
              <w:bottom w:type="dxa" w:w="85"/>
              <w:right w:type="dxa" w:w="110"/>
            </w:tcMar>
          </w:tcPr>
          <w:p>
            <w:pPr>
              <w:jc w:val="left"/>
            </w:pPr>
            <w:r>
              <w:rPr>
                <w:b w:val="false"/>
                <w:bCs w:val="false"/>
                <w:sz w:val="18"/>
                <w:szCs w:val="18"/>
              </w:rPr>
              <w:t xml:space="preserve">Everything</w:t>
            </w:r>
          </w:p>
        </w:tc>
        <w:tc>
          <w:tcPr>
            <w:tcW w:type="dxa" w:w="4500"/>
            <w:tcMar>
              <w:top w:type="dxa" w:w="85"/>
              <w:left w:type="dxa" w:w="110"/>
              <w:bottom w:type="dxa" w:w="85"/>
              <w:right w:type="dxa" w:w="110"/>
            </w:tcMar>
          </w:tcPr>
          <w:p>
            <w:pPr>
              <w:jc w:val="left"/>
            </w:pPr>
            <w:r>
              <w:rPr>
                <w:b w:val="false"/>
                <w:bCs w:val="false"/>
                <w:sz w:val="18"/>
                <w:szCs w:val="18"/>
              </w:rPr>
              <w:t xml:space="preserve">Full lifecycle, masters, audit, email</w:t>
            </w:r>
          </w:p>
        </w:tc>
      </w:tr>
      <w:tr>
        <w:tc>
          <w:tcPr>
            <w:tcW w:type="dxa" w:w="1400"/>
            <w:tcMar>
              <w:top w:type="dxa" w:w="85"/>
              <w:left w:type="dxa" w:w="110"/>
              <w:bottom w:type="dxa" w:w="85"/>
              <w:right w:type="dxa" w:w="110"/>
            </w:tcMar>
          </w:tcPr>
          <w:p>
            <w:pPr>
              <w:jc w:val="left"/>
            </w:pPr>
            <w:r>
              <w:rPr>
                <w:b w:val="false"/>
                <w:bCs w:val="false"/>
                <w:sz w:val="18"/>
                <w:szCs w:val="18"/>
              </w:rPr>
              <w:t xml:space="preserve">factory</w:t>
            </w:r>
          </w:p>
        </w:tc>
        <w:tc>
          <w:tcPr>
            <w:tcW w:type="dxa" w:w="3300"/>
            <w:tcMar>
              <w:top w:type="dxa" w:w="85"/>
              <w:left w:type="dxa" w:w="110"/>
              <w:bottom w:type="dxa" w:w="85"/>
              <w:right w:type="dxa" w:w="110"/>
            </w:tcMar>
          </w:tcPr>
          <w:p>
            <w:pPr>
              <w:jc w:val="left"/>
            </w:pPr>
            <w:r>
              <w:rPr>
                <w:b w:val="false"/>
                <w:bCs w:val="false"/>
                <w:sz w:val="18"/>
                <w:szCs w:val="18"/>
              </w:rPr>
              <w:t xml:space="preserve">All requests, scoped to their facilities</w:t>
            </w:r>
          </w:p>
        </w:tc>
        <w:tc>
          <w:tcPr>
            <w:tcW w:type="dxa" w:w="4500"/>
            <w:tcMar>
              <w:top w:type="dxa" w:w="85"/>
              <w:left w:type="dxa" w:w="110"/>
              <w:bottom w:type="dxa" w:w="85"/>
              <w:right w:type="dxa" w:w="110"/>
            </w:tcMar>
          </w:tcPr>
          <w:p>
            <w:pPr>
              <w:jc w:val="left"/>
            </w:pPr>
            <w:r>
              <w:rPr>
                <w:b w:val="false"/>
                <w:bCs w:val="false"/>
                <w:sz w:val="18"/>
                <w:szCs w:val="18"/>
              </w:rPr>
              <w:t xml:space="preserve">MRN and recycling stages; no billing</w:t>
            </w:r>
          </w:p>
        </w:tc>
      </w:tr>
      <w:tr>
        <w:tc>
          <w:tcPr>
            <w:tcW w:type="dxa" w:w="1400"/>
            <w:tcMar>
              <w:top w:type="dxa" w:w="85"/>
              <w:left w:type="dxa" w:w="110"/>
              <w:bottom w:type="dxa" w:w="85"/>
              <w:right w:type="dxa" w:w="110"/>
            </w:tcMar>
          </w:tcPr>
          <w:p>
            <w:pPr>
              <w:jc w:val="left"/>
            </w:pPr>
            <w:r>
              <w:rPr>
                <w:b w:val="false"/>
                <w:bCs w:val="false"/>
                <w:sz w:val="18"/>
                <w:szCs w:val="18"/>
              </w:rPr>
              <w:t xml:space="preserve">client</w:t>
            </w:r>
          </w:p>
        </w:tc>
        <w:tc>
          <w:tcPr>
            <w:tcW w:type="dxa" w:w="3300"/>
            <w:tcMar>
              <w:top w:type="dxa" w:w="85"/>
              <w:left w:type="dxa" w:w="110"/>
              <w:bottom w:type="dxa" w:w="85"/>
              <w:right w:type="dxa" w:w="110"/>
            </w:tcMar>
          </w:tcPr>
          <w:p>
            <w:pPr>
              <w:jc w:val="left"/>
            </w:pPr>
            <w:r>
              <w:rPr>
                <w:b w:val="false"/>
                <w:bCs w:val="false"/>
                <w:sz w:val="18"/>
                <w:szCs w:val="18"/>
              </w:rPr>
              <w:t xml:space="preserve">Own organisation only, optionally one site</w:t>
            </w:r>
          </w:p>
        </w:tc>
        <w:tc>
          <w:tcPr>
            <w:tcW w:type="dxa" w:w="4500"/>
            <w:tcMar>
              <w:top w:type="dxa" w:w="85"/>
              <w:left w:type="dxa" w:w="110"/>
              <w:bottom w:type="dxa" w:w="85"/>
              <w:right w:type="dxa" w:w="110"/>
            </w:tcMar>
          </w:tcPr>
          <w:p>
            <w:pPr>
              <w:jc w:val="left"/>
            </w:pPr>
            <w:r>
              <w:rPr>
                <w:b w:val="false"/>
                <w:bCs w:val="false"/>
                <w:sz w:val="18"/>
                <w:szCs w:val="18"/>
              </w:rPr>
              <w:t xml:space="preserve">Never sees MRNs — this is deliberate</w:t>
            </w:r>
          </w:p>
        </w:tc>
      </w:tr>
    </w:tbl>
    <w:p>
      <w:pPr>
        <w:spacing w:after="110"/>
      </w:pPr>
      <w:r>
        <w:t xml:space="preserve"/>
      </w:r>
    </w:p>
    <w:tbl>
      <w:tblPr>
        <w:tblW w:type="dxa" w:w="9200"/>
        <w:tblBorders>
          <w:top w:val="single" w:color="FCD34D" w:sz="6"/>
          <w:left w:val="single" w:color="FCD34D" w:sz="6"/>
          <w:bottom w:val="single" w:color="FCD34D" w:sz="6"/>
          <w:right w:val="single" w:color="FCD34D" w:sz="6"/>
          <w:insideH w:val="none"/>
          <w:insideV w:val="none"/>
        </w:tblBorders>
      </w:tblPr>
      <w:tblGrid>
        <w:gridCol w:w="9200"/>
      </w:tblGrid>
      <w:tr>
        <w:tc>
          <w:tcPr>
            <w:tcW w:type="dxa" w:w="9200"/>
            <w:shd w:fill="FEF3C7" w:color="auto" w:val="clear"/>
            <w:tcMar>
              <w:top w:type="dxa" w:w="170"/>
              <w:left w:type="dxa" w:w="190"/>
              <w:bottom w:type="dxa" w:w="170"/>
              <w:right w:type="dxa" w:w="190"/>
            </w:tcMar>
          </w:tcPr>
          <w:p>
            <w:pPr>
              <w:spacing w:after="70"/>
            </w:pPr>
            <w:r>
              <w:rPr>
                <w:b/>
                <w:bCs/>
                <w:color w:val="2A4D0C"/>
                <w:sz w:val="21"/>
                <w:szCs w:val="21"/>
              </w:rPr>
              <w:t xml:space="preserve">Tenant isolation is not a filter in a query</w:t>
            </w:r>
          </w:p>
          <w:p>
            <w:pPr>
              <w:spacing w:after="55"/>
            </w:pPr>
            <w:r>
              <w:rPr>
                <w:sz w:val="19"/>
                <w:szCs w:val="19"/>
              </w:rPr>
              <w:t xml:space="preserve">Enforce it at the database with row-level security, or in a single middleware layer that every query passes through. A WHERE clause added per endpoint will eventually be forgotten on one endpoint, and that is a client seeing another client's data.</w:t>
            </w:r>
          </w:p>
          <w:p>
            <w:pPr>
              <w:spacing w:after="55"/>
            </w:pPr>
            <w:r>
              <w:rPr>
                <w:sz w:val="19"/>
                <w:szCs w:val="19"/>
              </w:rPr>
              <w:t xml:space="preserve">The test that matters: sign in as a client and request another client's submission by its identifier directly. The answer must be a 404, not a 403 — a 403 confirms the record exists.</w:t>
            </w:r>
          </w:p>
        </w:tc>
      </w:tr>
    </w:tbl>
    <w:p>
      <w:pPr>
        <w:spacing w:after="90" w:before="190"/>
      </w:pPr>
      <w:r>
        <w:rPr>
          <w:b/>
          <w:bCs/>
          <w:color w:val="3B6D11"/>
          <w:sz w:val="21"/>
          <w:szCs w:val="21"/>
        </w:rPr>
        <w:t xml:space="preserve">Audit from the first endpoint</w:t>
      </w:r>
    </w:p>
    <w:p>
      <w:pPr>
        <w:spacing w:after="110"/>
        <w:jc w:val="left"/>
      </w:pPr>
      <w:r>
        <w:rPr>
          <w:sz w:val="21"/>
          <w:szCs w:val="21"/>
        </w:rPr>
        <w:t xml:space="preserve">The audit log is append-only and retained seven years. Wire it in Phase 2, not later — retrofitting audit coverage means auditing your own gaps.</w:t>
      </w:r>
    </w:p>
    <w:p>
      <w:pPr>
        <w:pStyle w:val="ListParagraph"/>
        <w:numPr>
          <w:ilvl w:val="0"/>
          <w:numId w:val="2"/>
        </w:numPr>
        <w:spacing w:after="55"/>
      </w:pPr>
      <w:r>
        <w:rPr>
          <w:sz w:val="21"/>
          <w:szCs w:val="21"/>
        </w:rPr>
        <w:t xml:space="preserve">Every mutation writes actor, action, entity, entity identifier, timestamp and a before/after payload</w:t>
      </w:r>
    </w:p>
    <w:p>
      <w:pPr>
        <w:pStyle w:val="ListParagraph"/>
        <w:numPr>
          <w:ilvl w:val="0"/>
          <w:numId w:val="2"/>
        </w:numPr>
        <w:spacing w:after="55"/>
      </w:pPr>
      <w:r>
        <w:rPr>
          <w:sz w:val="21"/>
          <w:szCs w:val="21"/>
        </w:rPr>
        <w:t xml:space="preserve">Authentication events included: login, failure, lockout, reset request, reset completion, password change</w:t>
      </w:r>
    </w:p>
    <w:p>
      <w:pPr>
        <w:pStyle w:val="ListParagraph"/>
        <w:numPr>
          <w:ilvl w:val="0"/>
          <w:numId w:val="2"/>
        </w:numPr>
        <w:spacing w:after="55"/>
      </w:pPr>
      <w:r>
        <w:rPr>
          <w:sz w:val="21"/>
          <w:szCs w:val="21"/>
        </w:rPr>
        <w:t xml:space="preserve">No update or delete permission on the table for the application role</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Exit criteria — do not start the next phase until all of these are true</w:t>
            </w:r>
          </w:p>
          <w:p>
            <w:pPr>
              <w:spacing w:after="55"/>
            </w:pPr>
            <w:r>
              <w:rPr>
                <w:sz w:val="19"/>
                <w:szCs w:val="19"/>
              </w:rPr>
              <w:t xml:space="preserve">☐  A client user cannot reach another client's data by identifier, and the attempt is logged</w:t>
            </w:r>
          </w:p>
          <w:p>
            <w:pPr>
              <w:spacing w:after="55"/>
            </w:pPr>
            <w:r>
              <w:rPr>
                <w:sz w:val="19"/>
                <w:szCs w:val="19"/>
              </w:rPr>
              <w:t xml:space="preserve">☐  A site-scoped user sees only their site in every list, aggregate and report</w:t>
            </w:r>
          </w:p>
          <w:p>
            <w:pPr>
              <w:spacing w:after="55"/>
            </w:pPr>
            <w:r>
              <w:rPr>
                <w:sz w:val="19"/>
                <w:szCs w:val="19"/>
              </w:rPr>
              <w:t xml:space="preserve">☐  A factory user can reach MRN and recycling but not billing</w:t>
            </w:r>
          </w:p>
          <w:p>
            <w:pPr>
              <w:spacing w:after="55"/>
            </w:pPr>
            <w:r>
              <w:rPr>
                <w:sz w:val="19"/>
                <w:szCs w:val="19"/>
              </w:rPr>
              <w:t xml:space="preserve">☐  Password reset works end to end and invalidates other sessions</w:t>
            </w:r>
          </w:p>
          <w:p>
            <w:pPr>
              <w:spacing w:after="55"/>
            </w:pPr>
            <w:r>
              <w:rPr>
                <w:sz w:val="19"/>
                <w:szCs w:val="19"/>
              </w:rPr>
              <w:t xml:space="preserve">☐  MFA enrolment and challenge work for an admin account</w:t>
            </w:r>
          </w:p>
          <w:p>
            <w:pPr>
              <w:spacing w:after="55"/>
            </w:pPr>
            <w:r>
              <w:rPr>
                <w:sz w:val="19"/>
                <w:szCs w:val="19"/>
              </w:rPr>
              <w:t xml:space="preserve">☐  Lockout triggers and expires correctly</w:t>
            </w:r>
          </w:p>
          <w:p>
            <w:pPr>
              <w:spacing w:after="55"/>
            </w:pPr>
            <w:r>
              <w:rPr>
                <w:sz w:val="19"/>
                <w:szCs w:val="19"/>
              </w:rPr>
              <w:t xml:space="preserve">☐  Every mutation so far appears in the audit log with before and after values</w:t>
            </w:r>
          </w:p>
        </w:tc>
      </w:tr>
    </w:tbl>
    <w:p>
      <w:r>
        <w:br w:type="page"/>
      </w:r>
    </w:p>
    <w:tbl>
      <w:tblPr>
        <w:tblW w:type="dxa" w:w="9200"/>
        <w:tblBorders>
          <w:top w:val="none"/>
          <w:left w:val="none"/>
          <w:bottom w:val="none"/>
          <w:right w:val="none"/>
          <w:insideH w:val="none"/>
          <w:insideV w:val="none"/>
        </w:tblBorders>
      </w:tblPr>
      <w:tblGrid>
        <w:gridCol w:w="1100"/>
        <w:gridCol w:w="5400"/>
        <w:gridCol w:w="1500"/>
        <w:gridCol w:w="1200"/>
      </w:tblGrid>
      <w:tr>
        <w:tc>
          <w:tcPr>
            <w:tcW w:type="dxa" w:w="1100"/>
            <w:shd w:fill="2A4D0C" w:color="auto" w:val="clear"/>
            <w:tcMar>
              <w:top w:type="dxa" w:w="150"/>
              <w:left w:type="dxa" w:w="100"/>
              <w:bottom w:type="dxa" w:w="150"/>
              <w:right w:type="dxa" w:w="100"/>
            </w:tcMar>
          </w:tcPr>
          <w:p>
            <w:pPr>
              <w:jc w:val="center"/>
            </w:pPr>
            <w:r>
              <w:rPr>
                <w:b/>
                <w:bCs/>
                <w:color w:val="FFFFFF"/>
                <w:sz w:val="14"/>
                <w:szCs w:val="14"/>
              </w:rPr>
              <w:t xml:space="preserve">PHASE</w:t>
            </w:r>
          </w:p>
          <w:p>
            <w:pPr>
              <w:jc w:val="center"/>
            </w:pPr>
            <w:r>
              <w:rPr>
                <w:b/>
                <w:bCs/>
                <w:color w:val="FFFFFF"/>
                <w:sz w:val="34"/>
                <w:szCs w:val="34"/>
              </w:rPr>
              <w:t xml:space="preserve">3</w:t>
            </w:r>
          </w:p>
        </w:tc>
        <w:tc>
          <w:tcPr>
            <w:tcW w:type="dxa" w:w="5400"/>
            <w:shd w:fill="3B6D11" w:color="auto" w:val="clear"/>
            <w:tcMar>
              <w:top w:type="dxa" w:w="150"/>
              <w:left w:type="dxa" w:w="190"/>
              <w:bottom w:type="dxa" w:w="150"/>
              <w:right w:type="dxa" w:w="120"/>
            </w:tcMar>
          </w:tcPr>
          <w:p>
            <w:r>
              <w:rPr>
                <w:b/>
                <w:bCs/>
                <w:color w:val="FFFFFF"/>
                <w:sz w:val="26"/>
                <w:szCs w:val="26"/>
              </w:rPr>
              <w:t xml:space="preserve">Core domain API</w:t>
            </w:r>
          </w:p>
        </w:tc>
        <w:tc>
          <w:tcPr>
            <w:tcW w:type="dxa" w:w="1500"/>
            <w:shd w:fill="3B6D11" w:color="auto" w:val="clear"/>
            <w:tcMar>
              <w:top w:type="dxa" w:w="150"/>
              <w:left w:type="dxa" w:w="100"/>
              <w:bottom w:type="dxa" w:w="150"/>
              <w:right w:type="dxa" w:w="100"/>
            </w:tcMar>
          </w:tcPr>
          <w:p>
            <w:r>
              <w:rPr>
                <w:color w:val="C0DD97"/>
                <w:sz w:val="13"/>
                <w:szCs w:val="13"/>
              </w:rPr>
              <w:t xml:space="preserve">DURATION</w:t>
            </w:r>
          </w:p>
          <w:p>
            <w:r>
              <w:rPr>
                <w:b/>
                <w:bCs/>
                <w:color w:val="FFFFFF"/>
                <w:sz w:val="18"/>
                <w:szCs w:val="18"/>
              </w:rPr>
              <w:t xml:space="preserve">Weeks 3–7</w:t>
            </w:r>
          </w:p>
        </w:tc>
        <w:tc>
          <w:tcPr>
            <w:tcW w:type="dxa" w:w="1200"/>
            <w:shd w:fill="3B6D11" w:color="auto" w:val="clear"/>
            <w:tcMar>
              <w:top w:type="dxa" w:w="150"/>
              <w:left w:type="dxa" w:w="100"/>
              <w:bottom w:type="dxa" w:w="150"/>
              <w:right w:type="dxa" w:w="120"/>
            </w:tcMar>
          </w:tcPr>
          <w:p>
            <w:r>
              <w:rPr>
                <w:color w:val="C0DD97"/>
                <w:sz w:val="13"/>
                <w:szCs w:val="13"/>
              </w:rPr>
              <w:t xml:space="preserve">LEAD</w:t>
            </w:r>
          </w:p>
          <w:p>
            <w:r>
              <w:rPr>
                <w:b/>
                <w:bCs/>
                <w:color w:val="FFFFFF"/>
                <w:sz w:val="18"/>
                <w:szCs w:val="18"/>
              </w:rPr>
              <w:t xml:space="preserve">Partner</w:t>
            </w:r>
          </w:p>
        </w:tc>
      </w:tr>
    </w:tbl>
    <w:p>
      <w:pPr>
        <w:spacing w:after="110"/>
      </w:pPr>
      <w:r>
        <w:t xml:space="preserve"/>
      </w:r>
    </w:p>
    <w:p>
      <w:pPr>
        <w:spacing w:after="110"/>
        <w:jc w:val="left"/>
      </w:pPr>
      <w:r>
        <w:rPr>
          <w:sz w:val="21"/>
          <w:szCs w:val="21"/>
        </w:rPr>
        <w:t xml:space="preserve">The heart of the build. Port the prototype service layer to real endpoints, preserving behaviour exactly. Work stage by stage, in lifecycle order, so there is always something demonstrable.</w:t>
      </w:r>
    </w:p>
    <w:p>
      <w:pPr>
        <w:spacing w:after="90" w:before="190"/>
      </w:pPr>
      <w:r>
        <w:rPr>
          <w:b/>
          <w:bCs/>
          <w:color w:val="3B6D11"/>
          <w:sz w:val="21"/>
          <w:szCs w:val="21"/>
        </w:rPr>
        <w:t xml:space="preserve">Method for this phase</w:t>
      </w:r>
    </w:p>
    <w:p>
      <w:pPr>
        <w:pStyle w:val="ListParagraph"/>
        <w:numPr>
          <w:ilvl w:val="0"/>
          <w:numId w:val="2"/>
        </w:numPr>
        <w:spacing w:after="55"/>
      </w:pPr>
      <w:r>
        <w:rPr>
          <w:sz w:val="21"/>
          <w:szCs w:val="21"/>
        </w:rPr>
        <w:t xml:space="preserve">Open the prototype, find the service method, read it including its validation and its error messages</w:t>
      </w:r>
    </w:p>
    <w:p>
      <w:pPr>
        <w:pStyle w:val="ListParagraph"/>
        <w:numPr>
          <w:ilvl w:val="0"/>
          <w:numId w:val="2"/>
        </w:numPr>
        <w:spacing w:after="55"/>
      </w:pPr>
      <w:r>
        <w:rPr>
          <w:sz w:val="21"/>
          <w:szCs w:val="21"/>
        </w:rPr>
        <w:t xml:space="preserve">Write the endpoint, then write tests that assert the same rules — including the refusals</w:t>
      </w:r>
    </w:p>
    <w:p>
      <w:pPr>
        <w:pStyle w:val="ListParagraph"/>
        <w:numPr>
          <w:ilvl w:val="0"/>
          <w:numId w:val="2"/>
        </w:numPr>
        <w:spacing w:after="55"/>
      </w:pPr>
      <w:r>
        <w:rPr>
          <w:sz w:val="21"/>
          <w:szCs w:val="21"/>
        </w:rPr>
        <w:t xml:space="preserve">Port the error text as well. It was written to tell an operator what to do next, and rewriting it as "Validation failed" removes the value.</w:t>
      </w:r>
    </w:p>
    <w:p>
      <w:pPr>
        <w:spacing w:after="90" w:before="190"/>
      </w:pPr>
      <w:r>
        <w:rPr>
          <w:b/>
          <w:bCs/>
          <w:color w:val="3B6D11"/>
          <w:sz w:val="21"/>
          <w:szCs w:val="21"/>
        </w:rPr>
        <w:t xml:space="preserve">The nine stages</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400"/>
      </w:tblGrid>
      <w:tr>
        <w:trPr>
          <w:tblHeader/>
        </w:trPr>
        <w:tc>
          <w:tcPr>
            <w:tcW w:type="dxa" w:w="1500"/>
            <w:shd w:fill="3B6D11" w:color="auto" w:val="clear"/>
            <w:tcMar>
              <w:top w:type="dxa" w:w="85"/>
              <w:left w:type="dxa" w:w="110"/>
              <w:bottom w:type="dxa" w:w="85"/>
              <w:right w:type="dxa" w:w="110"/>
            </w:tcMar>
          </w:tcPr>
          <w:p>
            <w:pPr>
              <w:jc w:val="left"/>
            </w:pPr>
            <w:r>
              <w:rPr>
                <w:b/>
                <w:bCs/>
                <w:color w:val="FFFFFF"/>
                <w:sz w:val="18"/>
                <w:szCs w:val="18"/>
              </w:rPr>
              <w:t xml:space="preserve">Stage</w:t>
            </w:r>
          </w:p>
        </w:tc>
        <w:tc>
          <w:tcPr>
            <w:tcW w:type="dxa" w:w="2300"/>
            <w:shd w:fill="3B6D11" w:color="auto" w:val="clear"/>
            <w:tcMar>
              <w:top w:type="dxa" w:w="85"/>
              <w:left w:type="dxa" w:w="110"/>
              <w:bottom w:type="dxa" w:w="85"/>
              <w:right w:type="dxa" w:w="110"/>
            </w:tcMar>
          </w:tcPr>
          <w:p>
            <w:pPr>
              <w:jc w:val="left"/>
            </w:pPr>
            <w:r>
              <w:rPr>
                <w:b/>
                <w:bCs/>
                <w:color w:val="FFFFFF"/>
                <w:sz w:val="18"/>
                <w:szCs w:val="18"/>
              </w:rPr>
              <w:t xml:space="preserve">Endpoint area</w:t>
            </w:r>
          </w:p>
        </w:tc>
        <w:tc>
          <w:tcPr>
            <w:tcW w:type="dxa" w:w="5400"/>
            <w:shd w:fill="3B6D11" w:color="auto" w:val="clear"/>
            <w:tcMar>
              <w:top w:type="dxa" w:w="85"/>
              <w:left w:type="dxa" w:w="110"/>
              <w:bottom w:type="dxa" w:w="85"/>
              <w:right w:type="dxa" w:w="110"/>
            </w:tcMar>
          </w:tcPr>
          <w:p>
            <w:pPr>
              <w:jc w:val="left"/>
            </w:pPr>
            <w:r>
              <w:rPr>
                <w:b/>
                <w:bCs/>
                <w:color w:val="FFFFFF"/>
                <w:sz w:val="18"/>
                <w:szCs w:val="18"/>
              </w:rPr>
              <w:t xml:space="preserve">The rules that must survive</w:t>
            </w:r>
          </w:p>
        </w:tc>
      </w:tr>
      <w:tr>
        <w:tc>
          <w:tcPr>
            <w:tcW w:type="dxa" w:w="1500"/>
            <w:tcMar>
              <w:top w:type="dxa" w:w="85"/>
              <w:left w:type="dxa" w:w="110"/>
              <w:bottom w:type="dxa" w:w="85"/>
              <w:right w:type="dxa" w:w="110"/>
            </w:tcMar>
          </w:tcPr>
          <w:p>
            <w:pPr>
              <w:jc w:val="left"/>
            </w:pPr>
            <w:r>
              <w:rPr>
                <w:b w:val="false"/>
                <w:bCs w:val="false"/>
                <w:sz w:val="18"/>
                <w:szCs w:val="18"/>
              </w:rPr>
              <w:t xml:space="preserve">1 Request</w:t>
            </w:r>
          </w:p>
        </w:tc>
        <w:tc>
          <w:tcPr>
            <w:tcW w:type="dxa" w:w="2300"/>
            <w:tcMar>
              <w:top w:type="dxa" w:w="85"/>
              <w:left w:type="dxa" w:w="110"/>
              <w:bottom w:type="dxa" w:w="85"/>
              <w:right w:type="dxa" w:w="110"/>
            </w:tcMar>
          </w:tcPr>
          <w:p>
            <w:pPr>
              <w:jc w:val="left"/>
            </w:pPr>
            <w:r>
              <w:rPr>
                <w:b w:val="false"/>
                <w:bCs w:val="false"/>
                <w:sz w:val="18"/>
                <w:szCs w:val="18"/>
              </w:rPr>
              <w:t xml:space="preserve">POST /submissions</w:t>
            </w:r>
          </w:p>
        </w:tc>
        <w:tc>
          <w:tcPr>
            <w:tcW w:type="dxa" w:w="5400"/>
            <w:tcMar>
              <w:top w:type="dxa" w:w="85"/>
              <w:left w:type="dxa" w:w="110"/>
              <w:bottom w:type="dxa" w:w="85"/>
              <w:right w:type="dxa" w:w="110"/>
            </w:tcMar>
          </w:tcPr>
          <w:p>
            <w:pPr>
              <w:jc w:val="left"/>
            </w:pPr>
            <w:r>
              <w:rPr>
                <w:b w:val="false"/>
                <w:bCs w:val="false"/>
                <w:sz w:val="18"/>
                <w:szCs w:val="18"/>
              </w:rPr>
              <w:t xml:space="preserve">Client or admin-on-behalf. Approximate weight and quantity. Bill of materials upload. Notifies admins by email.</w:t>
            </w:r>
          </w:p>
        </w:tc>
      </w:tr>
      <w:tr>
        <w:tc>
          <w:tcPr>
            <w:tcW w:type="dxa" w:w="1500"/>
            <w:tcMar>
              <w:top w:type="dxa" w:w="85"/>
              <w:left w:type="dxa" w:w="110"/>
              <w:bottom w:type="dxa" w:w="85"/>
              <w:right w:type="dxa" w:w="110"/>
            </w:tcMar>
          </w:tcPr>
          <w:p>
            <w:pPr>
              <w:jc w:val="left"/>
            </w:pPr>
            <w:r>
              <w:rPr>
                <w:b w:val="false"/>
                <w:bCs w:val="false"/>
                <w:sz w:val="18"/>
                <w:szCs w:val="18"/>
              </w:rPr>
              <w:t xml:space="preserve">2 Acknowledge</w:t>
            </w:r>
          </w:p>
        </w:tc>
        <w:tc>
          <w:tcPr>
            <w:tcW w:type="dxa" w:w="2300"/>
            <w:tcMar>
              <w:top w:type="dxa" w:w="85"/>
              <w:left w:type="dxa" w:w="110"/>
              <w:bottom w:type="dxa" w:w="85"/>
              <w:right w:type="dxa" w:w="110"/>
            </w:tcMar>
          </w:tcPr>
          <w:p>
            <w:pPr>
              <w:jc w:val="left"/>
            </w:pPr>
            <w:r>
              <w:rPr>
                <w:b w:val="false"/>
                <w:bCs w:val="false"/>
                <w:sz w:val="18"/>
                <w:szCs w:val="18"/>
              </w:rPr>
              <w:t xml:space="preserve">POST /submissions/:id/acknowledge</w:t>
            </w:r>
          </w:p>
        </w:tc>
        <w:tc>
          <w:tcPr>
            <w:tcW w:type="dxa" w:w="5400"/>
            <w:tcMar>
              <w:top w:type="dxa" w:w="85"/>
              <w:left w:type="dxa" w:w="110"/>
              <w:bottom w:type="dxa" w:w="85"/>
              <w:right w:type="dxa" w:w="110"/>
            </w:tcMar>
          </w:tcPr>
          <w:p>
            <w:pPr>
              <w:jc w:val="left"/>
            </w:pPr>
            <w:r>
              <w:rPr>
                <w:b w:val="false"/>
                <w:bCs w:val="false"/>
                <w:sz w:val="18"/>
                <w:szCs w:val="18"/>
              </w:rPr>
              <w:t xml:space="preserve">Admin only. Fires the acknowledgement email. Rejection returns it to the client with a reason.</w:t>
            </w:r>
          </w:p>
        </w:tc>
      </w:tr>
      <w:tr>
        <w:tc>
          <w:tcPr>
            <w:tcW w:type="dxa" w:w="1500"/>
            <w:tcMar>
              <w:top w:type="dxa" w:w="85"/>
              <w:left w:type="dxa" w:w="110"/>
              <w:bottom w:type="dxa" w:w="85"/>
              <w:right w:type="dxa" w:w="110"/>
            </w:tcMar>
          </w:tcPr>
          <w:p>
            <w:pPr>
              <w:jc w:val="left"/>
            </w:pPr>
            <w:r>
              <w:rPr>
                <w:b w:val="false"/>
                <w:bCs w:val="false"/>
                <w:sz w:val="18"/>
                <w:szCs w:val="18"/>
              </w:rPr>
              <w:t xml:space="preserve">3 Assign vehicles</w:t>
            </w:r>
          </w:p>
        </w:tc>
        <w:tc>
          <w:tcPr>
            <w:tcW w:type="dxa" w:w="2300"/>
            <w:tcMar>
              <w:top w:type="dxa" w:w="85"/>
              <w:left w:type="dxa" w:w="110"/>
              <w:bottom w:type="dxa" w:w="85"/>
              <w:right w:type="dxa" w:w="110"/>
            </w:tcMar>
          </w:tcPr>
          <w:p>
            <w:pPr>
              <w:jc w:val="left"/>
            </w:pPr>
            <w:r>
              <w:rPr>
                <w:b w:val="false"/>
                <w:bCs w:val="false"/>
                <w:sz w:val="18"/>
                <w:szCs w:val="18"/>
              </w:rPr>
              <w:t xml:space="preserve">POST /submissions/:id/vehicles</w:t>
            </w:r>
          </w:p>
        </w:tc>
        <w:tc>
          <w:tcPr>
            <w:tcW w:type="dxa" w:w="5400"/>
            <w:tcMar>
              <w:top w:type="dxa" w:w="85"/>
              <w:left w:type="dxa" w:w="110"/>
              <w:bottom w:type="dxa" w:w="85"/>
              <w:right w:type="dxa" w:w="110"/>
            </w:tcMar>
          </w:tcPr>
          <w:p>
            <w:pPr>
              <w:jc w:val="left"/>
            </w:pPr>
            <w:r>
              <w:rPr>
                <w:b w:val="false"/>
                <w:bCs w:val="false"/>
                <w:sz w:val="18"/>
                <w:szCs w:val="18"/>
              </w:rPr>
              <w:t xml:space="preserve">Many vehicles. Each carries a team, and every team member needs a name, role and phone.</w:t>
            </w:r>
          </w:p>
        </w:tc>
      </w:tr>
      <w:tr>
        <w:tc>
          <w:tcPr>
            <w:tcW w:type="dxa" w:w="1500"/>
            <w:tcMar>
              <w:top w:type="dxa" w:w="85"/>
              <w:left w:type="dxa" w:w="110"/>
              <w:bottom w:type="dxa" w:w="85"/>
              <w:right w:type="dxa" w:w="110"/>
            </w:tcMar>
          </w:tcPr>
          <w:p>
            <w:pPr>
              <w:jc w:val="left"/>
            </w:pPr>
            <w:r>
              <w:rPr>
                <w:b w:val="false"/>
                <w:bCs w:val="false"/>
                <w:sz w:val="18"/>
                <w:szCs w:val="18"/>
              </w:rPr>
              <w:t xml:space="preserve">4 Weigh</w:t>
            </w:r>
          </w:p>
        </w:tc>
        <w:tc>
          <w:tcPr>
            <w:tcW w:type="dxa" w:w="2300"/>
            <w:tcMar>
              <w:top w:type="dxa" w:w="85"/>
              <w:left w:type="dxa" w:w="110"/>
              <w:bottom w:type="dxa" w:w="85"/>
              <w:right w:type="dxa" w:w="110"/>
            </w:tcMar>
          </w:tcPr>
          <w:p>
            <w:pPr>
              <w:jc w:val="left"/>
            </w:pPr>
            <w:r>
              <w:rPr>
                <w:b w:val="false"/>
                <w:bCs w:val="false"/>
                <w:sz w:val="18"/>
                <w:szCs w:val="18"/>
              </w:rPr>
              <w:t xml:space="preserve">POST /vehicles/:id/weighment</w:t>
            </w:r>
          </w:p>
        </w:tc>
        <w:tc>
          <w:tcPr>
            <w:tcW w:type="dxa" w:w="5400"/>
            <w:tcMar>
              <w:top w:type="dxa" w:w="85"/>
              <w:left w:type="dxa" w:w="110"/>
              <w:bottom w:type="dxa" w:w="85"/>
              <w:right w:type="dxa" w:w="110"/>
            </w:tcMar>
          </w:tcPr>
          <w:p>
            <w:pPr>
              <w:jc w:val="left"/>
            </w:pPr>
            <w:r>
              <w:rPr>
                <w:b w:val="false"/>
                <w:bCs w:val="false"/>
                <w:sz w:val="18"/>
                <w:szCs w:val="18"/>
              </w:rPr>
              <w:t xml:space="preserve">Gross must exceed tare. Slip number and at least one slip photo and one pickup photo. Manual mode skips gross, tare and slip but demands a recorded weight, a method and a written reason — and still a pickup photo.</w:t>
            </w:r>
          </w:p>
        </w:tc>
      </w:tr>
      <w:tr>
        <w:tc>
          <w:tcPr>
            <w:tcW w:type="dxa" w:w="1500"/>
            <w:tcMar>
              <w:top w:type="dxa" w:w="85"/>
              <w:left w:type="dxa" w:w="110"/>
              <w:bottom w:type="dxa" w:w="85"/>
              <w:right w:type="dxa" w:w="110"/>
            </w:tcMar>
          </w:tcPr>
          <w:p>
            <w:pPr>
              <w:jc w:val="left"/>
            </w:pPr>
            <w:r>
              <w:rPr>
                <w:b w:val="false"/>
                <w:bCs w:val="false"/>
                <w:sz w:val="18"/>
                <w:szCs w:val="18"/>
              </w:rPr>
              <w:t xml:space="preserve">5 Billing</w:t>
            </w:r>
          </w:p>
        </w:tc>
        <w:tc>
          <w:tcPr>
            <w:tcW w:type="dxa" w:w="2300"/>
            <w:tcMar>
              <w:top w:type="dxa" w:w="85"/>
              <w:left w:type="dxa" w:w="110"/>
              <w:bottom w:type="dxa" w:w="85"/>
              <w:right w:type="dxa" w:w="110"/>
            </w:tcMar>
          </w:tcPr>
          <w:p>
            <w:pPr>
              <w:jc w:val="left"/>
            </w:pPr>
            <w:r>
              <w:rPr>
                <w:b w:val="false"/>
                <w:bCs w:val="false"/>
                <w:sz w:val="18"/>
                <w:szCs w:val="18"/>
              </w:rPr>
              <w:t xml:space="preserve">POST /submissions/:id/invoices</w:t>
            </w:r>
          </w:p>
        </w:tc>
        <w:tc>
          <w:tcPr>
            <w:tcW w:type="dxa" w:w="5400"/>
            <w:tcMar>
              <w:top w:type="dxa" w:w="85"/>
              <w:left w:type="dxa" w:w="110"/>
              <w:bottom w:type="dxa" w:w="85"/>
              <w:right w:type="dxa" w:w="110"/>
            </w:tcMar>
          </w:tcPr>
          <w:p>
            <w:pPr>
              <w:jc w:val="left"/>
            </w:pPr>
            <w:r>
              <w:rPr>
                <w:b w:val="false"/>
                <w:bCs w:val="false"/>
                <w:sz w:val="18"/>
                <w:szCs w:val="18"/>
              </w:rPr>
              <w:t xml:space="preserve">Many invoices. Each needs its own e-way bill number and PDF. Tax rate chosen from the master; tax value and total are derived, never submitted. Billing weight defaults to the weighed vehicle net; any difference requires a deviation note.</w:t>
            </w:r>
          </w:p>
        </w:tc>
      </w:tr>
      <w:tr>
        <w:tc>
          <w:tcPr>
            <w:tcW w:type="dxa" w:w="1500"/>
            <w:tcMar>
              <w:top w:type="dxa" w:w="85"/>
              <w:left w:type="dxa" w:w="110"/>
              <w:bottom w:type="dxa" w:w="85"/>
              <w:right w:type="dxa" w:w="110"/>
            </w:tcMar>
          </w:tcPr>
          <w:p>
            <w:pPr>
              <w:jc w:val="left"/>
            </w:pPr>
            <w:r>
              <w:rPr>
                <w:b w:val="false"/>
                <w:bCs w:val="false"/>
                <w:sz w:val="18"/>
                <w:szCs w:val="18"/>
              </w:rPr>
              <w:t xml:space="preserve">6 MRN</w:t>
            </w:r>
          </w:p>
        </w:tc>
        <w:tc>
          <w:tcPr>
            <w:tcW w:type="dxa" w:w="2300"/>
            <w:tcMar>
              <w:top w:type="dxa" w:w="85"/>
              <w:left w:type="dxa" w:w="110"/>
              <w:bottom w:type="dxa" w:w="85"/>
              <w:right w:type="dxa" w:w="110"/>
            </w:tcMar>
          </w:tcPr>
          <w:p>
            <w:pPr>
              <w:jc w:val="left"/>
            </w:pPr>
            <w:r>
              <w:rPr>
                <w:b w:val="false"/>
                <w:bCs w:val="false"/>
                <w:sz w:val="18"/>
                <w:szCs w:val="18"/>
              </w:rPr>
              <w:t xml:space="preserve">POST /invoices/:id/mrn</w:t>
            </w:r>
          </w:p>
        </w:tc>
        <w:tc>
          <w:tcPr>
            <w:tcW w:type="dxa" w:w="5400"/>
            <w:tcMar>
              <w:top w:type="dxa" w:w="85"/>
              <w:left w:type="dxa" w:w="110"/>
              <w:bottom w:type="dxa" w:w="85"/>
              <w:right w:type="dxa" w:w="110"/>
            </w:tcMar>
          </w:tcPr>
          <w:p>
            <w:pPr>
              <w:jc w:val="left"/>
            </w:pPr>
            <w:r>
              <w:rPr>
                <w:b w:val="false"/>
                <w:bCs w:val="false"/>
                <w:sz w:val="18"/>
                <w:szCs w:val="18"/>
              </w:rPr>
              <w:t xml:space="preserve">One per invoice. Factory manager only. Number generated as MRN/[Facility]/[FY]/[sequence], resetting each April, per facility. No category split at this stage — it is a gate document.</w:t>
            </w:r>
          </w:p>
        </w:tc>
      </w:tr>
      <w:tr>
        <w:tc>
          <w:tcPr>
            <w:tcW w:type="dxa" w:w="1500"/>
            <w:tcMar>
              <w:top w:type="dxa" w:w="85"/>
              <w:left w:type="dxa" w:w="110"/>
              <w:bottom w:type="dxa" w:w="85"/>
              <w:right w:type="dxa" w:w="110"/>
            </w:tcMar>
          </w:tcPr>
          <w:p>
            <w:pPr>
              <w:jc w:val="left"/>
            </w:pPr>
            <w:r>
              <w:rPr>
                <w:b w:val="false"/>
                <w:bCs w:val="false"/>
                <w:sz w:val="18"/>
                <w:szCs w:val="18"/>
              </w:rPr>
              <w:t xml:space="preserve">7 Recycling</w:t>
            </w:r>
          </w:p>
        </w:tc>
        <w:tc>
          <w:tcPr>
            <w:tcW w:type="dxa" w:w="2300"/>
            <w:tcMar>
              <w:top w:type="dxa" w:w="85"/>
              <w:left w:type="dxa" w:w="110"/>
              <w:bottom w:type="dxa" w:w="85"/>
              <w:right w:type="dxa" w:w="110"/>
            </w:tcMar>
          </w:tcPr>
          <w:p>
            <w:pPr>
              <w:jc w:val="left"/>
            </w:pPr>
            <w:r>
              <w:rPr>
                <w:b w:val="false"/>
                <w:bCs w:val="false"/>
                <w:sz w:val="18"/>
                <w:szCs w:val="18"/>
              </w:rPr>
              <w:t xml:space="preserve">POST /invoices/:id/recycling</w:t>
            </w:r>
          </w:p>
        </w:tc>
        <w:tc>
          <w:tcPr>
            <w:tcW w:type="dxa" w:w="5400"/>
            <w:tcMar>
              <w:top w:type="dxa" w:w="85"/>
              <w:left w:type="dxa" w:w="110"/>
              <w:bottom w:type="dxa" w:w="85"/>
              <w:right w:type="dxa" w:w="110"/>
            </w:tcMar>
          </w:tcPr>
          <w:p>
            <w:pPr>
              <w:jc w:val="left"/>
            </w:pPr>
            <w:r>
              <w:rPr>
                <w:b w:val="false"/>
                <w:bCs w:val="false"/>
                <w:sz w:val="18"/>
                <w:szCs w:val="18"/>
              </w:rPr>
              <w:t xml:space="preserve">Category split must total the invoice billing weight exactly. Each category carries its own material recovery, which must reconcile to that category's weight. Capacity checked against the facility's authorisation; exceeding it requires an override with a reason, and the override is logged.</w:t>
            </w:r>
          </w:p>
        </w:tc>
      </w:tr>
      <w:tr>
        <w:tc>
          <w:tcPr>
            <w:tcW w:type="dxa" w:w="1500"/>
            <w:tcMar>
              <w:top w:type="dxa" w:w="85"/>
              <w:left w:type="dxa" w:w="110"/>
              <w:bottom w:type="dxa" w:w="85"/>
              <w:right w:type="dxa" w:w="110"/>
            </w:tcMar>
          </w:tcPr>
          <w:p>
            <w:pPr>
              <w:jc w:val="left"/>
            </w:pPr>
            <w:r>
              <w:rPr>
                <w:b w:val="false"/>
                <w:bCs w:val="false"/>
                <w:sz w:val="18"/>
                <w:szCs w:val="18"/>
              </w:rPr>
              <w:t xml:space="preserve">8 Certificate</w:t>
            </w:r>
          </w:p>
        </w:tc>
        <w:tc>
          <w:tcPr>
            <w:tcW w:type="dxa" w:w="2300"/>
            <w:tcMar>
              <w:top w:type="dxa" w:w="85"/>
              <w:left w:type="dxa" w:w="110"/>
              <w:bottom w:type="dxa" w:w="85"/>
              <w:right w:type="dxa" w:w="110"/>
            </w:tcMar>
          </w:tcPr>
          <w:p>
            <w:pPr>
              <w:jc w:val="left"/>
            </w:pPr>
            <w:r>
              <w:rPr>
                <w:b w:val="false"/>
                <w:bCs w:val="false"/>
                <w:sz w:val="18"/>
                <w:szCs w:val="18"/>
              </w:rPr>
              <w:t xml:space="preserve">POST /invoices/:id/certificates</w:t>
            </w:r>
          </w:p>
        </w:tc>
        <w:tc>
          <w:tcPr>
            <w:tcW w:type="dxa" w:w="5400"/>
            <w:tcMar>
              <w:top w:type="dxa" w:w="85"/>
              <w:left w:type="dxa" w:w="110"/>
              <w:bottom w:type="dxa" w:w="85"/>
              <w:right w:type="dxa" w:w="110"/>
            </w:tcMar>
          </w:tcPr>
          <w:p>
            <w:pPr>
              <w:jc w:val="left"/>
            </w:pPr>
            <w:r>
              <w:rPr>
                <w:b w:val="false"/>
                <w:bCs w:val="false"/>
                <w:sz w:val="18"/>
                <w:szCs w:val="18"/>
              </w:rPr>
              <w:t xml:space="preserve">Many per invoice, each with an optional department. Certificate number unique system-wide. Upload emails the client with the PDF attached.</w:t>
            </w:r>
          </w:p>
        </w:tc>
      </w:tr>
      <w:tr>
        <w:tc>
          <w:tcPr>
            <w:tcW w:type="dxa" w:w="1500"/>
            <w:tcMar>
              <w:top w:type="dxa" w:w="85"/>
              <w:left w:type="dxa" w:w="110"/>
              <w:bottom w:type="dxa" w:w="85"/>
              <w:right w:type="dxa" w:w="110"/>
            </w:tcMar>
          </w:tcPr>
          <w:p>
            <w:pPr>
              <w:jc w:val="left"/>
            </w:pPr>
            <w:r>
              <w:rPr>
                <w:b w:val="false"/>
                <w:bCs w:val="false"/>
                <w:sz w:val="18"/>
                <w:szCs w:val="18"/>
              </w:rPr>
              <w:t xml:space="preserve">9 Close</w:t>
            </w:r>
          </w:p>
        </w:tc>
        <w:tc>
          <w:tcPr>
            <w:tcW w:type="dxa" w:w="2300"/>
            <w:tcMar>
              <w:top w:type="dxa" w:w="85"/>
              <w:left w:type="dxa" w:w="110"/>
              <w:bottom w:type="dxa" w:w="85"/>
              <w:right w:type="dxa" w:w="110"/>
            </w:tcMar>
          </w:tcPr>
          <w:p>
            <w:pPr>
              <w:jc w:val="left"/>
            </w:pPr>
            <w:r>
              <w:rPr>
                <w:b w:val="false"/>
                <w:bCs w:val="false"/>
                <w:sz w:val="18"/>
                <w:szCs w:val="18"/>
              </w:rPr>
              <w:t xml:space="preserve">POST /invoices/:id/close</w:t>
            </w:r>
          </w:p>
        </w:tc>
        <w:tc>
          <w:tcPr>
            <w:tcW w:type="dxa" w:w="5400"/>
            <w:tcMar>
              <w:top w:type="dxa" w:w="85"/>
              <w:left w:type="dxa" w:w="110"/>
              <w:bottom w:type="dxa" w:w="85"/>
              <w:right w:type="dxa" w:w="110"/>
            </w:tcMar>
          </w:tcPr>
          <w:p>
            <w:pPr>
              <w:jc w:val="left"/>
            </w:pPr>
            <w:r>
              <w:rPr>
                <w:b w:val="false"/>
                <w:bCs w:val="false"/>
                <w:sz w:val="18"/>
                <w:szCs w:val="18"/>
              </w:rPr>
              <w:t xml:space="preserve">Requestor only, or any client user after thirty days. Requires a certificate and full payment. Admin force-close permitted after sixty days with a reason.</w:t>
            </w:r>
          </w:p>
        </w:tc>
      </w:tr>
    </w:tbl>
    <w:p>
      <w:r>
        <w:br w:type="page"/>
      </w:r>
    </w:p>
    <w:p>
      <w:pPr>
        <w:spacing w:after="90" w:before="190"/>
      </w:pPr>
      <w:r>
        <w:rPr>
          <w:b/>
          <w:bCs/>
          <w:color w:val="3B6D11"/>
          <w:sz w:val="21"/>
          <w:szCs w:val="21"/>
        </w:rPr>
        <w:t xml:space="preserve">Three rules that are easy to get wrong</w:t>
      </w:r>
    </w:p>
    <w:p>
      <w:pPr>
        <w:spacing w:after="110"/>
      </w:pPr>
      <w:r>
        <w:t xml:space="preserve"/>
      </w:r>
    </w:p>
    <w:p>
      <w:pPr>
        <w:spacing w:after="110"/>
        <w:jc w:val="left"/>
      </w:pPr>
      <w:r>
        <w:rPr>
          <w:sz w:val="21"/>
          <w:szCs w:val="21"/>
        </w:rPr>
        <w:t xml:space="preserve">These caused real defects during prototype development. Each deserves its own test.</w:t>
      </w:r>
    </w:p>
    <w:p>
      <w:pPr>
        <w:spacing w:after="90" w:before="190"/>
      </w:pPr>
      <w:r>
        <w:rPr>
          <w:b/>
          <w:bCs/>
          <w:color w:val="3B6D11"/>
          <w:sz w:val="21"/>
          <w:szCs w:val="21"/>
        </w:rPr>
        <w:t xml:space="preserve">Stage is derived, never stored</w:t>
      </w:r>
    </w:p>
    <w:p>
      <w:pPr>
        <w:spacing w:after="110"/>
        <w:jc w:val="left"/>
      </w:pPr>
      <w:r>
        <w:rPr>
          <w:sz w:val="21"/>
          <w:szCs w:val="21"/>
        </w:rPr>
        <w:t xml:space="preserve">A stage counter drifts. Imported records, hand edits and older code all leave it behind the actual paperwork, and the result is a dashboard that disagrees with the request when you open it. That defect occurred and was fixed by deriving stage from the records themselves.</w:t>
      </w:r>
    </w:p>
    <w:tbl>
      <w:tblPr>
        <w:tblW w:type="dxa" w:w="9200"/>
        <w:tblBorders>
          <w:top w:val="single" w:color="DDDDDD" w:sz="2"/>
          <w:left w:val="single" w:color="3B6D11" w:sz="8"/>
          <w:bottom w:val="single" w:color="DDDDDD" w:sz="2"/>
          <w:right w:val="single" w:color="DDDDDD" w:sz="2"/>
          <w:insideH w:val="none"/>
          <w:insideV w:val="none"/>
        </w:tblBorders>
      </w:tblPr>
      <w:tblGrid>
        <w:gridCol w:w="9200"/>
      </w:tblGrid>
      <w:tr>
        <w:tc>
          <w:tcPr>
            <w:tcW w:type="dxa" w:w="9200"/>
            <w:shd w:fill="F7F7F4" w:color="auto" w:val="clear"/>
            <w:tcMar>
              <w:top w:type="dxa" w:w="130"/>
              <w:left w:type="dxa" w:w="160"/>
              <w:bottom w:type="dxa" w:w="130"/>
              <w:right w:type="dxa" w:w="160"/>
            </w:tcMar>
          </w:tcPr>
          <w:p>
            <w:pPr>
              <w:spacing w:after="20"/>
            </w:pPr>
            <w:r>
              <w:rPr>
                <w:rFonts w:ascii="Consolas" w:cs="Consolas" w:eastAsia="Consolas" w:hAnsi="Consolas"/>
                <w:sz w:val="17"/>
                <w:szCs w:val="17"/>
              </w:rPr>
              <w:t xml:space="preserve">invoice stage:</w:t>
            </w:r>
          </w:p>
          <w:p>
            <w:pPr>
              <w:spacing w:after="20"/>
            </w:pPr>
            <w:r>
              <w:rPr>
                <w:rFonts w:ascii="Consolas" w:cs="Consolas" w:eastAsia="Consolas" w:hAnsi="Consolas"/>
                <w:sz w:val="17"/>
                <w:szCs w:val="17"/>
              </w:rPr>
              <w:t xml:space="preserve">  has closure           -&gt; 9  Closed</w:t>
            </w:r>
          </w:p>
          <w:p>
            <w:pPr>
              <w:spacing w:after="20"/>
            </w:pPr>
            <w:r>
              <w:rPr>
                <w:rFonts w:ascii="Consolas" w:cs="Consolas" w:eastAsia="Consolas" w:hAnsi="Consolas"/>
                <w:sz w:val="17"/>
                <w:szCs w:val="17"/>
              </w:rPr>
              <w:t xml:space="preserve">  has any certificate   -&gt; 8  Certificate</w:t>
            </w:r>
          </w:p>
          <w:p>
            <w:pPr>
              <w:spacing w:after="20"/>
            </w:pPr>
            <w:r>
              <w:rPr>
                <w:rFonts w:ascii="Consolas" w:cs="Consolas" w:eastAsia="Consolas" w:hAnsi="Consolas"/>
                <w:sz w:val="17"/>
                <w:szCs w:val="17"/>
              </w:rPr>
              <w:t xml:space="preserve">  has recycling record  -&gt; 7  Recycling</w:t>
            </w:r>
          </w:p>
          <w:p>
            <w:pPr>
              <w:spacing w:after="20"/>
            </w:pPr>
            <w:r>
              <w:rPr>
                <w:rFonts w:ascii="Consolas" w:cs="Consolas" w:eastAsia="Consolas" w:hAnsi="Consolas"/>
                <w:sz w:val="17"/>
                <w:szCs w:val="17"/>
              </w:rPr>
              <w:t xml:space="preserve">  has MRN               -&gt; 6  MRN</w:t>
            </w:r>
          </w:p>
          <w:p>
            <w:pPr>
              <w:spacing w:after="20"/>
            </w:pPr>
            <w:r>
              <w:rPr>
                <w:rFonts w:ascii="Consolas" w:cs="Consolas" w:eastAsia="Consolas" w:hAnsi="Consolas"/>
                <w:sz w:val="17"/>
                <w:szCs w:val="17"/>
              </w:rPr>
              <w:t xml:space="preserve">  otherwise             -&gt; 5  Billing</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submission stage = the LEAST advanced of its invoices</w:t>
            </w:r>
          </w:p>
          <w:p>
            <w:pPr>
              <w:spacing w:after="20"/>
            </w:pPr>
            <w:r>
              <w:rPr>
                <w:rFonts w:ascii="Consolas" w:cs="Consolas" w:eastAsia="Consolas" w:hAnsi="Consolas"/>
                <w:sz w:val="17"/>
                <w:szCs w:val="17"/>
              </w:rPr>
              <w:t xml:space="preserve">  (a request is only as finished as its slowest invoice)</w:t>
            </w:r>
          </w:p>
        </w:tc>
      </w:tr>
    </w:tbl>
    <w:p>
      <w:pPr>
        <w:spacing w:after="110"/>
        <w:jc w:val="left"/>
      </w:pPr>
      <w:r>
        <w:rPr>
          <w:sz w:val="21"/>
          <w:szCs w:val="21"/>
        </w:rPr>
        <w:t xml:space="preserve">Compute this in the database as a view or generated column, or in one shared function on the server. If a stored counter is kept as a cache, add a reconciliation job that repairs and logs drift.</w:t>
      </w:r>
    </w:p>
    <w:p>
      <w:pPr>
        <w:spacing w:after="90" w:before="190"/>
      </w:pPr>
      <w:r>
        <w:rPr>
          <w:b/>
          <w:bCs/>
          <w:color w:val="3B6D11"/>
          <w:sz w:val="21"/>
          <w:szCs w:val="21"/>
        </w:rPr>
        <w:t xml:space="preserve">MRN numbering must be atomic</w:t>
      </w:r>
    </w:p>
    <w:p>
      <w:pPr>
        <w:spacing w:after="110"/>
        <w:jc w:val="left"/>
      </w:pPr>
      <w:r>
        <w:rPr>
          <w:sz w:val="21"/>
          <w:szCs w:val="21"/>
        </w:rPr>
        <w:t xml:space="preserve">Two receipts at the same facility at the same moment must not collide, and the sequence must not skip. A read-then-write in application code will eventually produce a duplicate or a gap under load.</w:t>
      </w:r>
    </w:p>
    <w:tbl>
      <w:tblPr>
        <w:tblW w:type="dxa" w:w="9200"/>
        <w:tblBorders>
          <w:top w:val="single" w:color="DDDDDD" w:sz="2"/>
          <w:left w:val="single" w:color="3B6D11" w:sz="8"/>
          <w:bottom w:val="single" w:color="DDDDDD" w:sz="2"/>
          <w:right w:val="single" w:color="DDDDDD" w:sz="2"/>
          <w:insideH w:val="none"/>
          <w:insideV w:val="none"/>
        </w:tblBorders>
      </w:tblPr>
      <w:tblGrid>
        <w:gridCol w:w="9200"/>
      </w:tblGrid>
      <w:tr>
        <w:tc>
          <w:tcPr>
            <w:tcW w:type="dxa" w:w="9200"/>
            <w:shd w:fill="F7F7F4" w:color="auto" w:val="clear"/>
            <w:tcMar>
              <w:top w:type="dxa" w:w="130"/>
              <w:left w:type="dxa" w:w="160"/>
              <w:bottom w:type="dxa" w:w="130"/>
              <w:right w:type="dxa" w:w="160"/>
            </w:tcMar>
          </w:tcPr>
          <w:p>
            <w:pPr>
              <w:spacing w:after="20"/>
            </w:pPr>
            <w:r>
              <w:rPr>
                <w:rFonts w:ascii="Consolas" w:cs="Consolas" w:eastAsia="Consolas" w:hAnsi="Consolas"/>
                <w:sz w:val="17"/>
                <w:szCs w:val="17"/>
              </w:rPr>
              <w:t xml:space="preserve">Format:  MRN/URB-KGF/2627/0001</w:t>
            </w:r>
          </w:p>
          <w:p>
            <w:pPr>
              <w:spacing w:after="20"/>
            </w:pPr>
            <w:r>
              <w:rPr>
                <w:rFonts w:ascii="Consolas" w:cs="Consolas" w:eastAsia="Consolas" w:hAnsi="Consolas"/>
                <w:sz w:val="17"/>
                <w:szCs w:val="17"/>
              </w:rPr>
              <w:t xml:space="preserve">         facility code, fiscal year (Apr-Mar), 4-digit sequence</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Allocate inside a transaction, using either</w:t>
            </w:r>
          </w:p>
          <w:p>
            <w:pPr>
              <w:spacing w:after="20"/>
            </w:pPr>
            <w:r>
              <w:rPr>
                <w:rFonts w:ascii="Consolas" w:cs="Consolas" w:eastAsia="Consolas" w:hAnsi="Consolas"/>
                <w:sz w:val="17"/>
                <w:szCs w:val="17"/>
              </w:rPr>
              <w:t xml:space="preserve">  a) SELECT ... FOR UPDATE on a per-facility-per-year counter row, or</w:t>
            </w:r>
          </w:p>
          <w:p>
            <w:pPr>
              <w:spacing w:after="20"/>
            </w:pPr>
            <w:r>
              <w:rPr>
                <w:rFonts w:ascii="Consolas" w:cs="Consolas" w:eastAsia="Consolas" w:hAnsi="Consolas"/>
                <w:sz w:val="17"/>
                <w:szCs w:val="17"/>
              </w:rPr>
              <w:t xml:space="preserve">  b) a Postgres sequence created per facility per fiscal year</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Never generate the number in application code before the transaction.</w:t>
            </w:r>
          </w:p>
        </w:tc>
      </w:tr>
    </w:tbl>
    <w:p>
      <w:pPr>
        <w:spacing w:after="110"/>
      </w:pPr>
      <w:r>
        <w:rPr>
          <w:b/>
          <w:bCs/>
          <w:sz w:val="21"/>
          <w:szCs w:val="21"/>
        </w:rPr>
        <w:t xml:space="preserve">Ask the vendor how they will do this. </w:t>
      </w:r>
      <w:r>
        <w:rPr>
          <w:sz w:val="21"/>
          <w:szCs w:val="21"/>
        </w:rPr>
        <w:t xml:space="preserve">It is question 4 in the RFP for a reason — the answer reveals whether they think about concurrency.</w:t>
      </w:r>
    </w:p>
    <w:p>
      <w:pPr>
        <w:spacing w:after="90" w:before="190"/>
      </w:pPr>
      <w:r>
        <w:rPr>
          <w:b/>
          <w:bCs/>
          <w:color w:val="3B6D11"/>
          <w:sz w:val="21"/>
          <w:szCs w:val="21"/>
        </w:rPr>
        <w:t xml:space="preserve">Financial year is April to March</w:t>
      </w:r>
    </w:p>
    <w:p>
      <w:pPr>
        <w:spacing w:after="110"/>
        <w:jc w:val="left"/>
      </w:pPr>
      <w:r>
        <w:rPr>
          <w:sz w:val="21"/>
          <w:szCs w:val="21"/>
        </w:rPr>
        <w:t xml:space="preserve">It governs MRN sequences, capacity utilisation, reports and Recycle Heroes. Write one date helper and use it everywhere. A March date belongs to the year that started the previous April.</w:t>
      </w:r>
    </w:p>
    <w:p>
      <w:pPr>
        <w:spacing w:after="110"/>
      </w:pPr>
      <w:r>
        <w:t xml:space="preserve"/>
      </w:r>
    </w:p>
    <w:p>
      <w:pPr>
        <w:spacing w:after="90" w:before="190"/>
      </w:pPr>
      <w:r>
        <w:rPr>
          <w:b/>
          <w:bCs/>
          <w:color w:val="3B6D11"/>
          <w:sz w:val="21"/>
          <w:szCs w:val="21"/>
        </w:rPr>
        <w:t xml:space="preserve">Capacity enforcement</w:t>
      </w:r>
    </w:p>
    <w:p>
      <w:pPr>
        <w:pStyle w:val="ListParagraph"/>
        <w:numPr>
          <w:ilvl w:val="0"/>
          <w:numId w:val="2"/>
        </w:numPr>
        <w:spacing w:after="55"/>
      </w:pPr>
      <w:r>
        <w:rPr>
          <w:sz w:val="21"/>
          <w:szCs w:val="21"/>
        </w:rPr>
        <w:t xml:space="preserve">Utilisation is measured per facility, against that facility's own 126 authorised entries</w:t>
      </w:r>
    </w:p>
    <w:p>
      <w:pPr>
        <w:pStyle w:val="ListParagraph"/>
        <w:numPr>
          <w:ilvl w:val="0"/>
          <w:numId w:val="2"/>
        </w:numPr>
        <w:spacing w:after="55"/>
      </w:pPr>
      <w:r>
        <w:rPr>
          <w:sz w:val="21"/>
          <w:szCs w:val="21"/>
        </w:rPr>
        <w:t xml:space="preserve">Warn at eighty per cent, block at one hundred per cent unless overridden</w:t>
      </w:r>
    </w:p>
    <w:p>
      <w:pPr>
        <w:pStyle w:val="ListParagraph"/>
        <w:numPr>
          <w:ilvl w:val="0"/>
          <w:numId w:val="2"/>
        </w:numPr>
        <w:spacing w:after="55"/>
      </w:pPr>
      <w:r>
        <w:rPr>
          <w:sz w:val="21"/>
          <w:szCs w:val="21"/>
        </w:rPr>
        <w:t xml:space="preserve">An override requires a reason and writes an audit entry — this is the record that matters if CPCB asks</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Exit criteria — do not start the next phase until all of these are true</w:t>
            </w:r>
          </w:p>
          <w:p>
            <w:pPr>
              <w:spacing w:after="55"/>
            </w:pPr>
            <w:r>
              <w:rPr>
                <w:sz w:val="19"/>
                <w:szCs w:val="19"/>
              </w:rPr>
              <w:t xml:space="preserve">☐  All nine stages work end to end through the API for a multi-invoice request</w:t>
            </w:r>
          </w:p>
          <w:p>
            <w:pPr>
              <w:spacing w:after="55"/>
            </w:pPr>
            <w:r>
              <w:rPr>
                <w:sz w:val="19"/>
                <w:szCs w:val="19"/>
              </w:rPr>
              <w:t xml:space="preserve">☐  Every validation refusal in the prototype has a matching test that asserts the refusal</w:t>
            </w:r>
          </w:p>
          <w:p>
            <w:pPr>
              <w:spacing w:after="55"/>
            </w:pPr>
            <w:r>
              <w:rPr>
                <w:sz w:val="19"/>
                <w:szCs w:val="19"/>
              </w:rPr>
              <w:t xml:space="preserve">☐  Stage is derived; a record with a deliberately corrupted counter still reports correctly</w:t>
            </w:r>
          </w:p>
          <w:p>
            <w:pPr>
              <w:spacing w:after="55"/>
            </w:pPr>
            <w:r>
              <w:rPr>
                <w:sz w:val="19"/>
                <w:szCs w:val="19"/>
              </w:rPr>
              <w:t xml:space="preserve">☐  Concurrent MRN creation at one facility produces no duplicates and no gaps under a load test</w:t>
            </w:r>
          </w:p>
          <w:p>
            <w:pPr>
              <w:spacing w:after="55"/>
            </w:pPr>
            <w:r>
              <w:rPr>
                <w:sz w:val="19"/>
                <w:szCs w:val="19"/>
              </w:rPr>
              <w:t xml:space="preserve">☐  Fiscal year boundaries are correct at 31 March and 1 April</w:t>
            </w:r>
          </w:p>
          <w:p>
            <w:pPr>
              <w:spacing w:after="55"/>
            </w:pPr>
            <w:r>
              <w:rPr>
                <w:sz w:val="19"/>
                <w:szCs w:val="19"/>
              </w:rPr>
              <w:t xml:space="preserve">☐  Capacity override is possible, requires a reason, and is audited</w:t>
            </w:r>
          </w:p>
          <w:p>
            <w:pPr>
              <w:spacing w:after="55"/>
            </w:pPr>
            <w:r>
              <w:rPr>
                <w:sz w:val="19"/>
                <w:szCs w:val="19"/>
              </w:rPr>
              <w:t xml:space="preserve">☐  Closure is refused without payment, and without a certificate</w:t>
            </w:r>
          </w:p>
        </w:tc>
      </w:tr>
    </w:tbl>
    <w:p>
      <w:r>
        <w:br w:type="page"/>
      </w:r>
    </w:p>
    <w:tbl>
      <w:tblPr>
        <w:tblW w:type="dxa" w:w="9200"/>
        <w:tblBorders>
          <w:top w:val="none"/>
          <w:left w:val="none"/>
          <w:bottom w:val="none"/>
          <w:right w:val="none"/>
          <w:insideH w:val="none"/>
          <w:insideV w:val="none"/>
        </w:tblBorders>
      </w:tblPr>
      <w:tblGrid>
        <w:gridCol w:w="1100"/>
        <w:gridCol w:w="5400"/>
        <w:gridCol w:w="1500"/>
        <w:gridCol w:w="1200"/>
      </w:tblGrid>
      <w:tr>
        <w:tc>
          <w:tcPr>
            <w:tcW w:type="dxa" w:w="1100"/>
            <w:shd w:fill="2A4D0C" w:color="auto" w:val="clear"/>
            <w:tcMar>
              <w:top w:type="dxa" w:w="150"/>
              <w:left w:type="dxa" w:w="100"/>
              <w:bottom w:type="dxa" w:w="150"/>
              <w:right w:type="dxa" w:w="100"/>
            </w:tcMar>
          </w:tcPr>
          <w:p>
            <w:pPr>
              <w:jc w:val="center"/>
            </w:pPr>
            <w:r>
              <w:rPr>
                <w:b/>
                <w:bCs/>
                <w:color w:val="FFFFFF"/>
                <w:sz w:val="14"/>
                <w:szCs w:val="14"/>
              </w:rPr>
              <w:t xml:space="preserve">PHASE</w:t>
            </w:r>
          </w:p>
          <w:p>
            <w:pPr>
              <w:jc w:val="center"/>
            </w:pPr>
            <w:r>
              <w:rPr>
                <w:b/>
                <w:bCs/>
                <w:color w:val="FFFFFF"/>
                <w:sz w:val="34"/>
                <w:szCs w:val="34"/>
              </w:rPr>
              <w:t xml:space="preserve">4</w:t>
            </w:r>
          </w:p>
        </w:tc>
        <w:tc>
          <w:tcPr>
            <w:tcW w:type="dxa" w:w="5400"/>
            <w:shd w:fill="3B6D11" w:color="auto" w:val="clear"/>
            <w:tcMar>
              <w:top w:type="dxa" w:w="150"/>
              <w:left w:type="dxa" w:w="190"/>
              <w:bottom w:type="dxa" w:w="150"/>
              <w:right w:type="dxa" w:w="120"/>
            </w:tcMar>
          </w:tcPr>
          <w:p>
            <w:r>
              <w:rPr>
                <w:b/>
                <w:bCs/>
                <w:color w:val="FFFFFF"/>
                <w:sz w:val="26"/>
                <w:szCs w:val="26"/>
              </w:rPr>
              <w:t xml:space="preserve">Documents and file storage</w:t>
            </w:r>
          </w:p>
        </w:tc>
        <w:tc>
          <w:tcPr>
            <w:tcW w:type="dxa" w:w="1500"/>
            <w:shd w:fill="3B6D11" w:color="auto" w:val="clear"/>
            <w:tcMar>
              <w:top w:type="dxa" w:w="150"/>
              <w:left w:type="dxa" w:w="100"/>
              <w:bottom w:type="dxa" w:w="150"/>
              <w:right w:type="dxa" w:w="100"/>
            </w:tcMar>
          </w:tcPr>
          <w:p>
            <w:r>
              <w:rPr>
                <w:color w:val="C0DD97"/>
                <w:sz w:val="13"/>
                <w:szCs w:val="13"/>
              </w:rPr>
              <w:t xml:space="preserve">DURATION</w:t>
            </w:r>
          </w:p>
          <w:p>
            <w:r>
              <w:rPr>
                <w:b/>
                <w:bCs/>
                <w:color w:val="FFFFFF"/>
                <w:sz w:val="18"/>
                <w:szCs w:val="18"/>
              </w:rPr>
              <w:t xml:space="preserve">Weeks 5–8</w:t>
            </w:r>
          </w:p>
        </w:tc>
        <w:tc>
          <w:tcPr>
            <w:tcW w:type="dxa" w:w="1200"/>
            <w:shd w:fill="3B6D11" w:color="auto" w:val="clear"/>
            <w:tcMar>
              <w:top w:type="dxa" w:w="150"/>
              <w:left w:type="dxa" w:w="100"/>
              <w:bottom w:type="dxa" w:w="150"/>
              <w:right w:type="dxa" w:w="120"/>
            </w:tcMar>
          </w:tcPr>
          <w:p>
            <w:r>
              <w:rPr>
                <w:color w:val="C0DD97"/>
                <w:sz w:val="13"/>
                <w:szCs w:val="13"/>
              </w:rPr>
              <w:t xml:space="preserve">LEAD</w:t>
            </w:r>
          </w:p>
          <w:p>
            <w:r>
              <w:rPr>
                <w:b/>
                <w:bCs/>
                <w:color w:val="FFFFFF"/>
                <w:sz w:val="18"/>
                <w:szCs w:val="18"/>
              </w:rPr>
              <w:t xml:space="preserve">Partner</w:t>
            </w:r>
          </w:p>
        </w:tc>
      </w:tr>
    </w:tbl>
    <w:p>
      <w:pPr>
        <w:spacing w:after="110"/>
      </w:pPr>
      <w:r>
        <w:t xml:space="preserve"/>
      </w:r>
    </w:p>
    <w:p>
      <w:pPr>
        <w:spacing w:after="110"/>
        <w:jc w:val="left"/>
      </w:pPr>
      <w:r>
        <w:rPr>
          <w:sz w:val="21"/>
          <w:szCs w:val="21"/>
        </w:rPr>
        <w:t xml:space="preserve">The prototype stores files inline as data URIs, which is why it caps them at a few megabytes. Production moves bytes to object storage and keeps only metadata in the database.</w:t>
      </w:r>
    </w:p>
    <w:p>
      <w:pPr>
        <w:spacing w:after="90" w:before="190"/>
      </w:pPr>
      <w:r>
        <w:rPr>
          <w:b/>
          <w:bCs/>
          <w:color w:val="3B6D11"/>
          <w:sz w:val="21"/>
          <w:szCs w:val="21"/>
        </w:rPr>
        <w:t xml:space="preserve">Object storage</w:t>
      </w:r>
    </w:p>
    <w:p>
      <w:pPr>
        <w:pStyle w:val="ListParagraph"/>
        <w:numPr>
          <w:ilvl w:val="0"/>
          <w:numId w:val="2"/>
        </w:numPr>
        <w:spacing w:after="55"/>
      </w:pPr>
      <w:r>
        <w:rPr>
          <w:sz w:val="21"/>
          <w:szCs w:val="21"/>
        </w:rPr>
        <w:t xml:space="preserve">S3, Cloudflare R2 or equivalent, in the Indian region</w:t>
      </w:r>
    </w:p>
    <w:p>
      <w:pPr>
        <w:pStyle w:val="ListParagraph"/>
        <w:numPr>
          <w:ilvl w:val="0"/>
          <w:numId w:val="2"/>
        </w:numPr>
        <w:spacing w:after="55"/>
      </w:pPr>
      <w:r>
        <w:rPr>
          <w:sz w:val="21"/>
          <w:szCs w:val="21"/>
        </w:rPr>
        <w:t xml:space="preserve">Uploads go direct from browser to storage using a pre-signed URL — never stream large files through the API</w:t>
      </w:r>
    </w:p>
    <w:p>
      <w:pPr>
        <w:pStyle w:val="ListParagraph"/>
        <w:numPr>
          <w:ilvl w:val="0"/>
          <w:numId w:val="2"/>
        </w:numPr>
        <w:spacing w:after="55"/>
      </w:pPr>
      <w:r>
        <w:rPr>
          <w:sz w:val="21"/>
          <w:szCs w:val="21"/>
        </w:rPr>
        <w:t xml:space="preserve">Downloads issued as short-lived pre-signed URLs after an authorisation check</w:t>
      </w:r>
    </w:p>
    <w:p>
      <w:pPr>
        <w:pStyle w:val="ListParagraph"/>
        <w:numPr>
          <w:ilvl w:val="0"/>
          <w:numId w:val="2"/>
        </w:numPr>
        <w:spacing w:after="55"/>
      </w:pPr>
      <w:r>
        <w:rPr>
          <w:sz w:val="21"/>
          <w:szCs w:val="21"/>
        </w:rPr>
        <w:t xml:space="preserve">Bucket private by default. A public bucket here would expose client compliance documents.</w:t>
      </w:r>
    </w:p>
    <w:p>
      <w:pPr>
        <w:pStyle w:val="ListParagraph"/>
        <w:numPr>
          <w:ilvl w:val="0"/>
          <w:numId w:val="2"/>
        </w:numPr>
        <w:spacing w:after="55"/>
      </w:pPr>
      <w:r>
        <w:rPr>
          <w:sz w:val="21"/>
          <w:szCs w:val="21"/>
        </w:rPr>
        <w:t xml:space="preserve">Virus scanning on upload</w:t>
      </w:r>
    </w:p>
    <w:p>
      <w:pPr>
        <w:pStyle w:val="ListParagraph"/>
        <w:numPr>
          <w:ilvl w:val="0"/>
          <w:numId w:val="2"/>
        </w:numPr>
        <w:spacing w:after="55"/>
      </w:pPr>
      <w:r>
        <w:rPr>
          <w:sz w:val="21"/>
          <w:szCs w:val="21"/>
        </w:rPr>
        <w:t xml:space="preserve">Server-side encryption at rest</w:t>
      </w:r>
    </w:p>
    <w:p>
      <w:pPr>
        <w:spacing w:after="90" w:before="190"/>
      </w:pPr>
      <w:r>
        <w:rPr>
          <w:b/>
          <w:bCs/>
          <w:color w:val="3B6D11"/>
          <w:sz w:val="21"/>
          <w:szCs w:val="21"/>
        </w:rPr>
        <w:t xml:space="preserve">What gets uploaded, and the limits</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1300"/>
        <w:gridCol w:w="3000"/>
      </w:tblGrid>
      <w:tr>
        <w:trPr>
          <w:tblHeader/>
        </w:trPr>
        <w:tc>
          <w:tcPr>
            <w:tcW w:type="dxa" w:w="1500"/>
            <w:shd w:fill="3B6D11" w:color="auto" w:val="clear"/>
            <w:tcMar>
              <w:top w:type="dxa" w:w="85"/>
              <w:left w:type="dxa" w:w="110"/>
              <w:bottom w:type="dxa" w:w="85"/>
              <w:right w:type="dxa" w:w="110"/>
            </w:tcMar>
          </w:tcPr>
          <w:p>
            <w:pPr>
              <w:jc w:val="left"/>
            </w:pPr>
            <w:r>
              <w:rPr>
                <w:b/>
                <w:bCs/>
                <w:color w:val="FFFFFF"/>
                <w:sz w:val="18"/>
                <w:szCs w:val="18"/>
              </w:rPr>
              <w:t xml:space="preserve">Stage</w:t>
            </w:r>
          </w:p>
        </w:tc>
        <w:tc>
          <w:tcPr>
            <w:tcW w:type="dxa" w:w="3400"/>
            <w:shd w:fill="3B6D11" w:color="auto" w:val="clear"/>
            <w:tcMar>
              <w:top w:type="dxa" w:w="85"/>
              <w:left w:type="dxa" w:w="110"/>
              <w:bottom w:type="dxa" w:w="85"/>
              <w:right w:type="dxa" w:w="110"/>
            </w:tcMar>
          </w:tcPr>
          <w:p>
            <w:pPr>
              <w:jc w:val="left"/>
            </w:pPr>
            <w:r>
              <w:rPr>
                <w:b/>
                <w:bCs/>
                <w:color w:val="FFFFFF"/>
                <w:sz w:val="18"/>
                <w:szCs w:val="18"/>
              </w:rPr>
              <w:t xml:space="preserve">File</w:t>
            </w:r>
          </w:p>
        </w:tc>
        <w:tc>
          <w:tcPr>
            <w:tcW w:type="dxa" w:w="1300"/>
            <w:shd w:fill="3B6D11" w:color="auto" w:val="clear"/>
            <w:tcMar>
              <w:top w:type="dxa" w:w="85"/>
              <w:left w:type="dxa" w:w="110"/>
              <w:bottom w:type="dxa" w:w="85"/>
              <w:right w:type="dxa" w:w="110"/>
            </w:tcMar>
          </w:tcPr>
          <w:p>
            <w:pPr>
              <w:jc w:val="left"/>
            </w:pPr>
            <w:r>
              <w:rPr>
                <w:b/>
                <w:bCs/>
                <w:color w:val="FFFFFF"/>
                <w:sz w:val="18"/>
                <w:szCs w:val="18"/>
              </w:rPr>
              <w:t xml:space="preserve">Limit</w:t>
            </w:r>
          </w:p>
        </w:tc>
        <w:tc>
          <w:tcPr>
            <w:tcW w:type="dxa" w:w="3000"/>
            <w:shd w:fill="3B6D11" w:color="auto" w:val="clear"/>
            <w:tcMar>
              <w:top w:type="dxa" w:w="85"/>
              <w:left w:type="dxa" w:w="110"/>
              <w:bottom w:type="dxa" w:w="85"/>
              <w:right w:type="dxa" w:w="110"/>
            </w:tcMar>
          </w:tcPr>
          <w:p>
            <w:pPr>
              <w:jc w:val="left"/>
            </w:pPr>
            <w:r>
              <w:rPr>
                <w:b/>
                <w:bCs/>
                <w:color w:val="FFFFFF"/>
                <w:sz w:val="18"/>
                <w:szCs w:val="18"/>
              </w:rPr>
              <w:t xml:space="preserve">Required</w:t>
            </w:r>
          </w:p>
        </w:tc>
      </w:tr>
      <w:tr>
        <w:tc>
          <w:tcPr>
            <w:tcW w:type="dxa" w:w="1500"/>
            <w:tcMar>
              <w:top w:type="dxa" w:w="85"/>
              <w:left w:type="dxa" w:w="110"/>
              <w:bottom w:type="dxa" w:w="85"/>
              <w:right w:type="dxa" w:w="110"/>
            </w:tcMar>
          </w:tcPr>
          <w:p>
            <w:pPr>
              <w:jc w:val="left"/>
            </w:pPr>
            <w:r>
              <w:rPr>
                <w:b w:val="false"/>
                <w:bCs w:val="false"/>
                <w:sz w:val="18"/>
                <w:szCs w:val="18"/>
              </w:rPr>
              <w:t xml:space="preserve">1 Request</w:t>
            </w:r>
          </w:p>
        </w:tc>
        <w:tc>
          <w:tcPr>
            <w:tcW w:type="dxa" w:w="3400"/>
            <w:tcMar>
              <w:top w:type="dxa" w:w="85"/>
              <w:left w:type="dxa" w:w="110"/>
              <w:bottom w:type="dxa" w:w="85"/>
              <w:right w:type="dxa" w:w="110"/>
            </w:tcMar>
          </w:tcPr>
          <w:p>
            <w:pPr>
              <w:jc w:val="left"/>
            </w:pPr>
            <w:r>
              <w:rPr>
                <w:b w:val="false"/>
                <w:bCs w:val="false"/>
                <w:sz w:val="18"/>
                <w:szCs w:val="18"/>
              </w:rPr>
              <w:t xml:space="preserve">Bill of materials (CSV, Excel, PDF)</w:t>
            </w:r>
          </w:p>
        </w:tc>
        <w:tc>
          <w:tcPr>
            <w:tcW w:type="dxa" w:w="1300"/>
            <w:tcMar>
              <w:top w:type="dxa" w:w="85"/>
              <w:left w:type="dxa" w:w="110"/>
              <w:bottom w:type="dxa" w:w="85"/>
              <w:right w:type="dxa" w:w="110"/>
            </w:tcMar>
          </w:tcPr>
          <w:p>
            <w:pPr>
              <w:jc w:val="left"/>
            </w:pPr>
            <w:r>
              <w:rPr>
                <w:b w:val="false"/>
                <w:bCs w:val="false"/>
                <w:sz w:val="18"/>
                <w:szCs w:val="18"/>
              </w:rPr>
              <w:t xml:space="preserve">10 MB</w:t>
            </w:r>
          </w:p>
        </w:tc>
        <w:tc>
          <w:tcPr>
            <w:tcW w:type="dxa" w:w="3000"/>
            <w:tcMar>
              <w:top w:type="dxa" w:w="85"/>
              <w:left w:type="dxa" w:w="110"/>
              <w:bottom w:type="dxa" w:w="85"/>
              <w:right w:type="dxa" w:w="110"/>
            </w:tcMar>
          </w:tcPr>
          <w:p>
            <w:pPr>
              <w:jc w:val="left"/>
            </w:pPr>
            <w:r>
              <w:rPr>
                <w:b w:val="false"/>
                <w:bCs w:val="false"/>
                <w:sz w:val="18"/>
                <w:szCs w:val="18"/>
              </w:rPr>
              <w:t xml:space="preserve">Optional</w:t>
            </w:r>
          </w:p>
        </w:tc>
      </w:tr>
      <w:tr>
        <w:tc>
          <w:tcPr>
            <w:tcW w:type="dxa" w:w="1500"/>
            <w:tcMar>
              <w:top w:type="dxa" w:w="85"/>
              <w:left w:type="dxa" w:w="110"/>
              <w:bottom w:type="dxa" w:w="85"/>
              <w:right w:type="dxa" w:w="110"/>
            </w:tcMar>
          </w:tcPr>
          <w:p>
            <w:pPr>
              <w:jc w:val="left"/>
            </w:pPr>
            <w:r>
              <w:rPr>
                <w:b w:val="false"/>
                <w:bCs w:val="false"/>
                <w:sz w:val="18"/>
                <w:szCs w:val="18"/>
              </w:rPr>
              <w:t xml:space="preserve">4 Weigh</w:t>
            </w:r>
          </w:p>
        </w:tc>
        <w:tc>
          <w:tcPr>
            <w:tcW w:type="dxa" w:w="3400"/>
            <w:tcMar>
              <w:top w:type="dxa" w:w="85"/>
              <w:left w:type="dxa" w:w="110"/>
              <w:bottom w:type="dxa" w:w="85"/>
              <w:right w:type="dxa" w:w="110"/>
            </w:tcMar>
          </w:tcPr>
          <w:p>
            <w:pPr>
              <w:jc w:val="left"/>
            </w:pPr>
            <w:r>
              <w:rPr>
                <w:b w:val="false"/>
                <w:bCs w:val="false"/>
                <w:sz w:val="18"/>
                <w:szCs w:val="18"/>
              </w:rPr>
              <w:t xml:space="preserve">Weighment slip photos</w:t>
            </w:r>
          </w:p>
        </w:tc>
        <w:tc>
          <w:tcPr>
            <w:tcW w:type="dxa" w:w="1300"/>
            <w:tcMar>
              <w:top w:type="dxa" w:w="85"/>
              <w:left w:type="dxa" w:w="110"/>
              <w:bottom w:type="dxa" w:w="85"/>
              <w:right w:type="dxa" w:w="110"/>
            </w:tcMar>
          </w:tcPr>
          <w:p>
            <w:pPr>
              <w:jc w:val="left"/>
            </w:pPr>
            <w:r>
              <w:rPr>
                <w:b w:val="false"/>
                <w:bCs w:val="false"/>
                <w:sz w:val="18"/>
                <w:szCs w:val="18"/>
              </w:rPr>
              <w:t xml:space="preserve">5 MB each</w:t>
            </w:r>
          </w:p>
        </w:tc>
        <w:tc>
          <w:tcPr>
            <w:tcW w:type="dxa" w:w="3000"/>
            <w:tcMar>
              <w:top w:type="dxa" w:w="85"/>
              <w:left w:type="dxa" w:w="110"/>
              <w:bottom w:type="dxa" w:w="85"/>
              <w:right w:type="dxa" w:w="110"/>
            </w:tcMar>
          </w:tcPr>
          <w:p>
            <w:pPr>
              <w:jc w:val="left"/>
            </w:pPr>
            <w:r>
              <w:rPr>
                <w:b w:val="false"/>
                <w:bCs w:val="false"/>
                <w:sz w:val="18"/>
                <w:szCs w:val="18"/>
              </w:rPr>
              <w:t xml:space="preserve">At least one, unless manual</w:t>
            </w:r>
          </w:p>
        </w:tc>
      </w:tr>
      <w:tr>
        <w:tc>
          <w:tcPr>
            <w:tcW w:type="dxa" w:w="1500"/>
            <w:tcMar>
              <w:top w:type="dxa" w:w="85"/>
              <w:left w:type="dxa" w:w="110"/>
              <w:bottom w:type="dxa" w:w="85"/>
              <w:right w:type="dxa" w:w="110"/>
            </w:tcMar>
          </w:tcPr>
          <w:p>
            <w:pPr>
              <w:jc w:val="left"/>
            </w:pPr>
            <w:r>
              <w:rPr>
                <w:b w:val="false"/>
                <w:bCs w:val="false"/>
                <w:sz w:val="18"/>
                <w:szCs w:val="18"/>
              </w:rPr>
              <w:t xml:space="preserve">4 Weigh</w:t>
            </w:r>
          </w:p>
        </w:tc>
        <w:tc>
          <w:tcPr>
            <w:tcW w:type="dxa" w:w="3400"/>
            <w:tcMar>
              <w:top w:type="dxa" w:w="85"/>
              <w:left w:type="dxa" w:w="110"/>
              <w:bottom w:type="dxa" w:w="85"/>
              <w:right w:type="dxa" w:w="110"/>
            </w:tcMar>
          </w:tcPr>
          <w:p>
            <w:pPr>
              <w:jc w:val="left"/>
            </w:pPr>
            <w:r>
              <w:rPr>
                <w:b w:val="false"/>
                <w:bCs w:val="false"/>
                <w:sz w:val="18"/>
                <w:szCs w:val="18"/>
              </w:rPr>
              <w:t xml:space="preserve">Pickup photos</w:t>
            </w:r>
          </w:p>
        </w:tc>
        <w:tc>
          <w:tcPr>
            <w:tcW w:type="dxa" w:w="1300"/>
            <w:tcMar>
              <w:top w:type="dxa" w:w="85"/>
              <w:left w:type="dxa" w:w="110"/>
              <w:bottom w:type="dxa" w:w="85"/>
              <w:right w:type="dxa" w:w="110"/>
            </w:tcMar>
          </w:tcPr>
          <w:p>
            <w:pPr>
              <w:jc w:val="left"/>
            </w:pPr>
            <w:r>
              <w:rPr>
                <w:b w:val="false"/>
                <w:bCs w:val="false"/>
                <w:sz w:val="18"/>
                <w:szCs w:val="18"/>
              </w:rPr>
              <w:t xml:space="preserve">5 MB each</w:t>
            </w:r>
          </w:p>
        </w:tc>
        <w:tc>
          <w:tcPr>
            <w:tcW w:type="dxa" w:w="3000"/>
            <w:tcMar>
              <w:top w:type="dxa" w:w="85"/>
              <w:left w:type="dxa" w:w="110"/>
              <w:bottom w:type="dxa" w:w="85"/>
              <w:right w:type="dxa" w:w="110"/>
            </w:tcMar>
          </w:tcPr>
          <w:p>
            <w:pPr>
              <w:jc w:val="left"/>
            </w:pPr>
            <w:r>
              <w:rPr>
                <w:b w:val="false"/>
                <w:bCs w:val="false"/>
                <w:sz w:val="18"/>
                <w:szCs w:val="18"/>
              </w:rPr>
              <w:t xml:space="preserve">At least one, always</w:t>
            </w:r>
          </w:p>
        </w:tc>
      </w:tr>
      <w:tr>
        <w:tc>
          <w:tcPr>
            <w:tcW w:type="dxa" w:w="1500"/>
            <w:tcMar>
              <w:top w:type="dxa" w:w="85"/>
              <w:left w:type="dxa" w:w="110"/>
              <w:bottom w:type="dxa" w:w="85"/>
              <w:right w:type="dxa" w:w="110"/>
            </w:tcMar>
          </w:tcPr>
          <w:p>
            <w:pPr>
              <w:jc w:val="left"/>
            </w:pPr>
            <w:r>
              <w:rPr>
                <w:b w:val="false"/>
                <w:bCs w:val="false"/>
                <w:sz w:val="18"/>
                <w:szCs w:val="18"/>
              </w:rPr>
              <w:t xml:space="preserve">5 Billing</w:t>
            </w:r>
          </w:p>
        </w:tc>
        <w:tc>
          <w:tcPr>
            <w:tcW w:type="dxa" w:w="3400"/>
            <w:tcMar>
              <w:top w:type="dxa" w:w="85"/>
              <w:left w:type="dxa" w:w="110"/>
              <w:bottom w:type="dxa" w:w="85"/>
              <w:right w:type="dxa" w:w="110"/>
            </w:tcMar>
          </w:tcPr>
          <w:p>
            <w:pPr>
              <w:jc w:val="left"/>
            </w:pPr>
            <w:r>
              <w:rPr>
                <w:b w:val="false"/>
                <w:bCs w:val="false"/>
                <w:sz w:val="18"/>
                <w:szCs w:val="18"/>
              </w:rPr>
              <w:t xml:space="preserve">Invoice PDF</w:t>
            </w:r>
          </w:p>
        </w:tc>
        <w:tc>
          <w:tcPr>
            <w:tcW w:type="dxa" w:w="1300"/>
            <w:tcMar>
              <w:top w:type="dxa" w:w="85"/>
              <w:left w:type="dxa" w:w="110"/>
              <w:bottom w:type="dxa" w:w="85"/>
              <w:right w:type="dxa" w:w="110"/>
            </w:tcMar>
          </w:tcPr>
          <w:p>
            <w:pPr>
              <w:jc w:val="left"/>
            </w:pPr>
            <w:r>
              <w:rPr>
                <w:b w:val="false"/>
                <w:bCs w:val="false"/>
                <w:sz w:val="18"/>
                <w:szCs w:val="18"/>
              </w:rPr>
              <w:t xml:space="preserve">10 MB</w:t>
            </w:r>
          </w:p>
        </w:tc>
        <w:tc>
          <w:tcPr>
            <w:tcW w:type="dxa" w:w="3000"/>
            <w:tcMar>
              <w:top w:type="dxa" w:w="85"/>
              <w:left w:type="dxa" w:w="110"/>
              <w:bottom w:type="dxa" w:w="85"/>
              <w:right w:type="dxa" w:w="110"/>
            </w:tcMar>
          </w:tcPr>
          <w:p>
            <w:pPr>
              <w:jc w:val="left"/>
            </w:pPr>
            <w:r>
              <w:rPr>
                <w:b w:val="false"/>
                <w:bCs w:val="false"/>
                <w:sz w:val="18"/>
                <w:szCs w:val="18"/>
              </w:rPr>
              <w:t xml:space="preserve">Yes</w:t>
            </w:r>
          </w:p>
        </w:tc>
      </w:tr>
      <w:tr>
        <w:tc>
          <w:tcPr>
            <w:tcW w:type="dxa" w:w="1500"/>
            <w:tcMar>
              <w:top w:type="dxa" w:w="85"/>
              <w:left w:type="dxa" w:w="110"/>
              <w:bottom w:type="dxa" w:w="85"/>
              <w:right w:type="dxa" w:w="110"/>
            </w:tcMar>
          </w:tcPr>
          <w:p>
            <w:pPr>
              <w:jc w:val="left"/>
            </w:pPr>
            <w:r>
              <w:rPr>
                <w:b w:val="false"/>
                <w:bCs w:val="false"/>
                <w:sz w:val="18"/>
                <w:szCs w:val="18"/>
              </w:rPr>
              <w:t xml:space="preserve">5 Billing</w:t>
            </w:r>
          </w:p>
        </w:tc>
        <w:tc>
          <w:tcPr>
            <w:tcW w:type="dxa" w:w="3400"/>
            <w:tcMar>
              <w:top w:type="dxa" w:w="85"/>
              <w:left w:type="dxa" w:w="110"/>
              <w:bottom w:type="dxa" w:w="85"/>
              <w:right w:type="dxa" w:w="110"/>
            </w:tcMar>
          </w:tcPr>
          <w:p>
            <w:pPr>
              <w:jc w:val="left"/>
            </w:pPr>
            <w:r>
              <w:rPr>
                <w:b w:val="false"/>
                <w:bCs w:val="false"/>
                <w:sz w:val="18"/>
                <w:szCs w:val="18"/>
              </w:rPr>
              <w:t xml:space="preserve">E-way bill PDF</w:t>
            </w:r>
          </w:p>
        </w:tc>
        <w:tc>
          <w:tcPr>
            <w:tcW w:type="dxa" w:w="1300"/>
            <w:tcMar>
              <w:top w:type="dxa" w:w="85"/>
              <w:left w:type="dxa" w:w="110"/>
              <w:bottom w:type="dxa" w:w="85"/>
              <w:right w:type="dxa" w:w="110"/>
            </w:tcMar>
          </w:tcPr>
          <w:p>
            <w:pPr>
              <w:jc w:val="left"/>
            </w:pPr>
            <w:r>
              <w:rPr>
                <w:b w:val="false"/>
                <w:bCs w:val="false"/>
                <w:sz w:val="18"/>
                <w:szCs w:val="18"/>
              </w:rPr>
              <w:t xml:space="preserve">10 MB</w:t>
            </w:r>
          </w:p>
        </w:tc>
        <w:tc>
          <w:tcPr>
            <w:tcW w:type="dxa" w:w="3000"/>
            <w:tcMar>
              <w:top w:type="dxa" w:w="85"/>
              <w:left w:type="dxa" w:w="110"/>
              <w:bottom w:type="dxa" w:w="85"/>
              <w:right w:type="dxa" w:w="110"/>
            </w:tcMar>
          </w:tcPr>
          <w:p>
            <w:pPr>
              <w:jc w:val="left"/>
            </w:pPr>
            <w:r>
              <w:rPr>
                <w:b w:val="false"/>
                <w:bCs w:val="false"/>
                <w:sz w:val="18"/>
                <w:szCs w:val="18"/>
              </w:rPr>
              <w:t xml:space="preserve">Yes</w:t>
            </w:r>
          </w:p>
        </w:tc>
      </w:tr>
      <w:tr>
        <w:tc>
          <w:tcPr>
            <w:tcW w:type="dxa" w:w="1500"/>
            <w:tcMar>
              <w:top w:type="dxa" w:w="85"/>
              <w:left w:type="dxa" w:w="110"/>
              <w:bottom w:type="dxa" w:w="85"/>
              <w:right w:type="dxa" w:w="110"/>
            </w:tcMar>
          </w:tcPr>
          <w:p>
            <w:pPr>
              <w:jc w:val="left"/>
            </w:pPr>
            <w:r>
              <w:rPr>
                <w:b w:val="false"/>
                <w:bCs w:val="false"/>
                <w:sz w:val="18"/>
                <w:szCs w:val="18"/>
              </w:rPr>
              <w:t xml:space="preserve">7 Recycling</w:t>
            </w:r>
          </w:p>
        </w:tc>
        <w:tc>
          <w:tcPr>
            <w:tcW w:type="dxa" w:w="3400"/>
            <w:tcMar>
              <w:top w:type="dxa" w:w="85"/>
              <w:left w:type="dxa" w:w="110"/>
              <w:bottom w:type="dxa" w:w="85"/>
              <w:right w:type="dxa" w:w="110"/>
            </w:tcMar>
          </w:tcPr>
          <w:p>
            <w:pPr>
              <w:jc w:val="left"/>
            </w:pPr>
            <w:r>
              <w:rPr>
                <w:b w:val="false"/>
                <w:bCs w:val="false"/>
                <w:sz w:val="18"/>
                <w:szCs w:val="18"/>
              </w:rPr>
              <w:t xml:space="preserve">Serial import CSV</w:t>
            </w:r>
          </w:p>
        </w:tc>
        <w:tc>
          <w:tcPr>
            <w:tcW w:type="dxa" w:w="1300"/>
            <w:tcMar>
              <w:top w:type="dxa" w:w="85"/>
              <w:left w:type="dxa" w:w="110"/>
              <w:bottom w:type="dxa" w:w="85"/>
              <w:right w:type="dxa" w:w="110"/>
            </w:tcMar>
          </w:tcPr>
          <w:p>
            <w:pPr>
              <w:jc w:val="left"/>
            </w:pPr>
            <w:r>
              <w:rPr>
                <w:b w:val="false"/>
                <w:bCs w:val="false"/>
                <w:sz w:val="18"/>
                <w:szCs w:val="18"/>
              </w:rPr>
              <w:t xml:space="preserve">5 MB</w:t>
            </w:r>
          </w:p>
        </w:tc>
        <w:tc>
          <w:tcPr>
            <w:tcW w:type="dxa" w:w="3000"/>
            <w:tcMar>
              <w:top w:type="dxa" w:w="85"/>
              <w:left w:type="dxa" w:w="110"/>
              <w:bottom w:type="dxa" w:w="85"/>
              <w:right w:type="dxa" w:w="110"/>
            </w:tcMar>
          </w:tcPr>
          <w:p>
            <w:pPr>
              <w:jc w:val="left"/>
            </w:pPr>
            <w:r>
              <w:rPr>
                <w:b w:val="false"/>
                <w:bCs w:val="false"/>
                <w:sz w:val="18"/>
                <w:szCs w:val="18"/>
              </w:rPr>
              <w:t xml:space="preserve">Optional</w:t>
            </w:r>
          </w:p>
        </w:tc>
      </w:tr>
      <w:tr>
        <w:tc>
          <w:tcPr>
            <w:tcW w:type="dxa" w:w="1500"/>
            <w:tcMar>
              <w:top w:type="dxa" w:w="85"/>
              <w:left w:type="dxa" w:w="110"/>
              <w:bottom w:type="dxa" w:w="85"/>
              <w:right w:type="dxa" w:w="110"/>
            </w:tcMar>
          </w:tcPr>
          <w:p>
            <w:pPr>
              <w:jc w:val="left"/>
            </w:pPr>
            <w:r>
              <w:rPr>
                <w:b w:val="false"/>
                <w:bCs w:val="false"/>
                <w:sz w:val="18"/>
                <w:szCs w:val="18"/>
              </w:rPr>
              <w:t xml:space="preserve">7 Recycling</w:t>
            </w:r>
          </w:p>
        </w:tc>
        <w:tc>
          <w:tcPr>
            <w:tcW w:type="dxa" w:w="3400"/>
            <w:tcMar>
              <w:top w:type="dxa" w:w="85"/>
              <w:left w:type="dxa" w:w="110"/>
              <w:bottom w:type="dxa" w:w="85"/>
              <w:right w:type="dxa" w:w="110"/>
            </w:tcMar>
          </w:tcPr>
          <w:p>
            <w:pPr>
              <w:jc w:val="left"/>
            </w:pPr>
            <w:r>
              <w:rPr>
                <w:b w:val="false"/>
                <w:bCs w:val="false"/>
                <w:sz w:val="18"/>
                <w:szCs w:val="18"/>
              </w:rPr>
              <w:t xml:space="preserve">Processing photos and reports</w:t>
            </w:r>
          </w:p>
        </w:tc>
        <w:tc>
          <w:tcPr>
            <w:tcW w:type="dxa" w:w="1300"/>
            <w:tcMar>
              <w:top w:type="dxa" w:w="85"/>
              <w:left w:type="dxa" w:w="110"/>
              <w:bottom w:type="dxa" w:w="85"/>
              <w:right w:type="dxa" w:w="110"/>
            </w:tcMar>
          </w:tcPr>
          <w:p>
            <w:pPr>
              <w:jc w:val="left"/>
            </w:pPr>
            <w:r>
              <w:rPr>
                <w:b w:val="false"/>
                <w:bCs w:val="false"/>
                <w:sz w:val="18"/>
                <w:szCs w:val="18"/>
              </w:rPr>
              <w:t xml:space="preserve">5 MB each</w:t>
            </w:r>
          </w:p>
        </w:tc>
        <w:tc>
          <w:tcPr>
            <w:tcW w:type="dxa" w:w="3000"/>
            <w:tcMar>
              <w:top w:type="dxa" w:w="85"/>
              <w:left w:type="dxa" w:w="110"/>
              <w:bottom w:type="dxa" w:w="85"/>
              <w:right w:type="dxa" w:w="110"/>
            </w:tcMar>
          </w:tcPr>
          <w:p>
            <w:pPr>
              <w:jc w:val="left"/>
            </w:pPr>
            <w:r>
              <w:rPr>
                <w:b w:val="false"/>
                <w:bCs w:val="false"/>
                <w:sz w:val="18"/>
                <w:szCs w:val="18"/>
              </w:rPr>
              <w:t xml:space="preserve">Optional</w:t>
            </w:r>
          </w:p>
        </w:tc>
      </w:tr>
      <w:tr>
        <w:tc>
          <w:tcPr>
            <w:tcW w:type="dxa" w:w="1500"/>
            <w:tcMar>
              <w:top w:type="dxa" w:w="85"/>
              <w:left w:type="dxa" w:w="110"/>
              <w:bottom w:type="dxa" w:w="85"/>
              <w:right w:type="dxa" w:w="110"/>
            </w:tcMar>
          </w:tcPr>
          <w:p>
            <w:pPr>
              <w:jc w:val="left"/>
            </w:pPr>
            <w:r>
              <w:rPr>
                <w:b w:val="false"/>
                <w:bCs w:val="false"/>
                <w:sz w:val="18"/>
                <w:szCs w:val="18"/>
              </w:rPr>
              <w:t xml:space="preserve">8 Certificate</w:t>
            </w:r>
          </w:p>
        </w:tc>
        <w:tc>
          <w:tcPr>
            <w:tcW w:type="dxa" w:w="3400"/>
            <w:tcMar>
              <w:top w:type="dxa" w:w="85"/>
              <w:left w:type="dxa" w:w="110"/>
              <w:bottom w:type="dxa" w:w="85"/>
              <w:right w:type="dxa" w:w="110"/>
            </w:tcMar>
          </w:tcPr>
          <w:p>
            <w:pPr>
              <w:jc w:val="left"/>
            </w:pPr>
            <w:r>
              <w:rPr>
                <w:b w:val="false"/>
                <w:bCs w:val="false"/>
                <w:sz w:val="18"/>
                <w:szCs w:val="18"/>
              </w:rPr>
              <w:t xml:space="preserve">Certificate PDF</w:t>
            </w:r>
          </w:p>
        </w:tc>
        <w:tc>
          <w:tcPr>
            <w:tcW w:type="dxa" w:w="1300"/>
            <w:tcMar>
              <w:top w:type="dxa" w:w="85"/>
              <w:left w:type="dxa" w:w="110"/>
              <w:bottom w:type="dxa" w:w="85"/>
              <w:right w:type="dxa" w:w="110"/>
            </w:tcMar>
          </w:tcPr>
          <w:p>
            <w:pPr>
              <w:jc w:val="left"/>
            </w:pPr>
            <w:r>
              <w:rPr>
                <w:b w:val="false"/>
                <w:bCs w:val="false"/>
                <w:sz w:val="18"/>
                <w:szCs w:val="18"/>
              </w:rPr>
              <w:t xml:space="preserve">5 MB</w:t>
            </w:r>
          </w:p>
        </w:tc>
        <w:tc>
          <w:tcPr>
            <w:tcW w:type="dxa" w:w="3000"/>
            <w:tcMar>
              <w:top w:type="dxa" w:w="85"/>
              <w:left w:type="dxa" w:w="110"/>
              <w:bottom w:type="dxa" w:w="85"/>
              <w:right w:type="dxa" w:w="110"/>
            </w:tcMar>
          </w:tcPr>
          <w:p>
            <w:pPr>
              <w:jc w:val="left"/>
            </w:pPr>
            <w:r>
              <w:rPr>
                <w:b w:val="false"/>
                <w:bCs w:val="false"/>
                <w:sz w:val="18"/>
                <w:szCs w:val="18"/>
              </w:rPr>
              <w:t xml:space="preserve">Yes</w:t>
            </w:r>
          </w:p>
        </w:tc>
      </w:tr>
      <w:tr>
        <w:tc>
          <w:tcPr>
            <w:tcW w:type="dxa" w:w="1500"/>
            <w:tcMar>
              <w:top w:type="dxa" w:w="85"/>
              <w:left w:type="dxa" w:w="110"/>
              <w:bottom w:type="dxa" w:w="85"/>
              <w:right w:type="dxa" w:w="110"/>
            </w:tcMar>
          </w:tcPr>
          <w:p>
            <w:pPr>
              <w:jc w:val="left"/>
            </w:pPr>
            <w:r>
              <w:rPr>
                <w:b w:val="false"/>
                <w:bCs w:val="false"/>
                <w:sz w:val="18"/>
                <w:szCs w:val="18"/>
              </w:rPr>
              <w:t xml:space="preserve">Masters</w:t>
            </w:r>
          </w:p>
        </w:tc>
        <w:tc>
          <w:tcPr>
            <w:tcW w:type="dxa" w:w="3400"/>
            <w:tcMar>
              <w:top w:type="dxa" w:w="85"/>
              <w:left w:type="dxa" w:w="110"/>
              <w:bottom w:type="dxa" w:w="85"/>
              <w:right w:type="dxa" w:w="110"/>
            </w:tcMar>
          </w:tcPr>
          <w:p>
            <w:pPr>
              <w:jc w:val="left"/>
            </w:pPr>
            <w:r>
              <w:rPr>
                <w:b w:val="false"/>
                <w:bCs w:val="false"/>
                <w:sz w:val="18"/>
                <w:szCs w:val="18"/>
              </w:rPr>
              <w:t xml:space="preserve">Client logo</w:t>
            </w:r>
          </w:p>
        </w:tc>
        <w:tc>
          <w:tcPr>
            <w:tcW w:type="dxa" w:w="1300"/>
            <w:tcMar>
              <w:top w:type="dxa" w:w="85"/>
              <w:left w:type="dxa" w:w="110"/>
              <w:bottom w:type="dxa" w:w="85"/>
              <w:right w:type="dxa" w:w="110"/>
            </w:tcMar>
          </w:tcPr>
          <w:p>
            <w:pPr>
              <w:jc w:val="left"/>
            </w:pPr>
            <w:r>
              <w:rPr>
                <w:b w:val="false"/>
                <w:bCs w:val="false"/>
                <w:sz w:val="18"/>
                <w:szCs w:val="18"/>
              </w:rPr>
              <w:t xml:space="preserve">2 MB</w:t>
            </w:r>
          </w:p>
        </w:tc>
        <w:tc>
          <w:tcPr>
            <w:tcW w:type="dxa" w:w="3000"/>
            <w:tcMar>
              <w:top w:type="dxa" w:w="85"/>
              <w:left w:type="dxa" w:w="110"/>
              <w:bottom w:type="dxa" w:w="85"/>
              <w:right w:type="dxa" w:w="110"/>
            </w:tcMar>
          </w:tcPr>
          <w:p>
            <w:pPr>
              <w:jc w:val="left"/>
            </w:pPr>
            <w:r>
              <w:rPr>
                <w:b w:val="false"/>
                <w:bCs w:val="false"/>
                <w:sz w:val="18"/>
                <w:szCs w:val="18"/>
              </w:rPr>
              <w:t xml:space="preserve">Optional</w:t>
            </w:r>
          </w:p>
        </w:tc>
      </w:tr>
      <w:tr>
        <w:tc>
          <w:tcPr>
            <w:tcW w:type="dxa" w:w="1500"/>
            <w:tcMar>
              <w:top w:type="dxa" w:w="85"/>
              <w:left w:type="dxa" w:w="110"/>
              <w:bottom w:type="dxa" w:w="85"/>
              <w:right w:type="dxa" w:w="110"/>
            </w:tcMar>
          </w:tcPr>
          <w:p>
            <w:pPr>
              <w:jc w:val="left"/>
            </w:pPr>
            <w:r>
              <w:rPr>
                <w:b w:val="false"/>
                <w:bCs w:val="false"/>
                <w:sz w:val="18"/>
                <w:szCs w:val="18"/>
              </w:rPr>
              <w:t xml:space="preserve">Heroes</w:t>
            </w:r>
          </w:p>
        </w:tc>
        <w:tc>
          <w:tcPr>
            <w:tcW w:type="dxa" w:w="3400"/>
            <w:tcMar>
              <w:top w:type="dxa" w:w="85"/>
              <w:left w:type="dxa" w:w="110"/>
              <w:bottom w:type="dxa" w:w="85"/>
              <w:right w:type="dxa" w:w="110"/>
            </w:tcMar>
          </w:tcPr>
          <w:p>
            <w:pPr>
              <w:jc w:val="left"/>
            </w:pPr>
            <w:r>
              <w:rPr>
                <w:b w:val="false"/>
                <w:bCs w:val="false"/>
                <w:sz w:val="18"/>
                <w:szCs w:val="18"/>
              </w:rPr>
              <w:t xml:space="preserve">Planting and growth photographs</w:t>
            </w:r>
          </w:p>
        </w:tc>
        <w:tc>
          <w:tcPr>
            <w:tcW w:type="dxa" w:w="1300"/>
            <w:tcMar>
              <w:top w:type="dxa" w:w="85"/>
              <w:left w:type="dxa" w:w="110"/>
              <w:bottom w:type="dxa" w:w="85"/>
              <w:right w:type="dxa" w:w="110"/>
            </w:tcMar>
          </w:tcPr>
          <w:p>
            <w:pPr>
              <w:jc w:val="left"/>
            </w:pPr>
            <w:r>
              <w:rPr>
                <w:b w:val="false"/>
                <w:bCs w:val="false"/>
                <w:sz w:val="18"/>
                <w:szCs w:val="18"/>
              </w:rPr>
              <w:t xml:space="preserve">5 MB each</w:t>
            </w:r>
          </w:p>
        </w:tc>
        <w:tc>
          <w:tcPr>
            <w:tcW w:type="dxa" w:w="3000"/>
            <w:tcMar>
              <w:top w:type="dxa" w:w="85"/>
              <w:left w:type="dxa" w:w="110"/>
              <w:bottom w:type="dxa" w:w="85"/>
              <w:right w:type="dxa" w:w="110"/>
            </w:tcMar>
          </w:tcPr>
          <w:p>
            <w:pPr>
              <w:jc w:val="left"/>
            </w:pPr>
            <w:r>
              <w:rPr>
                <w:b w:val="false"/>
                <w:bCs w:val="false"/>
                <w:sz w:val="18"/>
                <w:szCs w:val="18"/>
              </w:rPr>
              <w:t xml:space="preserve">Optional</w:t>
            </w:r>
          </w:p>
        </w:tc>
      </w:tr>
    </w:tbl>
    <w:p>
      <w:pPr>
        <w:spacing w:after="90" w:before="190"/>
      </w:pPr>
      <w:r>
        <w:rPr>
          <w:b/>
          <w:bCs/>
          <w:color w:val="3B6D11"/>
          <w:sz w:val="21"/>
          <w:szCs w:val="21"/>
        </w:rPr>
        <w:t xml:space="preserve">Server-side PDF generation</w:t>
      </w:r>
    </w:p>
    <w:p>
      <w:pPr>
        <w:spacing w:after="110"/>
        <w:jc w:val="left"/>
      </w:pPr>
      <w:r>
        <w:rPr>
          <w:sz w:val="21"/>
          <w:szCs w:val="21"/>
        </w:rPr>
        <w:t xml:space="preserve">The prototype generates PDFs in the browser with jsPDF. That is fine for a prototype and wrong for production: documents must be reproducible, identical for every user, and generatable by a background job.</w:t>
      </w:r>
    </w:p>
    <w:p>
      <w:pPr>
        <w:pStyle w:val="ListParagraph"/>
        <w:numPr>
          <w:ilvl w:val="0"/>
          <w:numId w:val="2"/>
        </w:numPr>
        <w:spacing w:after="55"/>
      </w:pPr>
      <w:r>
        <w:rPr>
          <w:sz w:val="21"/>
          <w:szCs w:val="21"/>
        </w:rPr>
        <w:t xml:space="preserve">Move generation to the server, using Puppeteer with HTML templates or a PDF library</w:t>
      </w:r>
    </w:p>
    <w:p>
      <w:pPr>
        <w:pStyle w:val="ListParagraph"/>
        <w:numPr>
          <w:ilvl w:val="0"/>
          <w:numId w:val="2"/>
        </w:numPr>
        <w:spacing w:after="55"/>
      </w:pPr>
      <w:r>
        <w:rPr>
          <w:sz w:val="21"/>
          <w:szCs w:val="21"/>
        </w:rPr>
        <w:t xml:space="preserve">Documents to produce: MRN, Form 6, sustainability certificate, methodology, and every report export</w:t>
      </w:r>
    </w:p>
    <w:p>
      <w:pPr>
        <w:pStyle w:val="ListParagraph"/>
        <w:numPr>
          <w:ilvl w:val="0"/>
          <w:numId w:val="2"/>
        </w:numPr>
        <w:spacing w:after="55"/>
      </w:pPr>
      <w:r>
        <w:rPr>
          <w:sz w:val="21"/>
          <w:szCs w:val="21"/>
        </w:rPr>
        <w:t xml:space="preserve">Store generated documents rather than regenerating on each request, so a downloaded document never changes after the fact</w:t>
      </w:r>
    </w:p>
    <w:p>
      <w:pPr>
        <w:pStyle w:val="ListParagraph"/>
        <w:numPr>
          <w:ilvl w:val="0"/>
          <w:numId w:val="2"/>
        </w:numPr>
        <w:spacing w:after="55"/>
      </w:pPr>
      <w:r>
        <w:rPr>
          <w:sz w:val="21"/>
          <w:szCs w:val="21"/>
        </w:rPr>
        <w:t xml:space="preserve">Match the prototype layouts — they have been reviewed and the MRN in particular is a signed gate document</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The MRN is a physical document</w:t>
            </w:r>
          </w:p>
          <w:p>
            <w:pPr>
              <w:spacing w:after="55"/>
            </w:pPr>
            <w:r>
              <w:rPr>
                <w:sz w:val="19"/>
                <w:szCs w:val="19"/>
              </w:rPr>
              <w:t xml:space="preserve">It is printed, signed by the driver, the factory manager and security, and filed at the gate. It must fit one A4 page, print legibly in black and white, and carry all three signature blocks. Verify by printing it, not by looking at it on screen.</w:t>
            </w:r>
          </w:p>
        </w:tc>
      </w:tr>
    </w:tbl>
    <w:p>
      <w:pPr>
        <w:spacing w:after="90" w:before="190"/>
      </w:pPr>
      <w:r>
        <w:rPr>
          <w:b/>
          <w:bCs/>
          <w:color w:val="3B6D11"/>
          <w:sz w:val="21"/>
          <w:szCs w:val="21"/>
        </w:rPr>
        <w:t xml:space="preserve">Retention</w:t>
      </w:r>
    </w:p>
    <w:p>
      <w:pPr>
        <w:pStyle w:val="ListParagraph"/>
        <w:numPr>
          <w:ilvl w:val="0"/>
          <w:numId w:val="2"/>
        </w:numPr>
        <w:spacing w:after="55"/>
      </w:pPr>
      <w:r>
        <w:rPr>
          <w:sz w:val="21"/>
          <w:szCs w:val="21"/>
        </w:rPr>
        <w:t xml:space="preserve">Compliance records — Form 6, MRN, manifests — five years minimum, per Rule 12(4)</w:t>
      </w:r>
    </w:p>
    <w:p>
      <w:pPr>
        <w:pStyle w:val="ListParagraph"/>
        <w:numPr>
          <w:ilvl w:val="0"/>
          <w:numId w:val="2"/>
        </w:numPr>
        <w:spacing w:after="55"/>
      </w:pPr>
      <w:r>
        <w:rPr>
          <w:sz w:val="21"/>
          <w:szCs w:val="21"/>
        </w:rPr>
        <w:t xml:space="preserve">Certificates of destruction — ten years</w:t>
      </w:r>
    </w:p>
    <w:p>
      <w:pPr>
        <w:pStyle w:val="ListParagraph"/>
        <w:numPr>
          <w:ilvl w:val="0"/>
          <w:numId w:val="2"/>
        </w:numPr>
        <w:spacing w:after="55"/>
      </w:pPr>
      <w:r>
        <w:rPr>
          <w:sz w:val="21"/>
          <w:szCs w:val="21"/>
        </w:rPr>
        <w:t xml:space="preserve">Audit log — seven years</w:t>
      </w:r>
    </w:p>
    <w:p>
      <w:pPr>
        <w:pStyle w:val="ListParagraph"/>
        <w:numPr>
          <w:ilvl w:val="0"/>
          <w:numId w:val="2"/>
        </w:numPr>
        <w:spacing w:after="55"/>
      </w:pPr>
      <w:r>
        <w:rPr>
          <w:sz w:val="21"/>
          <w:szCs w:val="21"/>
        </w:rPr>
        <w:t xml:space="preserve">Implement retention as lifecycle policy plus a deletion job, and log what is deleted</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Exit criteria — do not start the next phase until all of these are true</w:t>
            </w:r>
          </w:p>
          <w:p>
            <w:pPr>
              <w:spacing w:after="55"/>
            </w:pPr>
            <w:r>
              <w:rPr>
                <w:sz w:val="19"/>
                <w:szCs w:val="19"/>
              </w:rPr>
              <w:t xml:space="preserve">☐  A 10 MB upload succeeds without passing through the API server</w:t>
            </w:r>
          </w:p>
          <w:p>
            <w:pPr>
              <w:spacing w:after="55"/>
            </w:pPr>
            <w:r>
              <w:rPr>
                <w:sz w:val="19"/>
                <w:szCs w:val="19"/>
              </w:rPr>
              <w:t xml:space="preserve">☐  A file cannot be downloaded by a user from another client, even with the direct URL</w:t>
            </w:r>
          </w:p>
          <w:p>
            <w:pPr>
              <w:spacing w:after="55"/>
            </w:pPr>
            <w:r>
              <w:rPr>
                <w:sz w:val="19"/>
                <w:szCs w:val="19"/>
              </w:rPr>
              <w:t xml:space="preserve">☐  MRN and Form 6 generate server-side and match the prototype layout</w:t>
            </w:r>
          </w:p>
          <w:p>
            <w:pPr>
              <w:spacing w:after="55"/>
            </w:pPr>
            <w:r>
              <w:rPr>
                <w:sz w:val="19"/>
                <w:szCs w:val="19"/>
              </w:rPr>
              <w:t xml:space="preserve">☐  A printed MRN is legible and fits one page with all three signature blocks</w:t>
            </w:r>
          </w:p>
          <w:p>
            <w:pPr>
              <w:spacing w:after="55"/>
            </w:pPr>
            <w:r>
              <w:rPr>
                <w:sz w:val="19"/>
                <w:szCs w:val="19"/>
              </w:rPr>
              <w:t xml:space="preserve">☐  Retention policy is configured and a dry run reports what it would delete</w:t>
            </w:r>
          </w:p>
        </w:tc>
      </w:tr>
    </w:tbl>
    <w:p>
      <w:r>
        <w:br w:type="page"/>
      </w:r>
    </w:p>
    <w:tbl>
      <w:tblPr>
        <w:tblW w:type="dxa" w:w="9200"/>
        <w:tblBorders>
          <w:top w:val="none"/>
          <w:left w:val="none"/>
          <w:bottom w:val="none"/>
          <w:right w:val="none"/>
          <w:insideH w:val="none"/>
          <w:insideV w:val="none"/>
        </w:tblBorders>
      </w:tblPr>
      <w:tblGrid>
        <w:gridCol w:w="1100"/>
        <w:gridCol w:w="5400"/>
        <w:gridCol w:w="1500"/>
        <w:gridCol w:w="1200"/>
      </w:tblGrid>
      <w:tr>
        <w:tc>
          <w:tcPr>
            <w:tcW w:type="dxa" w:w="1100"/>
            <w:shd w:fill="2A4D0C" w:color="auto" w:val="clear"/>
            <w:tcMar>
              <w:top w:type="dxa" w:w="150"/>
              <w:left w:type="dxa" w:w="100"/>
              <w:bottom w:type="dxa" w:w="150"/>
              <w:right w:type="dxa" w:w="100"/>
            </w:tcMar>
          </w:tcPr>
          <w:p>
            <w:pPr>
              <w:jc w:val="center"/>
            </w:pPr>
            <w:r>
              <w:rPr>
                <w:b/>
                <w:bCs/>
                <w:color w:val="FFFFFF"/>
                <w:sz w:val="14"/>
                <w:szCs w:val="14"/>
              </w:rPr>
              <w:t xml:space="preserve">PHASE</w:t>
            </w:r>
          </w:p>
          <w:p>
            <w:pPr>
              <w:jc w:val="center"/>
            </w:pPr>
            <w:r>
              <w:rPr>
                <w:b/>
                <w:bCs/>
                <w:color w:val="FFFFFF"/>
                <w:sz w:val="34"/>
                <w:szCs w:val="34"/>
              </w:rPr>
              <w:t xml:space="preserve">5</w:t>
            </w:r>
          </w:p>
        </w:tc>
        <w:tc>
          <w:tcPr>
            <w:tcW w:type="dxa" w:w="5400"/>
            <w:shd w:fill="3B6D11" w:color="auto" w:val="clear"/>
            <w:tcMar>
              <w:top w:type="dxa" w:w="150"/>
              <w:left w:type="dxa" w:w="190"/>
              <w:bottom w:type="dxa" w:w="150"/>
              <w:right w:type="dxa" w:w="120"/>
            </w:tcMar>
          </w:tcPr>
          <w:p>
            <w:r>
              <w:rPr>
                <w:b/>
                <w:bCs/>
                <w:color w:val="FFFFFF"/>
                <w:sz w:val="26"/>
                <w:szCs w:val="26"/>
              </w:rPr>
              <w:t xml:space="preserve">Notifications and email</w:t>
            </w:r>
          </w:p>
        </w:tc>
        <w:tc>
          <w:tcPr>
            <w:tcW w:type="dxa" w:w="1500"/>
            <w:shd w:fill="3B6D11" w:color="auto" w:val="clear"/>
            <w:tcMar>
              <w:top w:type="dxa" w:w="150"/>
              <w:left w:type="dxa" w:w="100"/>
              <w:bottom w:type="dxa" w:w="150"/>
              <w:right w:type="dxa" w:w="100"/>
            </w:tcMar>
          </w:tcPr>
          <w:p>
            <w:r>
              <w:rPr>
                <w:color w:val="C0DD97"/>
                <w:sz w:val="13"/>
                <w:szCs w:val="13"/>
              </w:rPr>
              <w:t xml:space="preserve">DURATION</w:t>
            </w:r>
          </w:p>
          <w:p>
            <w:r>
              <w:rPr>
                <w:b/>
                <w:bCs/>
                <w:color w:val="FFFFFF"/>
                <w:sz w:val="18"/>
                <w:szCs w:val="18"/>
              </w:rPr>
              <w:t xml:space="preserve">Weeks 6–9</w:t>
            </w:r>
          </w:p>
        </w:tc>
        <w:tc>
          <w:tcPr>
            <w:tcW w:type="dxa" w:w="1200"/>
            <w:shd w:fill="3B6D11" w:color="auto" w:val="clear"/>
            <w:tcMar>
              <w:top w:type="dxa" w:w="150"/>
              <w:left w:type="dxa" w:w="100"/>
              <w:bottom w:type="dxa" w:w="150"/>
              <w:right w:type="dxa" w:w="120"/>
            </w:tcMar>
          </w:tcPr>
          <w:p>
            <w:r>
              <w:rPr>
                <w:color w:val="C0DD97"/>
                <w:sz w:val="13"/>
                <w:szCs w:val="13"/>
              </w:rPr>
              <w:t xml:space="preserve">LEAD</w:t>
            </w:r>
          </w:p>
          <w:p>
            <w:r>
              <w:rPr>
                <w:b/>
                <w:bCs/>
                <w:color w:val="FFFFFF"/>
                <w:sz w:val="18"/>
                <w:szCs w:val="18"/>
              </w:rPr>
              <w:t xml:space="preserve">Partner</w:t>
            </w:r>
          </w:p>
        </w:tc>
      </w:tr>
    </w:tbl>
    <w:p>
      <w:pPr>
        <w:spacing w:after="110"/>
      </w:pPr>
      <w:r>
        <w:t xml:space="preserve"/>
      </w:r>
    </w:p>
    <w:p>
      <w:pPr>
        <w:spacing w:after="110"/>
        <w:jc w:val="left"/>
      </w:pPr>
      <w:r>
        <w:rPr>
          <w:sz w:val="21"/>
          <w:szCs w:val="21"/>
        </w:rPr>
        <w:t xml:space="preserve">Two tiers, already modelled in the prototype: fixed transactional templates that fire automatically and cannot be edited, and admin-editable templates for client communications.</w:t>
      </w:r>
    </w:p>
    <w:p>
      <w:pPr>
        <w:spacing w:after="90" w:before="190"/>
      </w:pPr>
      <w:r>
        <w:rPr>
          <w:b/>
          <w:bCs/>
          <w:color w:val="3B6D11"/>
          <w:sz w:val="21"/>
          <w:szCs w:val="21"/>
        </w:rPr>
        <w:t xml:space="preserve">Fixed transactional templates</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3B6D11" w:color="auto" w:val="clear"/>
            <w:tcMar>
              <w:top w:type="dxa" w:w="85"/>
              <w:left w:type="dxa" w:w="110"/>
              <w:bottom w:type="dxa" w:w="85"/>
              <w:right w:type="dxa" w:w="110"/>
            </w:tcMar>
          </w:tcPr>
          <w:p>
            <w:pPr>
              <w:jc w:val="left"/>
            </w:pPr>
            <w:r>
              <w:rPr>
                <w:b/>
                <w:bCs/>
                <w:color w:val="FFFFFF"/>
                <w:sz w:val="18"/>
                <w:szCs w:val="18"/>
              </w:rPr>
              <w:t xml:space="preserve">Template</w:t>
            </w:r>
          </w:p>
        </w:tc>
        <w:tc>
          <w:tcPr>
            <w:tcW w:type="dxa" w:w="6200"/>
            <w:shd w:fill="3B6D11" w:color="auto" w:val="clear"/>
            <w:tcMar>
              <w:top w:type="dxa" w:w="85"/>
              <w:left w:type="dxa" w:w="110"/>
              <w:bottom w:type="dxa" w:w="85"/>
              <w:right w:type="dxa" w:w="110"/>
            </w:tcMar>
          </w:tcPr>
          <w:p>
            <w:pPr>
              <w:jc w:val="left"/>
            </w:pPr>
            <w:r>
              <w:rPr>
                <w:b/>
                <w:bCs/>
                <w:color w:val="FFFFFF"/>
                <w:sz w:val="18"/>
                <w:szCs w:val="18"/>
              </w:rPr>
              <w:t xml:space="preserve">Fires when</w:t>
            </w:r>
          </w:p>
        </w:tc>
      </w:tr>
      <w:tr>
        <w:tc>
          <w:tcPr>
            <w:tcW w:type="dxa" w:w="3000"/>
            <w:tcMar>
              <w:top w:type="dxa" w:w="85"/>
              <w:left w:type="dxa" w:w="110"/>
              <w:bottom w:type="dxa" w:w="85"/>
              <w:right w:type="dxa" w:w="110"/>
            </w:tcMar>
          </w:tcPr>
          <w:p>
            <w:pPr>
              <w:jc w:val="left"/>
            </w:pPr>
            <w:r>
              <w:rPr>
                <w:b w:val="false"/>
                <w:bCs w:val="false"/>
                <w:sz w:val="18"/>
                <w:szCs w:val="18"/>
              </w:rPr>
              <w:t xml:space="preserve">New request received</w:t>
            </w:r>
          </w:p>
        </w:tc>
        <w:tc>
          <w:tcPr>
            <w:tcW w:type="dxa" w:w="6200"/>
            <w:tcMar>
              <w:top w:type="dxa" w:w="85"/>
              <w:left w:type="dxa" w:w="110"/>
              <w:bottom w:type="dxa" w:w="85"/>
              <w:right w:type="dxa" w:w="110"/>
            </w:tcMar>
          </w:tcPr>
          <w:p>
            <w:pPr>
              <w:jc w:val="left"/>
            </w:pPr>
            <w:r>
              <w:rPr>
                <w:b w:val="false"/>
                <w:bCs w:val="false"/>
                <w:sz w:val="18"/>
                <w:szCs w:val="18"/>
              </w:rPr>
              <w:t xml:space="preserve">A client submits a request — goes to Urbeno admins</w:t>
            </w:r>
          </w:p>
        </w:tc>
      </w:tr>
      <w:tr>
        <w:tc>
          <w:tcPr>
            <w:tcW w:type="dxa" w:w="3000"/>
            <w:tcMar>
              <w:top w:type="dxa" w:w="85"/>
              <w:left w:type="dxa" w:w="110"/>
              <w:bottom w:type="dxa" w:w="85"/>
              <w:right w:type="dxa" w:w="110"/>
            </w:tcMar>
          </w:tcPr>
          <w:p>
            <w:pPr>
              <w:jc w:val="left"/>
            </w:pPr>
            <w:r>
              <w:rPr>
                <w:b w:val="false"/>
                <w:bCs w:val="false"/>
                <w:sz w:val="18"/>
                <w:szCs w:val="18"/>
              </w:rPr>
              <w:t xml:space="preserve">Request acknowledgement</w:t>
            </w:r>
          </w:p>
        </w:tc>
        <w:tc>
          <w:tcPr>
            <w:tcW w:type="dxa" w:w="6200"/>
            <w:tcMar>
              <w:top w:type="dxa" w:w="85"/>
              <w:left w:type="dxa" w:w="110"/>
              <w:bottom w:type="dxa" w:w="85"/>
              <w:right w:type="dxa" w:w="110"/>
            </w:tcMar>
          </w:tcPr>
          <w:p>
            <w:pPr>
              <w:jc w:val="left"/>
            </w:pPr>
            <w:r>
              <w:rPr>
                <w:b w:val="false"/>
                <w:bCs w:val="false"/>
                <w:sz w:val="18"/>
                <w:szCs w:val="18"/>
              </w:rPr>
              <w:t xml:space="preserve">Admin accepts the request — goes to the requestor</w:t>
            </w:r>
          </w:p>
        </w:tc>
      </w:tr>
      <w:tr>
        <w:tc>
          <w:tcPr>
            <w:tcW w:type="dxa" w:w="3000"/>
            <w:tcMar>
              <w:top w:type="dxa" w:w="85"/>
              <w:left w:type="dxa" w:w="110"/>
              <w:bottom w:type="dxa" w:w="85"/>
              <w:right w:type="dxa" w:w="110"/>
            </w:tcMar>
          </w:tcPr>
          <w:p>
            <w:pPr>
              <w:jc w:val="left"/>
            </w:pPr>
            <w:r>
              <w:rPr>
                <w:b w:val="false"/>
                <w:bCs w:val="false"/>
                <w:sz w:val="18"/>
                <w:szCs w:val="18"/>
              </w:rPr>
              <w:t xml:space="preserve">Certificate delivery</w:t>
            </w:r>
          </w:p>
        </w:tc>
        <w:tc>
          <w:tcPr>
            <w:tcW w:type="dxa" w:w="6200"/>
            <w:tcMar>
              <w:top w:type="dxa" w:w="85"/>
              <w:left w:type="dxa" w:w="110"/>
              <w:bottom w:type="dxa" w:w="85"/>
              <w:right w:type="dxa" w:w="110"/>
            </w:tcMar>
          </w:tcPr>
          <w:p>
            <w:pPr>
              <w:jc w:val="left"/>
            </w:pPr>
            <w:r>
              <w:rPr>
                <w:b w:val="false"/>
                <w:bCs w:val="false"/>
                <w:sz w:val="18"/>
                <w:szCs w:val="18"/>
              </w:rPr>
              <w:t xml:space="preserve">A certificate is uploaded — with the PDF attached</w:t>
            </w:r>
          </w:p>
        </w:tc>
      </w:tr>
      <w:tr>
        <w:tc>
          <w:tcPr>
            <w:tcW w:type="dxa" w:w="3000"/>
            <w:tcMar>
              <w:top w:type="dxa" w:w="85"/>
              <w:left w:type="dxa" w:w="110"/>
              <w:bottom w:type="dxa" w:w="85"/>
              <w:right w:type="dxa" w:w="110"/>
            </w:tcMar>
          </w:tcPr>
          <w:p>
            <w:pPr>
              <w:jc w:val="left"/>
            </w:pPr>
            <w:r>
              <w:rPr>
                <w:b w:val="false"/>
                <w:bCs w:val="false"/>
                <w:sz w:val="18"/>
                <w:szCs w:val="18"/>
              </w:rPr>
              <w:t xml:space="preserve">Payment reminder</w:t>
            </w:r>
          </w:p>
        </w:tc>
        <w:tc>
          <w:tcPr>
            <w:tcW w:type="dxa" w:w="6200"/>
            <w:tcMar>
              <w:top w:type="dxa" w:w="85"/>
              <w:left w:type="dxa" w:w="110"/>
              <w:bottom w:type="dxa" w:w="85"/>
              <w:right w:type="dxa" w:w="110"/>
            </w:tcMar>
          </w:tcPr>
          <w:p>
            <w:pPr>
              <w:jc w:val="left"/>
            </w:pPr>
            <w:r>
              <w:rPr>
                <w:b w:val="false"/>
                <w:bCs w:val="false"/>
                <w:sz w:val="18"/>
                <w:szCs w:val="18"/>
              </w:rPr>
              <w:t xml:space="preserve">Daily sweep finds an overdue invoice</w:t>
            </w:r>
          </w:p>
        </w:tc>
      </w:tr>
      <w:tr>
        <w:tc>
          <w:tcPr>
            <w:tcW w:type="dxa" w:w="3000"/>
            <w:tcMar>
              <w:top w:type="dxa" w:w="85"/>
              <w:left w:type="dxa" w:w="110"/>
              <w:bottom w:type="dxa" w:w="85"/>
              <w:right w:type="dxa" w:w="110"/>
            </w:tcMar>
          </w:tcPr>
          <w:p>
            <w:pPr>
              <w:jc w:val="left"/>
            </w:pPr>
            <w:r>
              <w:rPr>
                <w:b w:val="false"/>
                <w:bCs w:val="false"/>
                <w:sz w:val="18"/>
                <w:szCs w:val="18"/>
              </w:rPr>
              <w:t xml:space="preserve">Recycling SLA alert</w:t>
            </w:r>
          </w:p>
        </w:tc>
        <w:tc>
          <w:tcPr>
            <w:tcW w:type="dxa" w:w="6200"/>
            <w:tcMar>
              <w:top w:type="dxa" w:w="85"/>
              <w:left w:type="dxa" w:w="110"/>
              <w:bottom w:type="dxa" w:w="85"/>
              <w:right w:type="dxa" w:w="110"/>
            </w:tcMar>
          </w:tcPr>
          <w:p>
            <w:pPr>
              <w:jc w:val="left"/>
            </w:pPr>
            <w:r>
              <w:rPr>
                <w:b w:val="false"/>
                <w:bCs w:val="false"/>
                <w:sz w:val="18"/>
                <w:szCs w:val="18"/>
              </w:rPr>
              <w:t xml:space="preserve">An invoice approaches or breaches the thirty-day target</w:t>
            </w:r>
          </w:p>
        </w:tc>
      </w:tr>
      <w:tr>
        <w:tc>
          <w:tcPr>
            <w:tcW w:type="dxa" w:w="3000"/>
            <w:tcMar>
              <w:top w:type="dxa" w:w="85"/>
              <w:left w:type="dxa" w:w="110"/>
              <w:bottom w:type="dxa" w:w="85"/>
              <w:right w:type="dxa" w:w="110"/>
            </w:tcMar>
          </w:tcPr>
          <w:p>
            <w:pPr>
              <w:jc w:val="left"/>
            </w:pPr>
            <w:r>
              <w:rPr>
                <w:b w:val="false"/>
                <w:bCs w:val="false"/>
                <w:sz w:val="18"/>
                <w:szCs w:val="18"/>
              </w:rPr>
              <w:t xml:space="preserve">Password reset code</w:t>
            </w:r>
          </w:p>
        </w:tc>
        <w:tc>
          <w:tcPr>
            <w:tcW w:type="dxa" w:w="6200"/>
            <w:tcMar>
              <w:top w:type="dxa" w:w="85"/>
              <w:left w:type="dxa" w:w="110"/>
              <w:bottom w:type="dxa" w:w="85"/>
              <w:right w:type="dxa" w:w="110"/>
            </w:tcMar>
          </w:tcPr>
          <w:p>
            <w:pPr>
              <w:jc w:val="left"/>
            </w:pPr>
            <w:r>
              <w:rPr>
                <w:b w:val="false"/>
                <w:bCs w:val="false"/>
                <w:sz w:val="18"/>
                <w:szCs w:val="18"/>
              </w:rPr>
              <w:t xml:space="preserve">A user requests a reset</w:t>
            </w:r>
          </w:p>
        </w:tc>
      </w:tr>
      <w:tr>
        <w:tc>
          <w:tcPr>
            <w:tcW w:type="dxa" w:w="3000"/>
            <w:tcMar>
              <w:top w:type="dxa" w:w="85"/>
              <w:left w:type="dxa" w:w="110"/>
              <w:bottom w:type="dxa" w:w="85"/>
              <w:right w:type="dxa" w:w="110"/>
            </w:tcMar>
          </w:tcPr>
          <w:p>
            <w:pPr>
              <w:jc w:val="left"/>
            </w:pPr>
            <w:r>
              <w:rPr>
                <w:b w:val="false"/>
                <w:bCs w:val="false"/>
                <w:sz w:val="18"/>
                <w:szCs w:val="18"/>
              </w:rPr>
              <w:t xml:space="preserve">New user welcome</w:t>
            </w:r>
          </w:p>
        </w:tc>
        <w:tc>
          <w:tcPr>
            <w:tcW w:type="dxa" w:w="6200"/>
            <w:tcMar>
              <w:top w:type="dxa" w:w="85"/>
              <w:left w:type="dxa" w:w="110"/>
              <w:bottom w:type="dxa" w:w="85"/>
              <w:right w:type="dxa" w:w="110"/>
            </w:tcMar>
          </w:tcPr>
          <w:p>
            <w:pPr>
              <w:jc w:val="left"/>
            </w:pPr>
            <w:r>
              <w:rPr>
                <w:b w:val="false"/>
                <w:bCs w:val="false"/>
                <w:sz w:val="18"/>
                <w:szCs w:val="18"/>
              </w:rPr>
              <w:t xml:space="preserve">An admin creates a user</w:t>
            </w:r>
          </w:p>
        </w:tc>
      </w:tr>
      <w:tr>
        <w:tc>
          <w:tcPr>
            <w:tcW w:type="dxa" w:w="3000"/>
            <w:tcMar>
              <w:top w:type="dxa" w:w="85"/>
              <w:left w:type="dxa" w:w="110"/>
              <w:bottom w:type="dxa" w:w="85"/>
              <w:right w:type="dxa" w:w="110"/>
            </w:tcMar>
          </w:tcPr>
          <w:p>
            <w:pPr>
              <w:jc w:val="left"/>
            </w:pPr>
            <w:r>
              <w:rPr>
                <w:b w:val="false"/>
                <w:bCs w:val="false"/>
                <w:sz w:val="18"/>
                <w:szCs w:val="18"/>
              </w:rPr>
              <w:t xml:space="preserve">Capacity alert</w:t>
            </w:r>
          </w:p>
        </w:tc>
        <w:tc>
          <w:tcPr>
            <w:tcW w:type="dxa" w:w="6200"/>
            <w:tcMar>
              <w:top w:type="dxa" w:w="85"/>
              <w:left w:type="dxa" w:w="110"/>
              <w:bottom w:type="dxa" w:w="85"/>
              <w:right w:type="dxa" w:w="110"/>
            </w:tcMar>
          </w:tcPr>
          <w:p>
            <w:pPr>
              <w:jc w:val="left"/>
            </w:pPr>
            <w:r>
              <w:rPr>
                <w:b w:val="false"/>
                <w:bCs w:val="false"/>
                <w:sz w:val="18"/>
                <w:szCs w:val="18"/>
              </w:rPr>
              <w:t xml:space="preserve">A category crosses eighty or one hundred per cent</w:t>
            </w:r>
          </w:p>
        </w:tc>
      </w:tr>
    </w:tbl>
    <w:p>
      <w:pPr>
        <w:spacing w:after="90" w:before="190"/>
      </w:pPr>
      <w:r>
        <w:rPr>
          <w:b/>
          <w:bCs/>
          <w:color w:val="3B6D11"/>
          <w:sz w:val="21"/>
          <w:szCs w:val="21"/>
        </w:rPr>
        <w:t xml:space="preserve">Delivery infrastructure</w:t>
      </w:r>
    </w:p>
    <w:p>
      <w:pPr>
        <w:pStyle w:val="ListParagraph"/>
        <w:numPr>
          <w:ilvl w:val="0"/>
          <w:numId w:val="2"/>
        </w:numPr>
        <w:spacing w:after="55"/>
      </w:pPr>
      <w:r>
        <w:rPr>
          <w:sz w:val="21"/>
          <w:szCs w:val="21"/>
        </w:rPr>
        <w:t xml:space="preserve">Send asynchronously through a queue — never block an API response on an email</w:t>
      </w:r>
    </w:p>
    <w:p>
      <w:pPr>
        <w:pStyle w:val="ListParagraph"/>
        <w:numPr>
          <w:ilvl w:val="0"/>
          <w:numId w:val="2"/>
        </w:numPr>
        <w:spacing w:after="55"/>
      </w:pPr>
      <w:r>
        <w:rPr>
          <w:sz w:val="21"/>
          <w:szCs w:val="21"/>
        </w:rPr>
        <w:t xml:space="preserve">Retry with exponential backoff, and a dead-letter queue for repeated failures</w:t>
      </w:r>
    </w:p>
    <w:p>
      <w:pPr>
        <w:pStyle w:val="ListParagraph"/>
        <w:numPr>
          <w:ilvl w:val="0"/>
          <w:numId w:val="2"/>
        </w:numPr>
        <w:spacing w:after="55"/>
      </w:pPr>
      <w:r>
        <w:rPr>
          <w:sz w:val="21"/>
          <w:szCs w:val="21"/>
        </w:rPr>
        <w:t xml:space="preserve">Record every send in an outbox the admin can search, as the prototype does</w:t>
      </w:r>
    </w:p>
    <w:p>
      <w:pPr>
        <w:pStyle w:val="ListParagraph"/>
        <w:numPr>
          <w:ilvl w:val="0"/>
          <w:numId w:val="2"/>
        </w:numPr>
        <w:spacing w:after="55"/>
      </w:pPr>
      <w:r>
        <w:rPr>
          <w:sz w:val="21"/>
          <w:szCs w:val="21"/>
        </w:rPr>
        <w:t xml:space="preserve">Handle bounces and complaints, and suppress addresses that hard-bounce</w:t>
      </w:r>
    </w:p>
    <w:p>
      <w:pPr>
        <w:pStyle w:val="ListParagraph"/>
        <w:numPr>
          <w:ilvl w:val="0"/>
          <w:numId w:val="2"/>
        </w:numPr>
        <w:spacing w:after="55"/>
      </w:pPr>
      <w:r>
        <w:rPr>
          <w:sz w:val="21"/>
          <w:szCs w:val="21"/>
        </w:rPr>
        <w:t xml:space="preserve">Attachments pulled from object storage at send time</w:t>
      </w:r>
    </w:p>
    <w:p>
      <w:pPr>
        <w:spacing w:after="90" w:before="190"/>
      </w:pPr>
      <w:r>
        <w:rPr>
          <w:b/>
          <w:bCs/>
          <w:color w:val="3B6D11"/>
          <w:sz w:val="21"/>
          <w:szCs w:val="21"/>
        </w:rPr>
        <w:t xml:space="preserve">Admin-editable templates and campaigns</w:t>
      </w:r>
    </w:p>
    <w:p>
      <w:pPr>
        <w:pStyle w:val="ListParagraph"/>
        <w:numPr>
          <w:ilvl w:val="0"/>
          <w:numId w:val="2"/>
        </w:numPr>
        <w:spacing w:after="55"/>
      </w:pPr>
      <w:r>
        <w:rPr>
          <w:sz w:val="21"/>
          <w:szCs w:val="21"/>
        </w:rPr>
        <w:t xml:space="preserve">Rich text editor with a merge-variable palette</w:t>
      </w:r>
    </w:p>
    <w:p>
      <w:pPr>
        <w:pStyle w:val="ListParagraph"/>
        <w:numPr>
          <w:ilvl w:val="0"/>
          <w:numId w:val="2"/>
        </w:numPr>
        <w:spacing w:after="55"/>
      </w:pPr>
      <w:r>
        <w:rPr>
          <w:sz w:val="21"/>
          <w:szCs w:val="21"/>
        </w:rPr>
        <w:t xml:space="preserve">Recipient targeting: all clients, primary contacts, one client, or a test send to self</w:t>
      </w:r>
    </w:p>
    <w:p>
      <w:pPr>
        <w:pStyle w:val="ListParagraph"/>
        <w:numPr>
          <w:ilvl w:val="0"/>
          <w:numId w:val="2"/>
        </w:numPr>
        <w:spacing w:after="55"/>
      </w:pPr>
      <w:r>
        <w:rPr>
          <w:sz w:val="21"/>
          <w:szCs w:val="21"/>
        </w:rPr>
        <w:t xml:space="preserve">Preview with sample data, and a test send before a campaign goes out</w:t>
      </w:r>
    </w:p>
    <w:p>
      <w:pPr>
        <w:pStyle w:val="ListParagraph"/>
        <w:numPr>
          <w:ilvl w:val="0"/>
          <w:numId w:val="2"/>
        </w:numPr>
        <w:spacing w:after="55"/>
      </w:pPr>
      <w:r>
        <w:rPr>
          <w:sz w:val="21"/>
          <w:szCs w:val="21"/>
        </w:rPr>
        <w:t xml:space="preserve">Delivery report per campaign</w:t>
      </w:r>
    </w:p>
    <w:p>
      <w:pPr>
        <w:pStyle w:val="ListParagraph"/>
        <w:numPr>
          <w:ilvl w:val="0"/>
          <w:numId w:val="2"/>
        </w:numPr>
        <w:spacing w:after="55"/>
      </w:pPr>
      <w:r>
        <w:rPr>
          <w:b/>
          <w:bCs/>
          <w:sz w:val="21"/>
          <w:szCs w:val="21"/>
        </w:rPr>
        <w:t xml:space="preserve">Sanitise template content on render. </w:t>
      </w:r>
      <w:r>
        <w:rPr>
          <w:sz w:val="21"/>
          <w:szCs w:val="21"/>
        </w:rPr>
        <w:t xml:space="preserve">An admin-editable template that accepts arbitrary HTML is an injection vector into every client's inbox.</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Exit criteria — do not start the next phase until all of these are true</w:t>
            </w:r>
          </w:p>
          <w:p>
            <w:pPr>
              <w:spacing w:after="55"/>
            </w:pPr>
            <w:r>
              <w:rPr>
                <w:sz w:val="19"/>
                <w:szCs w:val="19"/>
              </w:rPr>
              <w:t xml:space="preserve">☐  All eight transactional templates fire from real events with correct merge values</w:t>
            </w:r>
          </w:p>
          <w:p>
            <w:pPr>
              <w:spacing w:after="55"/>
            </w:pPr>
            <w:r>
              <w:rPr>
                <w:sz w:val="19"/>
                <w:szCs w:val="19"/>
              </w:rPr>
              <w:t xml:space="preserve">☐  Certificate delivery arrives with the PDF attached and opens correctly</w:t>
            </w:r>
          </w:p>
          <w:p>
            <w:pPr>
              <w:spacing w:after="55"/>
            </w:pPr>
            <w:r>
              <w:rPr>
                <w:sz w:val="19"/>
                <w:szCs w:val="19"/>
              </w:rPr>
              <w:t xml:space="preserve">☐  A failed send retries and lands in the dead-letter queue after exhausting attempts</w:t>
            </w:r>
          </w:p>
          <w:p>
            <w:pPr>
              <w:spacing w:after="55"/>
            </w:pPr>
            <w:r>
              <w:rPr>
                <w:sz w:val="19"/>
                <w:szCs w:val="19"/>
              </w:rPr>
              <w:t xml:space="preserve">☐  Bounce handling suppresses a known-bad address</w:t>
            </w:r>
          </w:p>
          <w:p>
            <w:pPr>
              <w:spacing w:after="55"/>
            </w:pPr>
            <w:r>
              <w:rPr>
                <w:sz w:val="19"/>
                <w:szCs w:val="19"/>
              </w:rPr>
              <w:t xml:space="preserve">☐  A campaign sends to a filtered set and reports delivery</w:t>
            </w:r>
          </w:p>
          <w:p>
            <w:pPr>
              <w:spacing w:after="55"/>
            </w:pPr>
            <w:r>
              <w:rPr>
                <w:sz w:val="19"/>
                <w:szCs w:val="19"/>
              </w:rPr>
              <w:t xml:space="preserve">☐  Template content cannot inject script into a rendered email</w:t>
            </w:r>
          </w:p>
        </w:tc>
      </w:tr>
    </w:tbl>
    <w:p>
      <w:r>
        <w:br w:type="page"/>
      </w:r>
    </w:p>
    <w:tbl>
      <w:tblPr>
        <w:tblW w:type="dxa" w:w="9200"/>
        <w:tblBorders>
          <w:top w:val="none"/>
          <w:left w:val="none"/>
          <w:bottom w:val="none"/>
          <w:right w:val="none"/>
          <w:insideH w:val="none"/>
          <w:insideV w:val="none"/>
        </w:tblBorders>
      </w:tblPr>
      <w:tblGrid>
        <w:gridCol w:w="1100"/>
        <w:gridCol w:w="5400"/>
        <w:gridCol w:w="1500"/>
        <w:gridCol w:w="1200"/>
      </w:tblGrid>
      <w:tr>
        <w:tc>
          <w:tcPr>
            <w:tcW w:type="dxa" w:w="1100"/>
            <w:shd w:fill="2A4D0C" w:color="auto" w:val="clear"/>
            <w:tcMar>
              <w:top w:type="dxa" w:w="150"/>
              <w:left w:type="dxa" w:w="100"/>
              <w:bottom w:type="dxa" w:w="150"/>
              <w:right w:type="dxa" w:w="100"/>
            </w:tcMar>
          </w:tcPr>
          <w:p>
            <w:pPr>
              <w:jc w:val="center"/>
            </w:pPr>
            <w:r>
              <w:rPr>
                <w:b/>
                <w:bCs/>
                <w:color w:val="FFFFFF"/>
                <w:sz w:val="14"/>
                <w:szCs w:val="14"/>
              </w:rPr>
              <w:t xml:space="preserve">PHASE</w:t>
            </w:r>
          </w:p>
          <w:p>
            <w:pPr>
              <w:jc w:val="center"/>
            </w:pPr>
            <w:r>
              <w:rPr>
                <w:b/>
                <w:bCs/>
                <w:color w:val="FFFFFF"/>
                <w:sz w:val="34"/>
                <w:szCs w:val="34"/>
              </w:rPr>
              <w:t xml:space="preserve">6</w:t>
            </w:r>
          </w:p>
        </w:tc>
        <w:tc>
          <w:tcPr>
            <w:tcW w:type="dxa" w:w="5400"/>
            <w:shd w:fill="3B6D11" w:color="auto" w:val="clear"/>
            <w:tcMar>
              <w:top w:type="dxa" w:w="150"/>
              <w:left w:type="dxa" w:w="190"/>
              <w:bottom w:type="dxa" w:w="150"/>
              <w:right w:type="dxa" w:w="120"/>
            </w:tcMar>
          </w:tcPr>
          <w:p>
            <w:r>
              <w:rPr>
                <w:b/>
                <w:bCs/>
                <w:color w:val="FFFFFF"/>
                <w:sz w:val="26"/>
                <w:szCs w:val="26"/>
              </w:rPr>
              <w:t xml:space="preserve">Frontend migration</w:t>
            </w:r>
          </w:p>
        </w:tc>
        <w:tc>
          <w:tcPr>
            <w:tcW w:type="dxa" w:w="1500"/>
            <w:shd w:fill="3B6D11" w:color="auto" w:val="clear"/>
            <w:tcMar>
              <w:top w:type="dxa" w:w="150"/>
              <w:left w:type="dxa" w:w="100"/>
              <w:bottom w:type="dxa" w:w="150"/>
              <w:right w:type="dxa" w:w="100"/>
            </w:tcMar>
          </w:tcPr>
          <w:p>
            <w:r>
              <w:rPr>
                <w:color w:val="C0DD97"/>
                <w:sz w:val="13"/>
                <w:szCs w:val="13"/>
              </w:rPr>
              <w:t xml:space="preserve">DURATION</w:t>
            </w:r>
          </w:p>
          <w:p>
            <w:r>
              <w:rPr>
                <w:b/>
                <w:bCs/>
                <w:color w:val="FFFFFF"/>
                <w:sz w:val="18"/>
                <w:szCs w:val="18"/>
              </w:rPr>
              <w:t xml:space="preserve">Weeks 5–10</w:t>
            </w:r>
          </w:p>
        </w:tc>
        <w:tc>
          <w:tcPr>
            <w:tcW w:type="dxa" w:w="1200"/>
            <w:shd w:fill="3B6D11" w:color="auto" w:val="clear"/>
            <w:tcMar>
              <w:top w:type="dxa" w:w="150"/>
              <w:left w:type="dxa" w:w="100"/>
              <w:bottom w:type="dxa" w:w="150"/>
              <w:right w:type="dxa" w:w="120"/>
            </w:tcMar>
          </w:tcPr>
          <w:p>
            <w:r>
              <w:rPr>
                <w:color w:val="C0DD97"/>
                <w:sz w:val="13"/>
                <w:szCs w:val="13"/>
              </w:rPr>
              <w:t xml:space="preserve">LEAD</w:t>
            </w:r>
          </w:p>
          <w:p>
            <w:r>
              <w:rPr>
                <w:b/>
                <w:bCs/>
                <w:color w:val="FFFFFF"/>
                <w:sz w:val="18"/>
                <w:szCs w:val="18"/>
              </w:rPr>
              <w:t xml:space="preserve">Partner</w:t>
            </w:r>
          </w:p>
        </w:tc>
      </w:tr>
    </w:tbl>
    <w:p>
      <w:pPr>
        <w:spacing w:after="110"/>
      </w:pPr>
      <w:r>
        <w:t xml:space="preserve"/>
      </w:r>
    </w:p>
    <w:p>
      <w:pPr>
        <w:spacing w:after="110"/>
        <w:jc w:val="left"/>
      </w:pPr>
      <w:r>
        <w:rPr>
          <w:sz w:val="21"/>
          <w:szCs w:val="21"/>
        </w:rPr>
        <w:t xml:space="preserve">The prototype is a single HTML file of roughly seven thousand lines. It is not the production frontend, but it is an exact specification of one: every screen, every modal, every validation message and every empty state has been reviewed and revised through several rounds of use.</w:t>
      </w:r>
    </w:p>
    <w:p>
      <w:pPr>
        <w:spacing w:after="90" w:before="190"/>
      </w:pPr>
      <w:r>
        <w:rPr>
          <w:b/>
          <w:bCs/>
          <w:color w:val="3B6D11"/>
          <w:sz w:val="21"/>
          <w:szCs w:val="21"/>
        </w:rPr>
        <w:t xml:space="preserve">Approach</w:t>
      </w:r>
    </w:p>
    <w:p>
      <w:pPr>
        <w:pStyle w:val="ListParagraph"/>
        <w:numPr>
          <w:ilvl w:val="0"/>
          <w:numId w:val="2"/>
        </w:numPr>
        <w:spacing w:after="55"/>
      </w:pPr>
      <w:r>
        <w:rPr>
          <w:sz w:val="21"/>
          <w:szCs w:val="21"/>
        </w:rPr>
        <w:t xml:space="preserve">Rebuild as components in the chosen framework, screen by screen, matching the prototype</w:t>
      </w:r>
    </w:p>
    <w:p>
      <w:pPr>
        <w:pStyle w:val="ListParagraph"/>
        <w:numPr>
          <w:ilvl w:val="0"/>
          <w:numId w:val="2"/>
        </w:numPr>
        <w:spacing w:after="55"/>
      </w:pPr>
      <w:r>
        <w:rPr>
          <w:sz w:val="21"/>
          <w:szCs w:val="21"/>
        </w:rPr>
        <w:t xml:space="preserve">Keep the visual language — it follows the Urbeno brand guidelines and uses the brand palette and typefaces</w:t>
      </w:r>
    </w:p>
    <w:p>
      <w:pPr>
        <w:pStyle w:val="ListParagraph"/>
        <w:numPr>
          <w:ilvl w:val="0"/>
          <w:numId w:val="2"/>
        </w:numPr>
        <w:spacing w:after="55"/>
      </w:pPr>
      <w:r>
        <w:rPr>
          <w:sz w:val="21"/>
          <w:szCs w:val="21"/>
        </w:rPr>
        <w:t xml:space="preserve">Keep the copy. The labels, hints, warnings and refusal messages were written deliberately.</w:t>
      </w:r>
    </w:p>
    <w:p>
      <w:pPr>
        <w:pStyle w:val="ListParagraph"/>
        <w:numPr>
          <w:ilvl w:val="0"/>
          <w:numId w:val="2"/>
        </w:numPr>
        <w:spacing w:after="55"/>
      </w:pPr>
      <w:r>
        <w:rPr>
          <w:sz w:val="21"/>
          <w:szCs w:val="21"/>
        </w:rPr>
        <w:t xml:space="preserve">Keep the mobile behaviour: the collapsing navigation, full-screen modals, scrolling tables, sixteen-pixel inputs</w:t>
      </w:r>
    </w:p>
    <w:p>
      <w:pPr>
        <w:spacing w:after="90" w:before="190"/>
      </w:pPr>
      <w:r>
        <w:rPr>
          <w:b/>
          <w:bCs/>
          <w:color w:val="3B6D11"/>
          <w:sz w:val="21"/>
          <w:szCs w:val="21"/>
        </w:rPr>
        <w:t xml:space="preserve">Screens to deliver</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3B6D11" w:color="auto" w:val="clear"/>
            <w:tcMar>
              <w:top w:type="dxa" w:w="85"/>
              <w:left w:type="dxa" w:w="110"/>
              <w:bottom w:type="dxa" w:w="85"/>
              <w:right w:type="dxa" w:w="110"/>
            </w:tcMar>
          </w:tcPr>
          <w:p>
            <w:pPr>
              <w:jc w:val="left"/>
            </w:pPr>
            <w:r>
              <w:rPr>
                <w:b/>
                <w:bCs/>
                <w:color w:val="FFFFFF"/>
                <w:sz w:val="18"/>
                <w:szCs w:val="18"/>
              </w:rPr>
              <w:t xml:space="preserve">Area</w:t>
            </w:r>
          </w:p>
        </w:tc>
        <w:tc>
          <w:tcPr>
            <w:tcW w:type="dxa" w:w="7600"/>
            <w:shd w:fill="3B6D11" w:color="auto" w:val="clear"/>
            <w:tcMar>
              <w:top w:type="dxa" w:w="85"/>
              <w:left w:type="dxa" w:w="110"/>
              <w:bottom w:type="dxa" w:w="85"/>
              <w:right w:type="dxa" w:w="110"/>
            </w:tcMar>
          </w:tcPr>
          <w:p>
            <w:pPr>
              <w:jc w:val="left"/>
            </w:pPr>
            <w:r>
              <w:rPr>
                <w:b/>
                <w:bCs/>
                <w:color w:val="FFFFFF"/>
                <w:sz w:val="18"/>
                <w:szCs w:val="18"/>
              </w:rPr>
              <w:t xml:space="preserve">Screens</w:t>
            </w:r>
          </w:p>
        </w:tc>
      </w:tr>
      <w:tr>
        <w:tc>
          <w:tcPr>
            <w:tcW w:type="dxa" w:w="1600"/>
            <w:tcMar>
              <w:top w:type="dxa" w:w="85"/>
              <w:left w:type="dxa" w:w="110"/>
              <w:bottom w:type="dxa" w:w="85"/>
              <w:right w:type="dxa" w:w="110"/>
            </w:tcMar>
          </w:tcPr>
          <w:p>
            <w:pPr>
              <w:jc w:val="left"/>
            </w:pPr>
            <w:r>
              <w:rPr>
                <w:b w:val="false"/>
                <w:bCs w:val="false"/>
                <w:sz w:val="18"/>
                <w:szCs w:val="18"/>
              </w:rPr>
              <w:t xml:space="preserve">Shared</w:t>
            </w:r>
          </w:p>
        </w:tc>
        <w:tc>
          <w:tcPr>
            <w:tcW w:type="dxa" w:w="7600"/>
            <w:tcMar>
              <w:top w:type="dxa" w:w="85"/>
              <w:left w:type="dxa" w:w="110"/>
              <w:bottom w:type="dxa" w:w="85"/>
              <w:right w:type="dxa" w:w="110"/>
            </w:tcMar>
          </w:tcPr>
          <w:p>
            <w:pPr>
              <w:jc w:val="left"/>
            </w:pPr>
            <w:r>
              <w:rPr>
                <w:b w:val="false"/>
                <w:bCs w:val="false"/>
                <w:sz w:val="18"/>
                <w:szCs w:val="18"/>
              </w:rPr>
              <w:t xml:space="preserve">Login, password reset, profile, global search, notifications, terms of use footer</w:t>
            </w:r>
          </w:p>
        </w:tc>
      </w:tr>
      <w:tr>
        <w:tc>
          <w:tcPr>
            <w:tcW w:type="dxa" w:w="1600"/>
            <w:tcMar>
              <w:top w:type="dxa" w:w="85"/>
              <w:left w:type="dxa" w:w="110"/>
              <w:bottom w:type="dxa" w:w="85"/>
              <w:right w:type="dxa" w:w="110"/>
            </w:tcMar>
          </w:tcPr>
          <w:p>
            <w:pPr>
              <w:jc w:val="left"/>
            </w:pPr>
            <w:r>
              <w:rPr>
                <w:b w:val="false"/>
                <w:bCs w:val="false"/>
                <w:sz w:val="18"/>
                <w:szCs w:val="18"/>
              </w:rPr>
              <w:t xml:space="preserve">Admin</w:t>
            </w:r>
          </w:p>
        </w:tc>
        <w:tc>
          <w:tcPr>
            <w:tcW w:type="dxa" w:w="7600"/>
            <w:tcMar>
              <w:top w:type="dxa" w:w="85"/>
              <w:left w:type="dxa" w:w="110"/>
              <w:bottom w:type="dxa" w:w="85"/>
              <w:right w:type="dxa" w:w="110"/>
            </w:tcMar>
          </w:tcPr>
          <w:p>
            <w:pPr>
              <w:jc w:val="left"/>
            </w:pPr>
            <w:r>
              <w:rPr>
                <w:b w:val="false"/>
                <w:bCs w:val="false"/>
                <w:sz w:val="18"/>
                <w:szCs w:val="18"/>
              </w:rPr>
              <w:t xml:space="preserve">Dashboard with work queues, requests list and detail, masters (clients, sites, users, factories, categories, lookups, email), reports, Recycle Heroes, audit log</w:t>
            </w:r>
          </w:p>
        </w:tc>
      </w:tr>
      <w:tr>
        <w:tc>
          <w:tcPr>
            <w:tcW w:type="dxa" w:w="1600"/>
            <w:tcMar>
              <w:top w:type="dxa" w:w="85"/>
              <w:left w:type="dxa" w:w="110"/>
              <w:bottom w:type="dxa" w:w="85"/>
              <w:right w:type="dxa" w:w="110"/>
            </w:tcMar>
          </w:tcPr>
          <w:p>
            <w:pPr>
              <w:jc w:val="left"/>
            </w:pPr>
            <w:r>
              <w:rPr>
                <w:b w:val="false"/>
                <w:bCs w:val="false"/>
                <w:sz w:val="18"/>
                <w:szCs w:val="18"/>
              </w:rPr>
              <w:t xml:space="preserve">Factory</w:t>
            </w:r>
          </w:p>
        </w:tc>
        <w:tc>
          <w:tcPr>
            <w:tcW w:type="dxa" w:w="7600"/>
            <w:tcMar>
              <w:top w:type="dxa" w:w="85"/>
              <w:left w:type="dxa" w:w="110"/>
              <w:bottom w:type="dxa" w:w="85"/>
              <w:right w:type="dxa" w:w="110"/>
            </w:tcMar>
          </w:tcPr>
          <w:p>
            <w:pPr>
              <w:jc w:val="left"/>
            </w:pPr>
            <w:r>
              <w:rPr>
                <w:b w:val="false"/>
                <w:bCs w:val="false"/>
                <w:sz w:val="18"/>
                <w:szCs w:val="18"/>
              </w:rPr>
              <w:t xml:space="preserve">Dashboard, requests, MRN and recycling screens, capacity utilisation</w:t>
            </w:r>
          </w:p>
        </w:tc>
      </w:tr>
      <w:tr>
        <w:tc>
          <w:tcPr>
            <w:tcW w:type="dxa" w:w="1600"/>
            <w:tcMar>
              <w:top w:type="dxa" w:w="85"/>
              <w:left w:type="dxa" w:w="110"/>
              <w:bottom w:type="dxa" w:w="85"/>
              <w:right w:type="dxa" w:w="110"/>
            </w:tcMar>
          </w:tcPr>
          <w:p>
            <w:pPr>
              <w:jc w:val="left"/>
            </w:pPr>
            <w:r>
              <w:rPr>
                <w:b w:val="false"/>
                <w:bCs w:val="false"/>
                <w:sz w:val="18"/>
                <w:szCs w:val="18"/>
              </w:rPr>
              <w:t xml:space="preserve">Client</w:t>
            </w:r>
          </w:p>
        </w:tc>
        <w:tc>
          <w:tcPr>
            <w:tcW w:type="dxa" w:w="7600"/>
            <w:tcMar>
              <w:top w:type="dxa" w:w="85"/>
              <w:left w:type="dxa" w:w="110"/>
              <w:bottom w:type="dxa" w:w="85"/>
              <w:right w:type="dxa" w:w="110"/>
            </w:tcMar>
          </w:tcPr>
          <w:p>
            <w:pPr>
              <w:jc w:val="left"/>
            </w:pPr>
            <w:r>
              <w:rPr>
                <w:b w:val="false"/>
                <w:bCs w:val="false"/>
                <w:sz w:val="18"/>
                <w:szCs w:val="18"/>
              </w:rPr>
              <w:t xml:space="preserve">Site-wise dashboard, requests, new request, sustainability, Recycle Heroes, reports</w:t>
            </w:r>
          </w:p>
        </w:tc>
      </w:tr>
    </w:tbl>
    <w:p>
      <w:pPr>
        <w:spacing w:after="90" w:before="190"/>
      </w:pPr>
      <w:r>
        <w:rPr>
          <w:b/>
          <w:bCs/>
          <w:color w:val="3B6D11"/>
          <w:sz w:val="21"/>
          <w:szCs w:val="21"/>
        </w:rPr>
        <w:t xml:space="preserve">Things the prototype does that are easy to lose</w:t>
      </w:r>
    </w:p>
    <w:p>
      <w:pPr>
        <w:pStyle w:val="ListParagraph"/>
        <w:numPr>
          <w:ilvl w:val="0"/>
          <w:numId w:val="2"/>
        </w:numPr>
        <w:spacing w:after="55"/>
      </w:pPr>
      <w:r>
        <w:rPr>
          <w:sz w:val="21"/>
          <w:szCs w:val="21"/>
        </w:rPr>
        <w:t xml:space="preserve">The lifecycle progress bar showing all nine stages with the current one marked</w:t>
      </w:r>
    </w:p>
    <w:p>
      <w:pPr>
        <w:pStyle w:val="ListParagraph"/>
        <w:numPr>
          <w:ilvl w:val="0"/>
          <w:numId w:val="2"/>
        </w:numPr>
        <w:spacing w:after="55"/>
      </w:pPr>
      <w:r>
        <w:rPr>
          <w:sz w:val="21"/>
          <w:szCs w:val="21"/>
        </w:rPr>
        <w:t xml:space="preserve">Per-invoice tabs, because invoices progress independently after billing</w:t>
      </w:r>
    </w:p>
    <w:p>
      <w:pPr>
        <w:pStyle w:val="ListParagraph"/>
        <w:numPr>
          <w:ilvl w:val="0"/>
          <w:numId w:val="2"/>
        </w:numPr>
        <w:spacing w:after="55"/>
      </w:pPr>
      <w:r>
        <w:rPr>
          <w:sz w:val="21"/>
          <w:szCs w:val="21"/>
        </w:rPr>
        <w:t xml:space="preserve">The derived stage badge appearing identically in lists, dashboards and the request page</w:t>
      </w:r>
    </w:p>
    <w:p>
      <w:pPr>
        <w:pStyle w:val="ListParagraph"/>
        <w:numPr>
          <w:ilvl w:val="0"/>
          <w:numId w:val="2"/>
        </w:numPr>
        <w:spacing w:after="55"/>
      </w:pPr>
      <w:r>
        <w:rPr>
          <w:sz w:val="21"/>
          <w:szCs w:val="21"/>
        </w:rPr>
        <w:t xml:space="preserve">Live validation as it stands: the category split reconciling in real time, the material recovery seeded per category, the weight deviation prompting for a note only when it differs</w:t>
      </w:r>
    </w:p>
    <w:p>
      <w:pPr>
        <w:pStyle w:val="ListParagraph"/>
        <w:numPr>
          <w:ilvl w:val="0"/>
          <w:numId w:val="2"/>
        </w:numPr>
        <w:spacing w:after="55"/>
      </w:pPr>
      <w:r>
        <w:rPr>
          <w:sz w:val="21"/>
          <w:szCs w:val="21"/>
        </w:rPr>
        <w:t xml:space="preserve">The single certificates panel at request level, listing certificates across all invoices</w:t>
      </w:r>
    </w:p>
    <w:p>
      <w:pPr>
        <w:pStyle w:val="ListParagraph"/>
        <w:numPr>
          <w:ilvl w:val="0"/>
          <w:numId w:val="2"/>
        </w:numPr>
        <w:spacing w:after="55"/>
      </w:pPr>
      <w:r>
        <w:rPr>
          <w:sz w:val="21"/>
          <w:szCs w:val="21"/>
        </w:rPr>
        <w:t xml:space="preserve">Compliance documents grouped at the foot of the request</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Exit criteria — do not start the next phase until all of these are true</w:t>
            </w:r>
          </w:p>
          <w:p>
            <w:pPr>
              <w:spacing w:after="55"/>
            </w:pPr>
            <w:r>
              <w:rPr>
                <w:sz w:val="19"/>
                <w:szCs w:val="19"/>
              </w:rPr>
              <w:t xml:space="preserve">☐  Every screen exists and is reachable for the role that owns it</w:t>
            </w:r>
          </w:p>
          <w:p>
            <w:pPr>
              <w:spacing w:after="55"/>
            </w:pPr>
            <w:r>
              <w:rPr>
                <w:sz w:val="19"/>
                <w:szCs w:val="19"/>
              </w:rPr>
              <w:t xml:space="preserve">☐  A full nine-stage lifecycle can be completed through the interface alone</w:t>
            </w:r>
          </w:p>
          <w:p>
            <w:pPr>
              <w:spacing w:after="55"/>
            </w:pPr>
            <w:r>
              <w:rPr>
                <w:sz w:val="19"/>
                <w:szCs w:val="19"/>
              </w:rPr>
              <w:t xml:space="preserve">☐  The interface is usable on a 390-pixel-wide screen with no horizontal page scrolling</w:t>
            </w:r>
          </w:p>
          <w:p>
            <w:pPr>
              <w:spacing w:after="55"/>
            </w:pPr>
            <w:r>
              <w:rPr>
                <w:sz w:val="19"/>
                <w:szCs w:val="19"/>
              </w:rPr>
              <w:t xml:space="preserve">☐  Validation messages match the prototype wording</w:t>
            </w:r>
          </w:p>
          <w:p>
            <w:pPr>
              <w:spacing w:after="55"/>
            </w:pPr>
            <w:r>
              <w:rPr>
                <w:sz w:val="19"/>
                <w:szCs w:val="19"/>
              </w:rPr>
              <w:t xml:space="preserve">☐  Client branding appears on the client portal alongside the Urbeno mark</w:t>
            </w:r>
          </w:p>
          <w:p>
            <w:pPr>
              <w:spacing w:after="55"/>
            </w:pPr>
            <w:r>
              <w:rPr>
                <w:sz w:val="19"/>
                <w:szCs w:val="19"/>
              </w:rPr>
              <w:t xml:space="preserve">☐  Accessibility audit passes WCAG 2.1 AA on client-facing screens</w:t>
            </w:r>
          </w:p>
        </w:tc>
      </w:tr>
    </w:tbl>
    <w:p>
      <w:r>
        <w:br w:type="page"/>
      </w:r>
    </w:p>
    <w:tbl>
      <w:tblPr>
        <w:tblW w:type="dxa" w:w="9200"/>
        <w:tblBorders>
          <w:top w:val="none"/>
          <w:left w:val="none"/>
          <w:bottom w:val="none"/>
          <w:right w:val="none"/>
          <w:insideH w:val="none"/>
          <w:insideV w:val="none"/>
        </w:tblBorders>
      </w:tblPr>
      <w:tblGrid>
        <w:gridCol w:w="1100"/>
        <w:gridCol w:w="5400"/>
        <w:gridCol w:w="1500"/>
        <w:gridCol w:w="1200"/>
      </w:tblGrid>
      <w:tr>
        <w:tc>
          <w:tcPr>
            <w:tcW w:type="dxa" w:w="1100"/>
            <w:shd w:fill="2A4D0C" w:color="auto" w:val="clear"/>
            <w:tcMar>
              <w:top w:type="dxa" w:w="150"/>
              <w:left w:type="dxa" w:w="100"/>
              <w:bottom w:type="dxa" w:w="150"/>
              <w:right w:type="dxa" w:w="100"/>
            </w:tcMar>
          </w:tcPr>
          <w:p>
            <w:pPr>
              <w:jc w:val="center"/>
            </w:pPr>
            <w:r>
              <w:rPr>
                <w:b/>
                <w:bCs/>
                <w:color w:val="FFFFFF"/>
                <w:sz w:val="14"/>
                <w:szCs w:val="14"/>
              </w:rPr>
              <w:t xml:space="preserve">PHASE</w:t>
            </w:r>
          </w:p>
          <w:p>
            <w:pPr>
              <w:jc w:val="center"/>
            </w:pPr>
            <w:r>
              <w:rPr>
                <w:b/>
                <w:bCs/>
                <w:color w:val="FFFFFF"/>
                <w:sz w:val="34"/>
                <w:szCs w:val="34"/>
              </w:rPr>
              <w:t xml:space="preserve">7</w:t>
            </w:r>
          </w:p>
        </w:tc>
        <w:tc>
          <w:tcPr>
            <w:tcW w:type="dxa" w:w="5400"/>
            <w:shd w:fill="3B6D11" w:color="auto" w:val="clear"/>
            <w:tcMar>
              <w:top w:type="dxa" w:w="150"/>
              <w:left w:type="dxa" w:w="190"/>
              <w:bottom w:type="dxa" w:w="150"/>
              <w:right w:type="dxa" w:w="120"/>
            </w:tcMar>
          </w:tcPr>
          <w:p>
            <w:r>
              <w:rPr>
                <w:b/>
                <w:bCs/>
                <w:color w:val="FFFFFF"/>
                <w:sz w:val="26"/>
                <w:szCs w:val="26"/>
              </w:rPr>
              <w:t xml:space="preserve">Scheduled work</w:t>
            </w:r>
          </w:p>
        </w:tc>
        <w:tc>
          <w:tcPr>
            <w:tcW w:type="dxa" w:w="1500"/>
            <w:shd w:fill="3B6D11" w:color="auto" w:val="clear"/>
            <w:tcMar>
              <w:top w:type="dxa" w:w="150"/>
              <w:left w:type="dxa" w:w="100"/>
              <w:bottom w:type="dxa" w:w="150"/>
              <w:right w:type="dxa" w:w="100"/>
            </w:tcMar>
          </w:tcPr>
          <w:p>
            <w:r>
              <w:rPr>
                <w:color w:val="C0DD97"/>
                <w:sz w:val="13"/>
                <w:szCs w:val="13"/>
              </w:rPr>
              <w:t xml:space="preserve">DURATION</w:t>
            </w:r>
          </w:p>
          <w:p>
            <w:r>
              <w:rPr>
                <w:b/>
                <w:bCs/>
                <w:color w:val="FFFFFF"/>
                <w:sz w:val="18"/>
                <w:szCs w:val="18"/>
              </w:rPr>
              <w:t xml:space="preserve">Weeks 8–10</w:t>
            </w:r>
          </w:p>
        </w:tc>
        <w:tc>
          <w:tcPr>
            <w:tcW w:type="dxa" w:w="1200"/>
            <w:shd w:fill="3B6D11" w:color="auto" w:val="clear"/>
            <w:tcMar>
              <w:top w:type="dxa" w:w="150"/>
              <w:left w:type="dxa" w:w="100"/>
              <w:bottom w:type="dxa" w:w="150"/>
              <w:right w:type="dxa" w:w="120"/>
            </w:tcMar>
          </w:tcPr>
          <w:p>
            <w:r>
              <w:rPr>
                <w:color w:val="C0DD97"/>
                <w:sz w:val="13"/>
                <w:szCs w:val="13"/>
              </w:rPr>
              <w:t xml:space="preserve">LEAD</w:t>
            </w:r>
          </w:p>
          <w:p>
            <w:r>
              <w:rPr>
                <w:b/>
                <w:bCs/>
                <w:color w:val="FFFFFF"/>
                <w:sz w:val="18"/>
                <w:szCs w:val="18"/>
              </w:rPr>
              <w:t xml:space="preserve">Partner</w:t>
            </w:r>
          </w:p>
        </w:tc>
      </w:tr>
    </w:tbl>
    <w:p>
      <w:pPr>
        <w:spacing w:after="110"/>
      </w:pPr>
      <w:r>
        <w:t xml:space="preserve"/>
      </w:r>
    </w:p>
    <w:p>
      <w:pPr>
        <w:spacing w:after="110"/>
        <w:jc w:val="left"/>
      </w:pPr>
      <w:r>
        <w:rPr>
          <w:sz w:val="21"/>
          <w:szCs w:val="21"/>
        </w:rPr>
        <w:t xml:space="preserve">Three recurring jobs, all modelled in the prototype. Each must be idempotent: running twice in a day must not send two emails.</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000"/>
      </w:tblGrid>
      <w:tr>
        <w:trPr>
          <w:tblHeader/>
        </w:trPr>
        <w:tc>
          <w:tcPr>
            <w:tcW w:type="dxa" w:w="2000"/>
            <w:shd w:fill="3B6D11" w:color="auto" w:val="clear"/>
            <w:tcMar>
              <w:top w:type="dxa" w:w="85"/>
              <w:left w:type="dxa" w:w="110"/>
              <w:bottom w:type="dxa" w:w="85"/>
              <w:right w:type="dxa" w:w="110"/>
            </w:tcMar>
          </w:tcPr>
          <w:p>
            <w:pPr>
              <w:jc w:val="left"/>
            </w:pPr>
            <w:r>
              <w:rPr>
                <w:b/>
                <w:bCs/>
                <w:color w:val="FFFFFF"/>
                <w:sz w:val="18"/>
                <w:szCs w:val="18"/>
              </w:rPr>
              <w:t xml:space="preserve">Job</w:t>
            </w:r>
          </w:p>
        </w:tc>
        <w:tc>
          <w:tcPr>
            <w:tcW w:type="dxa" w:w="1200"/>
            <w:shd w:fill="3B6D11" w:color="auto" w:val="clear"/>
            <w:tcMar>
              <w:top w:type="dxa" w:w="85"/>
              <w:left w:type="dxa" w:w="110"/>
              <w:bottom w:type="dxa" w:w="85"/>
              <w:right w:type="dxa" w:w="110"/>
            </w:tcMar>
          </w:tcPr>
          <w:p>
            <w:pPr>
              <w:jc w:val="left"/>
            </w:pPr>
            <w:r>
              <w:rPr>
                <w:b/>
                <w:bCs/>
                <w:color w:val="FFFFFF"/>
                <w:sz w:val="18"/>
                <w:szCs w:val="18"/>
              </w:rPr>
              <w:t xml:space="preserve">Cadence</w:t>
            </w:r>
          </w:p>
        </w:tc>
        <w:tc>
          <w:tcPr>
            <w:tcW w:type="dxa" w:w="6000"/>
            <w:shd w:fill="3B6D11" w:color="auto" w:val="clear"/>
            <w:tcMar>
              <w:top w:type="dxa" w:w="85"/>
              <w:left w:type="dxa" w:w="110"/>
              <w:bottom w:type="dxa" w:w="85"/>
              <w:right w:type="dxa" w:w="110"/>
            </w:tcMar>
          </w:tcPr>
          <w:p>
            <w:pPr>
              <w:jc w:val="left"/>
            </w:pPr>
            <w:r>
              <w:rPr>
                <w:b/>
                <w:bCs/>
                <w:color w:val="FFFFFF"/>
                <w:sz w:val="18"/>
                <w:szCs w:val="18"/>
              </w:rPr>
              <w:t xml:space="preserve">Behaviour</w:t>
            </w:r>
          </w:p>
        </w:tc>
      </w:tr>
      <w:tr>
        <w:tc>
          <w:tcPr>
            <w:tcW w:type="dxa" w:w="2000"/>
            <w:tcMar>
              <w:top w:type="dxa" w:w="85"/>
              <w:left w:type="dxa" w:w="110"/>
              <w:bottom w:type="dxa" w:w="85"/>
              <w:right w:type="dxa" w:w="110"/>
            </w:tcMar>
          </w:tcPr>
          <w:p>
            <w:pPr>
              <w:jc w:val="left"/>
            </w:pPr>
            <w:r>
              <w:rPr>
                <w:b w:val="false"/>
                <w:bCs w:val="false"/>
                <w:sz w:val="18"/>
                <w:szCs w:val="18"/>
              </w:rPr>
              <w:t xml:space="preserve">Payment reminders</w:t>
            </w:r>
          </w:p>
        </w:tc>
        <w:tc>
          <w:tcPr>
            <w:tcW w:type="dxa" w:w="1200"/>
            <w:tcMar>
              <w:top w:type="dxa" w:w="85"/>
              <w:left w:type="dxa" w:w="110"/>
              <w:bottom w:type="dxa" w:w="85"/>
              <w:right w:type="dxa" w:w="110"/>
            </w:tcMar>
          </w:tcPr>
          <w:p>
            <w:pPr>
              <w:jc w:val="left"/>
            </w:pPr>
            <w:r>
              <w:rPr>
                <w:b w:val="false"/>
                <w:bCs w:val="false"/>
                <w:sz w:val="18"/>
                <w:szCs w:val="18"/>
              </w:rPr>
              <w:t xml:space="preserve">Daily</w:t>
            </w:r>
          </w:p>
        </w:tc>
        <w:tc>
          <w:tcPr>
            <w:tcW w:type="dxa" w:w="6000"/>
            <w:tcMar>
              <w:top w:type="dxa" w:w="85"/>
              <w:left w:type="dxa" w:w="110"/>
              <w:bottom w:type="dxa" w:w="85"/>
              <w:right w:type="dxa" w:w="110"/>
            </w:tcMar>
          </w:tcPr>
          <w:p>
            <w:pPr>
              <w:jc w:val="left"/>
            </w:pPr>
            <w:r>
              <w:rPr>
                <w:b w:val="false"/>
                <w:bCs w:val="false"/>
                <w:sz w:val="18"/>
                <w:szCs w:val="18"/>
              </w:rPr>
              <w:t xml:space="preserve">Finds invoices past their due date, derived from the client's agreed payment terms. Emails the client quoting the terms and how overdue the invoice is. Never chases a settled invoice. Records the send so a second run the same day does nothing.</w:t>
            </w:r>
          </w:p>
        </w:tc>
      </w:tr>
      <w:tr>
        <w:tc>
          <w:tcPr>
            <w:tcW w:type="dxa" w:w="2000"/>
            <w:tcMar>
              <w:top w:type="dxa" w:w="85"/>
              <w:left w:type="dxa" w:w="110"/>
              <w:bottom w:type="dxa" w:w="85"/>
              <w:right w:type="dxa" w:w="110"/>
            </w:tcMar>
          </w:tcPr>
          <w:p>
            <w:pPr>
              <w:jc w:val="left"/>
            </w:pPr>
            <w:r>
              <w:rPr>
                <w:b w:val="false"/>
                <w:bCs w:val="false"/>
                <w:sz w:val="18"/>
                <w:szCs w:val="18"/>
              </w:rPr>
              <w:t xml:space="preserve">Recycling SLA watch</w:t>
            </w:r>
          </w:p>
        </w:tc>
        <w:tc>
          <w:tcPr>
            <w:tcW w:type="dxa" w:w="1200"/>
            <w:tcMar>
              <w:top w:type="dxa" w:w="85"/>
              <w:left w:type="dxa" w:w="110"/>
              <w:bottom w:type="dxa" w:w="85"/>
              <w:right w:type="dxa" w:w="110"/>
            </w:tcMar>
          </w:tcPr>
          <w:p>
            <w:pPr>
              <w:jc w:val="left"/>
            </w:pPr>
            <w:r>
              <w:rPr>
                <w:b w:val="false"/>
                <w:bCs w:val="false"/>
                <w:sz w:val="18"/>
                <w:szCs w:val="18"/>
              </w:rPr>
              <w:t xml:space="preserve">Daily</w:t>
            </w:r>
          </w:p>
        </w:tc>
        <w:tc>
          <w:tcPr>
            <w:tcW w:type="dxa" w:w="6000"/>
            <w:tcMar>
              <w:top w:type="dxa" w:w="85"/>
              <w:left w:type="dxa" w:w="110"/>
              <w:bottom w:type="dxa" w:w="85"/>
              <w:right w:type="dxa" w:w="110"/>
            </w:tcMar>
          </w:tcPr>
          <w:p>
            <w:pPr>
              <w:jc w:val="left"/>
            </w:pPr>
            <w:r>
              <w:rPr>
                <w:b w:val="false"/>
                <w:bCs w:val="false"/>
                <w:sz w:val="18"/>
                <w:szCs w:val="18"/>
              </w:rPr>
              <w:t xml:space="preserve">Measures each invoice from its MRN receipt date against the thirty-day target. Raises an alert when it approaches or breaches. Alerts once per state change, not once per run.</w:t>
            </w:r>
          </w:p>
        </w:tc>
      </w:tr>
      <w:tr>
        <w:tc>
          <w:tcPr>
            <w:tcW w:type="dxa" w:w="2000"/>
            <w:tcMar>
              <w:top w:type="dxa" w:w="85"/>
              <w:left w:type="dxa" w:w="110"/>
              <w:bottom w:type="dxa" w:w="85"/>
              <w:right w:type="dxa" w:w="110"/>
            </w:tcMar>
          </w:tcPr>
          <w:p>
            <w:pPr>
              <w:jc w:val="left"/>
            </w:pPr>
            <w:r>
              <w:rPr>
                <w:b w:val="false"/>
                <w:bCs w:val="false"/>
                <w:sz w:val="18"/>
                <w:szCs w:val="18"/>
              </w:rPr>
              <w:t xml:space="preserve">Capacity alerts</w:t>
            </w:r>
          </w:p>
        </w:tc>
        <w:tc>
          <w:tcPr>
            <w:tcW w:type="dxa" w:w="1200"/>
            <w:tcMar>
              <w:top w:type="dxa" w:w="85"/>
              <w:left w:type="dxa" w:w="110"/>
              <w:bottom w:type="dxa" w:w="85"/>
              <w:right w:type="dxa" w:w="110"/>
            </w:tcMar>
          </w:tcPr>
          <w:p>
            <w:pPr>
              <w:jc w:val="left"/>
            </w:pPr>
            <w:r>
              <w:rPr>
                <w:b w:val="false"/>
                <w:bCs w:val="false"/>
                <w:sz w:val="18"/>
                <w:szCs w:val="18"/>
              </w:rPr>
              <w:t xml:space="preserve">Daily</w:t>
            </w:r>
          </w:p>
        </w:tc>
        <w:tc>
          <w:tcPr>
            <w:tcW w:type="dxa" w:w="6000"/>
            <w:tcMar>
              <w:top w:type="dxa" w:w="85"/>
              <w:left w:type="dxa" w:w="110"/>
              <w:bottom w:type="dxa" w:w="85"/>
              <w:right w:type="dxa" w:w="110"/>
            </w:tcMar>
          </w:tcPr>
          <w:p>
            <w:pPr>
              <w:jc w:val="left"/>
            </w:pPr>
            <w:r>
              <w:rPr>
                <w:b w:val="false"/>
                <w:bCs w:val="false"/>
                <w:sz w:val="18"/>
                <w:szCs w:val="18"/>
              </w:rPr>
              <w:t xml:space="preserve">Checks each facility's categories against its authorisation and alerts on eighty and one hundred per cent.</w:t>
            </w:r>
          </w:p>
        </w:tc>
      </w:tr>
      <w:tr>
        <w:tc>
          <w:tcPr>
            <w:tcW w:type="dxa" w:w="2000"/>
            <w:tcMar>
              <w:top w:type="dxa" w:w="85"/>
              <w:left w:type="dxa" w:w="110"/>
              <w:bottom w:type="dxa" w:w="85"/>
              <w:right w:type="dxa" w:w="110"/>
            </w:tcMar>
          </w:tcPr>
          <w:p>
            <w:pPr>
              <w:jc w:val="left"/>
            </w:pPr>
            <w:r>
              <w:rPr>
                <w:b w:val="false"/>
                <w:bCs w:val="false"/>
                <w:sz w:val="18"/>
                <w:szCs w:val="18"/>
              </w:rPr>
              <w:t xml:space="preserve">Retention sweep</w:t>
            </w:r>
          </w:p>
        </w:tc>
        <w:tc>
          <w:tcPr>
            <w:tcW w:type="dxa" w:w="1200"/>
            <w:tcMar>
              <w:top w:type="dxa" w:w="85"/>
              <w:left w:type="dxa" w:w="110"/>
              <w:bottom w:type="dxa" w:w="85"/>
              <w:right w:type="dxa" w:w="110"/>
            </w:tcMar>
          </w:tcPr>
          <w:p>
            <w:pPr>
              <w:jc w:val="left"/>
            </w:pPr>
            <w:r>
              <w:rPr>
                <w:b w:val="false"/>
                <w:bCs w:val="false"/>
                <w:sz w:val="18"/>
                <w:szCs w:val="18"/>
              </w:rPr>
              <w:t xml:space="preserve">Monthly</w:t>
            </w:r>
          </w:p>
        </w:tc>
        <w:tc>
          <w:tcPr>
            <w:tcW w:type="dxa" w:w="6000"/>
            <w:tcMar>
              <w:top w:type="dxa" w:w="85"/>
              <w:left w:type="dxa" w:w="110"/>
              <w:bottom w:type="dxa" w:w="85"/>
              <w:right w:type="dxa" w:w="110"/>
            </w:tcMar>
          </w:tcPr>
          <w:p>
            <w:pPr>
              <w:jc w:val="left"/>
            </w:pPr>
            <w:r>
              <w:rPr>
                <w:b w:val="false"/>
                <w:bCs w:val="false"/>
                <w:sz w:val="18"/>
                <w:szCs w:val="18"/>
              </w:rPr>
              <w:t xml:space="preserve">Deletes files and records past their retention window, and logs what was deleted.</w:t>
            </w:r>
          </w:p>
        </w:tc>
      </w:tr>
      <w:tr>
        <w:tc>
          <w:tcPr>
            <w:tcW w:type="dxa" w:w="2000"/>
            <w:tcMar>
              <w:top w:type="dxa" w:w="85"/>
              <w:left w:type="dxa" w:w="110"/>
              <w:bottom w:type="dxa" w:w="85"/>
              <w:right w:type="dxa" w:w="110"/>
            </w:tcMar>
          </w:tcPr>
          <w:p>
            <w:pPr>
              <w:jc w:val="left"/>
            </w:pPr>
            <w:r>
              <w:rPr>
                <w:b w:val="false"/>
                <w:bCs w:val="false"/>
                <w:sz w:val="18"/>
                <w:szCs w:val="18"/>
              </w:rPr>
              <w:t xml:space="preserve">Stage reconciliation</w:t>
            </w:r>
          </w:p>
        </w:tc>
        <w:tc>
          <w:tcPr>
            <w:tcW w:type="dxa" w:w="1200"/>
            <w:tcMar>
              <w:top w:type="dxa" w:w="85"/>
              <w:left w:type="dxa" w:w="110"/>
              <w:bottom w:type="dxa" w:w="85"/>
              <w:right w:type="dxa" w:w="110"/>
            </w:tcMar>
          </w:tcPr>
          <w:p>
            <w:pPr>
              <w:jc w:val="left"/>
            </w:pPr>
            <w:r>
              <w:rPr>
                <w:b w:val="false"/>
                <w:bCs w:val="false"/>
                <w:sz w:val="18"/>
                <w:szCs w:val="18"/>
              </w:rPr>
              <w:t xml:space="preserve">Daily</w:t>
            </w:r>
          </w:p>
        </w:tc>
        <w:tc>
          <w:tcPr>
            <w:tcW w:type="dxa" w:w="6000"/>
            <w:tcMar>
              <w:top w:type="dxa" w:w="85"/>
              <w:left w:type="dxa" w:w="110"/>
              <w:bottom w:type="dxa" w:w="85"/>
              <w:right w:type="dxa" w:w="110"/>
            </w:tcMar>
          </w:tcPr>
          <w:p>
            <w:pPr>
              <w:jc w:val="left"/>
            </w:pPr>
            <w:r>
              <w:rPr>
                <w:b w:val="false"/>
                <w:bCs w:val="false"/>
                <w:sz w:val="18"/>
                <w:szCs w:val="18"/>
              </w:rPr>
              <w:t xml:space="preserve">If a stored stage cache is kept, repairs drift and logs it.</w:t>
            </w:r>
          </w:p>
        </w:tc>
      </w:tr>
    </w:tbl>
    <w:p>
      <w:pPr>
        <w:spacing w:after="90" w:before="190"/>
      </w:pPr>
      <w:r>
        <w:rPr>
          <w:b/>
          <w:bCs/>
          <w:color w:val="3B6D11"/>
          <w:sz w:val="21"/>
          <w:szCs w:val="21"/>
        </w:rPr>
        <w:t xml:space="preserve">Operational requirements</w:t>
      </w:r>
    </w:p>
    <w:p>
      <w:pPr>
        <w:pStyle w:val="ListParagraph"/>
        <w:numPr>
          <w:ilvl w:val="0"/>
          <w:numId w:val="2"/>
        </w:numPr>
        <w:spacing w:after="55"/>
      </w:pPr>
      <w:r>
        <w:rPr>
          <w:sz w:val="21"/>
          <w:szCs w:val="21"/>
        </w:rPr>
        <w:t xml:space="preserve">Use a real scheduler — the platform's cron, or a job runner with a queue. Not a timer inside the web process.</w:t>
      </w:r>
    </w:p>
    <w:p>
      <w:pPr>
        <w:pStyle w:val="ListParagraph"/>
        <w:numPr>
          <w:ilvl w:val="0"/>
          <w:numId w:val="2"/>
        </w:numPr>
        <w:spacing w:after="55"/>
      </w:pPr>
      <w:r>
        <w:rPr>
          <w:sz w:val="21"/>
          <w:szCs w:val="21"/>
        </w:rPr>
        <w:t xml:space="preserve">Record each run: started, finished, records processed, errors</w:t>
      </w:r>
    </w:p>
    <w:p>
      <w:pPr>
        <w:pStyle w:val="ListParagraph"/>
        <w:numPr>
          <w:ilvl w:val="0"/>
          <w:numId w:val="2"/>
        </w:numPr>
        <w:spacing w:after="55"/>
      </w:pPr>
      <w:r>
        <w:rPr>
          <w:sz w:val="21"/>
          <w:szCs w:val="21"/>
        </w:rPr>
        <w:t xml:space="preserve">Alert an operator if a job fails or does not run</w:t>
      </w:r>
    </w:p>
    <w:p>
      <w:pPr>
        <w:pStyle w:val="ListParagraph"/>
        <w:numPr>
          <w:ilvl w:val="0"/>
          <w:numId w:val="2"/>
        </w:numPr>
        <w:spacing w:after="55"/>
      </w:pPr>
      <w:r>
        <w:rPr>
          <w:sz w:val="21"/>
          <w:szCs w:val="21"/>
        </w:rPr>
        <w:t xml:space="preserve">Every job must be runnable manually for testing, against a date the operator supplies</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Exit criteria — do not start the next phase until all of these are true</w:t>
            </w:r>
          </w:p>
          <w:p>
            <w:pPr>
              <w:spacing w:after="55"/>
            </w:pPr>
            <w:r>
              <w:rPr>
                <w:sz w:val="19"/>
                <w:szCs w:val="19"/>
              </w:rPr>
              <w:t xml:space="preserve">☐  Each job runs on schedule and is visible in a run log</w:t>
            </w:r>
          </w:p>
          <w:p>
            <w:pPr>
              <w:spacing w:after="55"/>
            </w:pPr>
            <w:r>
              <w:rPr>
                <w:sz w:val="19"/>
                <w:szCs w:val="19"/>
              </w:rPr>
              <w:t xml:space="preserve">☐  Running a job twice in one day produces no duplicate emails</w:t>
            </w:r>
          </w:p>
          <w:p>
            <w:pPr>
              <w:spacing w:after="55"/>
            </w:pPr>
            <w:r>
              <w:rPr>
                <w:sz w:val="19"/>
                <w:szCs w:val="19"/>
              </w:rPr>
              <w:t xml:space="preserve">☐  Payment reminders respect each client's own agreed terms</w:t>
            </w:r>
          </w:p>
          <w:p>
            <w:pPr>
              <w:spacing w:after="55"/>
            </w:pPr>
            <w:r>
              <w:rPr>
                <w:sz w:val="19"/>
                <w:szCs w:val="19"/>
              </w:rPr>
              <w:t xml:space="preserve">☐  SLA alerts fire once per state change, not repeatedly</w:t>
            </w:r>
          </w:p>
          <w:p>
            <w:pPr>
              <w:spacing w:after="55"/>
            </w:pPr>
            <w:r>
              <w:rPr>
                <w:sz w:val="19"/>
                <w:szCs w:val="19"/>
              </w:rPr>
              <w:t xml:space="preserve">☐  A failed job raises an alert to a named person</w:t>
            </w:r>
          </w:p>
        </w:tc>
      </w:tr>
    </w:tbl>
    <w:p>
      <w:r>
        <w:br w:type="page"/>
      </w:r>
    </w:p>
    <w:tbl>
      <w:tblPr>
        <w:tblW w:type="dxa" w:w="9200"/>
        <w:tblBorders>
          <w:top w:val="none"/>
          <w:left w:val="none"/>
          <w:bottom w:val="none"/>
          <w:right w:val="none"/>
          <w:insideH w:val="none"/>
          <w:insideV w:val="none"/>
        </w:tblBorders>
      </w:tblPr>
      <w:tblGrid>
        <w:gridCol w:w="1100"/>
        <w:gridCol w:w="5400"/>
        <w:gridCol w:w="1500"/>
        <w:gridCol w:w="1200"/>
      </w:tblGrid>
      <w:tr>
        <w:tc>
          <w:tcPr>
            <w:tcW w:type="dxa" w:w="1100"/>
            <w:shd w:fill="2A4D0C" w:color="auto" w:val="clear"/>
            <w:tcMar>
              <w:top w:type="dxa" w:w="150"/>
              <w:left w:type="dxa" w:w="100"/>
              <w:bottom w:type="dxa" w:w="150"/>
              <w:right w:type="dxa" w:w="100"/>
            </w:tcMar>
          </w:tcPr>
          <w:p>
            <w:pPr>
              <w:jc w:val="center"/>
            </w:pPr>
            <w:r>
              <w:rPr>
                <w:b/>
                <w:bCs/>
                <w:color w:val="FFFFFF"/>
                <w:sz w:val="14"/>
                <w:szCs w:val="14"/>
              </w:rPr>
              <w:t xml:space="preserve">PHASE</w:t>
            </w:r>
          </w:p>
          <w:p>
            <w:pPr>
              <w:jc w:val="center"/>
            </w:pPr>
            <w:r>
              <w:rPr>
                <w:b/>
                <w:bCs/>
                <w:color w:val="FFFFFF"/>
                <w:sz w:val="34"/>
                <w:szCs w:val="34"/>
              </w:rPr>
              <w:t xml:space="preserve">8</w:t>
            </w:r>
          </w:p>
        </w:tc>
        <w:tc>
          <w:tcPr>
            <w:tcW w:type="dxa" w:w="5400"/>
            <w:shd w:fill="3B6D11" w:color="auto" w:val="clear"/>
            <w:tcMar>
              <w:top w:type="dxa" w:w="150"/>
              <w:left w:type="dxa" w:w="190"/>
              <w:bottom w:type="dxa" w:w="150"/>
              <w:right w:type="dxa" w:w="120"/>
            </w:tcMar>
          </w:tcPr>
          <w:p>
            <w:r>
              <w:rPr>
                <w:b/>
                <w:bCs/>
                <w:color w:val="FFFFFF"/>
                <w:sz w:val="26"/>
                <w:szCs w:val="26"/>
              </w:rPr>
              <w:t xml:space="preserve">Reporting and analytics</w:t>
            </w:r>
          </w:p>
        </w:tc>
        <w:tc>
          <w:tcPr>
            <w:tcW w:type="dxa" w:w="1500"/>
            <w:shd w:fill="3B6D11" w:color="auto" w:val="clear"/>
            <w:tcMar>
              <w:top w:type="dxa" w:w="150"/>
              <w:left w:type="dxa" w:w="100"/>
              <w:bottom w:type="dxa" w:w="150"/>
              <w:right w:type="dxa" w:w="100"/>
            </w:tcMar>
          </w:tcPr>
          <w:p>
            <w:r>
              <w:rPr>
                <w:color w:val="C0DD97"/>
                <w:sz w:val="13"/>
                <w:szCs w:val="13"/>
              </w:rPr>
              <w:t xml:space="preserve">DURATION</w:t>
            </w:r>
          </w:p>
          <w:p>
            <w:r>
              <w:rPr>
                <w:b/>
                <w:bCs/>
                <w:color w:val="FFFFFF"/>
                <w:sz w:val="18"/>
                <w:szCs w:val="18"/>
              </w:rPr>
              <w:t xml:space="preserve">Weeks 9–12</w:t>
            </w:r>
          </w:p>
        </w:tc>
        <w:tc>
          <w:tcPr>
            <w:tcW w:type="dxa" w:w="1200"/>
            <w:shd w:fill="3B6D11" w:color="auto" w:val="clear"/>
            <w:tcMar>
              <w:top w:type="dxa" w:w="150"/>
              <w:left w:type="dxa" w:w="100"/>
              <w:bottom w:type="dxa" w:w="150"/>
              <w:right w:type="dxa" w:w="120"/>
            </w:tcMar>
          </w:tcPr>
          <w:p>
            <w:r>
              <w:rPr>
                <w:color w:val="C0DD97"/>
                <w:sz w:val="13"/>
                <w:szCs w:val="13"/>
              </w:rPr>
              <w:t xml:space="preserve">LEAD</w:t>
            </w:r>
          </w:p>
          <w:p>
            <w:r>
              <w:rPr>
                <w:b/>
                <w:bCs/>
                <w:color w:val="FFFFFF"/>
                <w:sz w:val="18"/>
                <w:szCs w:val="18"/>
              </w:rPr>
              <w:t xml:space="preserve">Partner</w:t>
            </w:r>
          </w:p>
        </w:tc>
      </w:tr>
    </w:tbl>
    <w:p>
      <w:pPr>
        <w:spacing w:after="110"/>
      </w:pPr>
      <w:r>
        <w:t xml:space="preserve"/>
      </w:r>
    </w:p>
    <w:p>
      <w:pPr>
        <w:spacing w:after="110"/>
        <w:jc w:val="left"/>
      </w:pPr>
      <w:r>
        <w:rPr>
          <w:sz w:val="21"/>
          <w:szCs w:val="21"/>
        </w:rPr>
        <w:t xml:space="preserve">Eight reports, each available over four period bases and filterable by site, exporting to CSV and PDF.</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3B6D11" w:color="auto" w:val="clear"/>
            <w:tcMar>
              <w:top w:type="dxa" w:w="85"/>
              <w:left w:type="dxa" w:w="110"/>
              <w:bottom w:type="dxa" w:w="85"/>
              <w:right w:type="dxa" w:w="110"/>
            </w:tcMar>
          </w:tcPr>
          <w:p>
            <w:pPr>
              <w:jc w:val="left"/>
            </w:pPr>
            <w:r>
              <w:rPr>
                <w:b/>
                <w:bCs/>
                <w:color w:val="FFFFFF"/>
                <w:sz w:val="18"/>
                <w:szCs w:val="18"/>
              </w:rPr>
              <w:t xml:space="preserve">Report</w:t>
            </w:r>
          </w:p>
        </w:tc>
        <w:tc>
          <w:tcPr>
            <w:tcW w:type="dxa" w:w="6800"/>
            <w:shd w:fill="3B6D11" w:color="auto" w:val="clear"/>
            <w:tcMar>
              <w:top w:type="dxa" w:w="85"/>
              <w:left w:type="dxa" w:w="110"/>
              <w:bottom w:type="dxa" w:w="85"/>
              <w:right w:type="dxa" w:w="110"/>
            </w:tcMar>
          </w:tcPr>
          <w:p>
            <w:pPr>
              <w:jc w:val="left"/>
            </w:pPr>
            <w:r>
              <w:rPr>
                <w:b/>
                <w:bCs/>
                <w:color w:val="FFFFFF"/>
                <w:sz w:val="18"/>
                <w:szCs w:val="18"/>
              </w:rPr>
              <w:t xml:space="preserve">Contains</w:t>
            </w:r>
          </w:p>
        </w:tc>
      </w:tr>
      <w:tr>
        <w:tc>
          <w:tcPr>
            <w:tcW w:type="dxa" w:w="2400"/>
            <w:tcMar>
              <w:top w:type="dxa" w:w="85"/>
              <w:left w:type="dxa" w:w="110"/>
              <w:bottom w:type="dxa" w:w="85"/>
              <w:right w:type="dxa" w:w="110"/>
            </w:tcMar>
          </w:tcPr>
          <w:p>
            <w:pPr>
              <w:jc w:val="left"/>
            </w:pPr>
            <w:r>
              <w:rPr>
                <w:b w:val="false"/>
                <w:bCs w:val="false"/>
                <w:sz w:val="18"/>
                <w:szCs w:val="18"/>
              </w:rPr>
              <w:t xml:space="preserve">Request summary</w:t>
            </w:r>
          </w:p>
        </w:tc>
        <w:tc>
          <w:tcPr>
            <w:tcW w:type="dxa" w:w="6800"/>
            <w:tcMar>
              <w:top w:type="dxa" w:w="85"/>
              <w:left w:type="dxa" w:w="110"/>
              <w:bottom w:type="dxa" w:w="85"/>
              <w:right w:type="dxa" w:w="110"/>
            </w:tcMar>
          </w:tcPr>
          <w:p>
            <w:pPr>
              <w:jc w:val="left"/>
            </w:pPr>
            <w:r>
              <w:rPr>
                <w:b w:val="false"/>
                <w:bCs w:val="false"/>
                <w:sz w:val="18"/>
                <w:szCs w:val="18"/>
              </w:rPr>
              <w:t xml:space="preserve">Every request with stage, weights and dates</w:t>
            </w:r>
          </w:p>
        </w:tc>
      </w:tr>
      <w:tr>
        <w:tc>
          <w:tcPr>
            <w:tcW w:type="dxa" w:w="2400"/>
            <w:tcMar>
              <w:top w:type="dxa" w:w="85"/>
              <w:left w:type="dxa" w:w="110"/>
              <w:bottom w:type="dxa" w:w="85"/>
              <w:right w:type="dxa" w:w="110"/>
            </w:tcMar>
          </w:tcPr>
          <w:p>
            <w:pPr>
              <w:jc w:val="left"/>
            </w:pPr>
            <w:r>
              <w:rPr>
                <w:b w:val="false"/>
                <w:bCs w:val="false"/>
                <w:sz w:val="18"/>
                <w:szCs w:val="18"/>
              </w:rPr>
              <w:t xml:space="preserve">Invoice register</w:t>
            </w:r>
          </w:p>
        </w:tc>
        <w:tc>
          <w:tcPr>
            <w:tcW w:type="dxa" w:w="6800"/>
            <w:tcMar>
              <w:top w:type="dxa" w:w="85"/>
              <w:left w:type="dxa" w:w="110"/>
              <w:bottom w:type="dxa" w:w="85"/>
              <w:right w:type="dxa" w:w="110"/>
            </w:tcMar>
          </w:tcPr>
          <w:p>
            <w:pPr>
              <w:jc w:val="left"/>
            </w:pPr>
            <w:r>
              <w:rPr>
                <w:b w:val="false"/>
                <w:bCs w:val="false"/>
                <w:sz w:val="18"/>
                <w:szCs w:val="18"/>
              </w:rPr>
              <w:t xml:space="preserve">Invoices with e-way bill, tax, payment status and outstanding</w:t>
            </w:r>
          </w:p>
        </w:tc>
      </w:tr>
      <w:tr>
        <w:tc>
          <w:tcPr>
            <w:tcW w:type="dxa" w:w="2400"/>
            <w:tcMar>
              <w:top w:type="dxa" w:w="85"/>
              <w:left w:type="dxa" w:w="110"/>
              <w:bottom w:type="dxa" w:w="85"/>
              <w:right w:type="dxa" w:w="110"/>
            </w:tcMar>
          </w:tcPr>
          <w:p>
            <w:pPr>
              <w:jc w:val="left"/>
            </w:pPr>
            <w:r>
              <w:rPr>
                <w:b w:val="false"/>
                <w:bCs w:val="false"/>
                <w:sz w:val="18"/>
                <w:szCs w:val="18"/>
              </w:rPr>
              <w:t xml:space="preserve">MRN register</w:t>
            </w:r>
          </w:p>
        </w:tc>
        <w:tc>
          <w:tcPr>
            <w:tcW w:type="dxa" w:w="6800"/>
            <w:tcMar>
              <w:top w:type="dxa" w:w="85"/>
              <w:left w:type="dxa" w:w="110"/>
              <w:bottom w:type="dxa" w:w="85"/>
              <w:right w:type="dxa" w:w="110"/>
            </w:tcMar>
          </w:tcPr>
          <w:p>
            <w:pPr>
              <w:jc w:val="left"/>
            </w:pPr>
            <w:r>
              <w:rPr>
                <w:b w:val="false"/>
                <w:bCs w:val="false"/>
                <w:sz w:val="18"/>
                <w:szCs w:val="18"/>
              </w:rPr>
              <w:t xml:space="preserve">Goods received by facility — staff only</w:t>
            </w:r>
          </w:p>
        </w:tc>
      </w:tr>
      <w:tr>
        <w:tc>
          <w:tcPr>
            <w:tcW w:type="dxa" w:w="2400"/>
            <w:tcMar>
              <w:top w:type="dxa" w:w="85"/>
              <w:left w:type="dxa" w:w="110"/>
              <w:bottom w:type="dxa" w:w="85"/>
              <w:right w:type="dxa" w:w="110"/>
            </w:tcMar>
          </w:tcPr>
          <w:p>
            <w:pPr>
              <w:jc w:val="left"/>
            </w:pPr>
            <w:r>
              <w:rPr>
                <w:b w:val="false"/>
                <w:bCs w:val="false"/>
                <w:sz w:val="18"/>
                <w:szCs w:val="18"/>
              </w:rPr>
              <w:t xml:space="preserve">Form 6 log</w:t>
            </w:r>
          </w:p>
        </w:tc>
        <w:tc>
          <w:tcPr>
            <w:tcW w:type="dxa" w:w="6800"/>
            <w:tcMar>
              <w:top w:type="dxa" w:w="85"/>
              <w:left w:type="dxa" w:w="110"/>
              <w:bottom w:type="dxa" w:w="85"/>
              <w:right w:type="dxa" w:w="110"/>
            </w:tcMar>
          </w:tcPr>
          <w:p>
            <w:pPr>
              <w:jc w:val="left"/>
            </w:pPr>
            <w:r>
              <w:rPr>
                <w:b w:val="false"/>
                <w:bCs w:val="false"/>
                <w:sz w:val="18"/>
                <w:szCs w:val="18"/>
              </w:rPr>
              <w:t xml:space="preserve">Processing records with categories</w:t>
            </w:r>
          </w:p>
        </w:tc>
      </w:tr>
      <w:tr>
        <w:tc>
          <w:tcPr>
            <w:tcW w:type="dxa" w:w="2400"/>
            <w:tcMar>
              <w:top w:type="dxa" w:w="85"/>
              <w:left w:type="dxa" w:w="110"/>
              <w:bottom w:type="dxa" w:w="85"/>
              <w:right w:type="dxa" w:w="110"/>
            </w:tcMar>
          </w:tcPr>
          <w:p>
            <w:pPr>
              <w:jc w:val="left"/>
            </w:pPr>
            <w:r>
              <w:rPr>
                <w:b w:val="false"/>
                <w:bCs w:val="false"/>
                <w:sz w:val="18"/>
                <w:szCs w:val="18"/>
              </w:rPr>
              <w:t xml:space="preserve">Certificate log</w:t>
            </w:r>
          </w:p>
        </w:tc>
        <w:tc>
          <w:tcPr>
            <w:tcW w:type="dxa" w:w="6800"/>
            <w:tcMar>
              <w:top w:type="dxa" w:w="85"/>
              <w:left w:type="dxa" w:w="110"/>
              <w:bottom w:type="dxa" w:w="85"/>
              <w:right w:type="dxa" w:w="110"/>
            </w:tcMar>
          </w:tcPr>
          <w:p>
            <w:pPr>
              <w:jc w:val="left"/>
            </w:pPr>
            <w:r>
              <w:rPr>
                <w:b w:val="false"/>
                <w:bCs w:val="false"/>
                <w:sz w:val="18"/>
                <w:szCs w:val="18"/>
              </w:rPr>
              <w:t xml:space="preserve">Certificates issued and closure status</w:t>
            </w:r>
          </w:p>
        </w:tc>
      </w:tr>
      <w:tr>
        <w:tc>
          <w:tcPr>
            <w:tcW w:type="dxa" w:w="2400"/>
            <w:tcMar>
              <w:top w:type="dxa" w:w="85"/>
              <w:left w:type="dxa" w:w="110"/>
              <w:bottom w:type="dxa" w:w="85"/>
              <w:right w:type="dxa" w:w="110"/>
            </w:tcMar>
          </w:tcPr>
          <w:p>
            <w:pPr>
              <w:jc w:val="left"/>
            </w:pPr>
            <w:r>
              <w:rPr>
                <w:b w:val="false"/>
                <w:bCs w:val="false"/>
                <w:sz w:val="18"/>
                <w:szCs w:val="18"/>
              </w:rPr>
              <w:t xml:space="preserve">Category recovery</w:t>
            </w:r>
          </w:p>
        </w:tc>
        <w:tc>
          <w:tcPr>
            <w:tcW w:type="dxa" w:w="6800"/>
            <w:tcMar>
              <w:top w:type="dxa" w:w="85"/>
              <w:left w:type="dxa" w:w="110"/>
              <w:bottom w:type="dxa" w:w="85"/>
              <w:right w:type="dxa" w:w="110"/>
            </w:tcMar>
          </w:tcPr>
          <w:p>
            <w:pPr>
              <w:jc w:val="left"/>
            </w:pPr>
            <w:r>
              <w:rPr>
                <w:b w:val="false"/>
                <w:bCs w:val="false"/>
                <w:sz w:val="18"/>
                <w:szCs w:val="18"/>
              </w:rPr>
              <w:t xml:space="preserve">Weight recovered against each authorised category</w:t>
            </w:r>
          </w:p>
        </w:tc>
      </w:tr>
      <w:tr>
        <w:tc>
          <w:tcPr>
            <w:tcW w:type="dxa" w:w="2400"/>
            <w:tcMar>
              <w:top w:type="dxa" w:w="85"/>
              <w:left w:type="dxa" w:w="110"/>
              <w:bottom w:type="dxa" w:w="85"/>
              <w:right w:type="dxa" w:w="110"/>
            </w:tcMar>
          </w:tcPr>
          <w:p>
            <w:pPr>
              <w:jc w:val="left"/>
            </w:pPr>
            <w:r>
              <w:rPr>
                <w:b w:val="false"/>
                <w:bCs w:val="false"/>
                <w:sz w:val="18"/>
                <w:szCs w:val="18"/>
              </w:rPr>
              <w:t xml:space="preserve">Sustainability</w:t>
            </w:r>
          </w:p>
        </w:tc>
        <w:tc>
          <w:tcPr>
            <w:tcW w:type="dxa" w:w="6800"/>
            <w:tcMar>
              <w:top w:type="dxa" w:w="85"/>
              <w:left w:type="dxa" w:w="110"/>
              <w:bottom w:type="dxa" w:w="85"/>
              <w:right w:type="dxa" w:w="110"/>
            </w:tcMar>
          </w:tcPr>
          <w:p>
            <w:pPr>
              <w:jc w:val="left"/>
            </w:pPr>
            <w:r>
              <w:rPr>
                <w:b w:val="false"/>
                <w:bCs w:val="false"/>
                <w:sz w:val="18"/>
                <w:szCs w:val="18"/>
              </w:rPr>
              <w:t xml:space="preserve">Environmental impact with methodology</w:t>
            </w:r>
          </w:p>
        </w:tc>
      </w:tr>
      <w:tr>
        <w:tc>
          <w:tcPr>
            <w:tcW w:type="dxa" w:w="2400"/>
            <w:tcMar>
              <w:top w:type="dxa" w:w="85"/>
              <w:left w:type="dxa" w:w="110"/>
              <w:bottom w:type="dxa" w:w="85"/>
              <w:right w:type="dxa" w:w="110"/>
            </w:tcMar>
          </w:tcPr>
          <w:p>
            <w:pPr>
              <w:jc w:val="left"/>
            </w:pPr>
            <w:r>
              <w:rPr>
                <w:b w:val="false"/>
                <w:bCs w:val="false"/>
                <w:sz w:val="18"/>
                <w:szCs w:val="18"/>
              </w:rPr>
              <w:t xml:space="preserve">Recycle Heroes</w:t>
            </w:r>
          </w:p>
        </w:tc>
        <w:tc>
          <w:tcPr>
            <w:tcW w:type="dxa" w:w="6800"/>
            <w:tcMar>
              <w:top w:type="dxa" w:w="85"/>
              <w:left w:type="dxa" w:w="110"/>
              <w:bottom w:type="dxa" w:w="85"/>
              <w:right w:type="dxa" w:w="110"/>
            </w:tcMar>
          </w:tcPr>
          <w:p>
            <w:pPr>
              <w:jc w:val="left"/>
            </w:pPr>
            <w:r>
              <w:rPr>
                <w:b w:val="false"/>
                <w:bCs w:val="false"/>
                <w:sz w:val="18"/>
                <w:szCs w:val="18"/>
              </w:rPr>
              <w:t xml:space="preserve">Tonnage and tree milestones</w:t>
            </w:r>
          </w:p>
        </w:tc>
      </w:tr>
    </w:tbl>
    <w:p>
      <w:pPr>
        <w:spacing w:after="90" w:before="190"/>
      </w:pPr>
      <w:r>
        <w:rPr>
          <w:b/>
          <w:bCs/>
          <w:color w:val="3B6D11"/>
          <w:sz w:val="21"/>
          <w:szCs w:val="21"/>
        </w:rPr>
        <w:t xml:space="preserve">Period handling</w:t>
      </w:r>
    </w:p>
    <w:p>
      <w:pPr>
        <w:pStyle w:val="ListParagraph"/>
        <w:numPr>
          <w:ilvl w:val="0"/>
          <w:numId w:val="2"/>
        </w:numPr>
        <w:spacing w:after="55"/>
      </w:pPr>
      <w:r>
        <w:rPr>
          <w:sz w:val="21"/>
          <w:szCs w:val="21"/>
        </w:rPr>
        <w:t xml:space="preserve">Financial year (April to March), calendar year, a custom date range, or all time</w:t>
      </w:r>
    </w:p>
    <w:p>
      <w:pPr>
        <w:pStyle w:val="ListParagraph"/>
        <w:numPr>
          <w:ilvl w:val="0"/>
          <w:numId w:val="2"/>
        </w:numPr>
        <w:spacing w:after="55"/>
      </w:pPr>
      <w:r>
        <w:rPr>
          <w:sz w:val="21"/>
          <w:szCs w:val="21"/>
        </w:rPr>
        <w:t xml:space="preserve">Site-wise filtering, plus a consolidated view for clients with several sites</w:t>
      </w:r>
    </w:p>
    <w:p>
      <w:pPr>
        <w:pStyle w:val="ListParagraph"/>
        <w:numPr>
          <w:ilvl w:val="0"/>
          <w:numId w:val="2"/>
        </w:numPr>
        <w:spacing w:after="55"/>
      </w:pPr>
      <w:r>
        <w:rPr>
          <w:sz w:val="21"/>
          <w:szCs w:val="21"/>
        </w:rPr>
        <w:t xml:space="preserve">The same period logic as the rest of the system — one helper, used everywhere</w:t>
      </w:r>
    </w:p>
    <w:p>
      <w:pPr>
        <w:spacing w:after="90" w:before="190"/>
      </w:pPr>
      <w:r>
        <w:rPr>
          <w:b/>
          <w:bCs/>
          <w:color w:val="3B6D11"/>
          <w:sz w:val="21"/>
          <w:szCs w:val="21"/>
        </w:rPr>
        <w:t xml:space="preserve">Performance</w:t>
      </w:r>
    </w:p>
    <w:p>
      <w:pPr>
        <w:pStyle w:val="ListParagraph"/>
        <w:numPr>
          <w:ilvl w:val="0"/>
          <w:numId w:val="2"/>
        </w:numPr>
        <w:spacing w:after="55"/>
      </w:pPr>
      <w:r>
        <w:rPr>
          <w:sz w:val="21"/>
          <w:szCs w:val="21"/>
        </w:rPr>
        <w:t xml:space="preserve">Reports must not be built by loading every record into memory. Aggregate in the database.</w:t>
      </w:r>
    </w:p>
    <w:p>
      <w:pPr>
        <w:pStyle w:val="ListParagraph"/>
        <w:numPr>
          <w:ilvl w:val="0"/>
          <w:numId w:val="2"/>
        </w:numPr>
        <w:spacing w:after="55"/>
      </w:pPr>
      <w:r>
        <w:rPr>
          <w:sz w:val="21"/>
          <w:szCs w:val="21"/>
        </w:rPr>
        <w:t xml:space="preserve">Long exports run as background jobs with a download link when ready</w:t>
      </w:r>
    </w:p>
    <w:p>
      <w:pPr>
        <w:pStyle w:val="ListParagraph"/>
        <w:numPr>
          <w:ilvl w:val="0"/>
          <w:numId w:val="2"/>
        </w:numPr>
        <w:spacing w:after="55"/>
      </w:pPr>
      <w:r>
        <w:rPr>
          <w:sz w:val="21"/>
          <w:szCs w:val="21"/>
        </w:rPr>
        <w:t xml:space="preserve">Index for the query patterns these reports use, and check the plans under realistic volume</w:t>
      </w:r>
    </w:p>
    <w:p>
      <w:pPr>
        <w:spacing w:after="90" w:before="190"/>
      </w:pPr>
      <w:r>
        <w:rPr>
          <w:b/>
          <w:bCs/>
          <w:color w:val="3B6D11"/>
          <w:sz w:val="21"/>
          <w:szCs w:val="21"/>
        </w:rPr>
        <w:t xml:space="preserve">Sustainability figures</w:t>
      </w:r>
    </w:p>
    <w:p>
      <w:pPr>
        <w:spacing w:after="110"/>
        <w:jc w:val="left"/>
      </w:pPr>
      <w:r>
        <w:rPr>
          <w:sz w:val="21"/>
          <w:szCs w:val="21"/>
        </w:rPr>
        <w:t xml:space="preserve">Counted only from invoices where a certificate has been issued and the client has acknowledged closure. Conversion factors are documented in the methodology PDF and must be configurable, because the factors will be revised.</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Exit criteria — do not start the next phase until all of these are true</w:t>
            </w:r>
          </w:p>
          <w:p>
            <w:pPr>
              <w:spacing w:after="55"/>
            </w:pPr>
            <w:r>
              <w:rPr>
                <w:sz w:val="19"/>
                <w:szCs w:val="19"/>
              </w:rPr>
              <w:t xml:space="preserve">☐  All eight reports return correct figures against a known data set</w:t>
            </w:r>
          </w:p>
          <w:p>
            <w:pPr>
              <w:spacing w:after="55"/>
            </w:pPr>
            <w:r>
              <w:rPr>
                <w:sz w:val="19"/>
                <w:szCs w:val="19"/>
              </w:rPr>
              <w:t xml:space="preserve">☐  Every period mode produces the right boundaries, including 31 March and 1 April</w:t>
            </w:r>
          </w:p>
          <w:p>
            <w:pPr>
              <w:spacing w:after="55"/>
            </w:pPr>
            <w:r>
              <w:rPr>
                <w:sz w:val="19"/>
                <w:szCs w:val="19"/>
              </w:rPr>
              <w:t xml:space="preserve">☐  Site filtering and consolidation both work for a multi-site client</w:t>
            </w:r>
          </w:p>
          <w:p>
            <w:pPr>
              <w:spacing w:after="55"/>
            </w:pPr>
            <w:r>
              <w:rPr>
                <w:sz w:val="19"/>
                <w:szCs w:val="19"/>
              </w:rPr>
              <w:t xml:space="preserve">☐  CSV and PDF export work for every report</w:t>
            </w:r>
          </w:p>
          <w:p>
            <w:pPr>
              <w:spacing w:after="55"/>
            </w:pPr>
            <w:r>
              <w:rPr>
                <w:sz w:val="19"/>
                <w:szCs w:val="19"/>
              </w:rPr>
              <w:t xml:space="preserve">☐  A report over 5,000 submissions returns within the agreed performance target</w:t>
            </w:r>
          </w:p>
          <w:p>
            <w:pPr>
              <w:spacing w:after="55"/>
            </w:pPr>
            <w:r>
              <w:rPr>
                <w:sz w:val="19"/>
                <w:szCs w:val="19"/>
              </w:rPr>
              <w:t xml:space="preserve">☐  Sustainability figures reconcile to the methodology document</w:t>
            </w:r>
          </w:p>
        </w:tc>
      </w:tr>
    </w:tbl>
    <w:p>
      <w:r>
        <w:br w:type="page"/>
      </w:r>
    </w:p>
    <w:tbl>
      <w:tblPr>
        <w:tblW w:type="dxa" w:w="9200"/>
        <w:tblBorders>
          <w:top w:val="none"/>
          <w:left w:val="none"/>
          <w:bottom w:val="none"/>
          <w:right w:val="none"/>
          <w:insideH w:val="none"/>
          <w:insideV w:val="none"/>
        </w:tblBorders>
      </w:tblPr>
      <w:tblGrid>
        <w:gridCol w:w="1100"/>
        <w:gridCol w:w="5400"/>
        <w:gridCol w:w="1500"/>
        <w:gridCol w:w="1200"/>
      </w:tblGrid>
      <w:tr>
        <w:tc>
          <w:tcPr>
            <w:tcW w:type="dxa" w:w="1100"/>
            <w:shd w:fill="2A4D0C" w:color="auto" w:val="clear"/>
            <w:tcMar>
              <w:top w:type="dxa" w:w="150"/>
              <w:left w:type="dxa" w:w="100"/>
              <w:bottom w:type="dxa" w:w="150"/>
              <w:right w:type="dxa" w:w="100"/>
            </w:tcMar>
          </w:tcPr>
          <w:p>
            <w:pPr>
              <w:jc w:val="center"/>
            </w:pPr>
            <w:r>
              <w:rPr>
                <w:b/>
                <w:bCs/>
                <w:color w:val="FFFFFF"/>
                <w:sz w:val="14"/>
                <w:szCs w:val="14"/>
              </w:rPr>
              <w:t xml:space="preserve">PHASE</w:t>
            </w:r>
          </w:p>
          <w:p>
            <w:pPr>
              <w:jc w:val="center"/>
            </w:pPr>
            <w:r>
              <w:rPr>
                <w:b/>
                <w:bCs/>
                <w:color w:val="FFFFFF"/>
                <w:sz w:val="34"/>
                <w:szCs w:val="34"/>
              </w:rPr>
              <w:t xml:space="preserve">9</w:t>
            </w:r>
          </w:p>
        </w:tc>
        <w:tc>
          <w:tcPr>
            <w:tcW w:type="dxa" w:w="5400"/>
            <w:shd w:fill="3B6D11" w:color="auto" w:val="clear"/>
            <w:tcMar>
              <w:top w:type="dxa" w:w="150"/>
              <w:left w:type="dxa" w:w="190"/>
              <w:bottom w:type="dxa" w:w="150"/>
              <w:right w:type="dxa" w:w="120"/>
            </w:tcMar>
          </w:tcPr>
          <w:p>
            <w:r>
              <w:rPr>
                <w:b/>
                <w:bCs/>
                <w:color w:val="FFFFFF"/>
                <w:sz w:val="26"/>
                <w:szCs w:val="26"/>
              </w:rPr>
              <w:t xml:space="preserve">Security hardening and DPDPA</w:t>
            </w:r>
          </w:p>
        </w:tc>
        <w:tc>
          <w:tcPr>
            <w:tcW w:type="dxa" w:w="1500"/>
            <w:shd w:fill="3B6D11" w:color="auto" w:val="clear"/>
            <w:tcMar>
              <w:top w:type="dxa" w:w="150"/>
              <w:left w:type="dxa" w:w="100"/>
              <w:bottom w:type="dxa" w:w="150"/>
              <w:right w:type="dxa" w:w="100"/>
            </w:tcMar>
          </w:tcPr>
          <w:p>
            <w:r>
              <w:rPr>
                <w:color w:val="C0DD97"/>
                <w:sz w:val="13"/>
                <w:szCs w:val="13"/>
              </w:rPr>
              <w:t xml:space="preserve">DURATION</w:t>
            </w:r>
          </w:p>
          <w:p>
            <w:r>
              <w:rPr>
                <w:b/>
                <w:bCs/>
                <w:color w:val="FFFFFF"/>
                <w:sz w:val="18"/>
                <w:szCs w:val="18"/>
              </w:rPr>
              <w:t xml:space="preserve">Weeks 10–13</w:t>
            </w:r>
          </w:p>
        </w:tc>
        <w:tc>
          <w:tcPr>
            <w:tcW w:type="dxa" w:w="1200"/>
            <w:shd w:fill="3B6D11" w:color="auto" w:val="clear"/>
            <w:tcMar>
              <w:top w:type="dxa" w:w="150"/>
              <w:left w:type="dxa" w:w="100"/>
              <w:bottom w:type="dxa" w:w="150"/>
              <w:right w:type="dxa" w:w="120"/>
            </w:tcMar>
          </w:tcPr>
          <w:p>
            <w:r>
              <w:rPr>
                <w:color w:val="C0DD97"/>
                <w:sz w:val="13"/>
                <w:szCs w:val="13"/>
              </w:rPr>
              <w:t xml:space="preserve">LEAD</w:t>
            </w:r>
          </w:p>
          <w:p>
            <w:r>
              <w:rPr>
                <w:b/>
                <w:bCs/>
                <w:color w:val="FFFFFF"/>
                <w:sz w:val="18"/>
                <w:szCs w:val="18"/>
              </w:rPr>
              <w:t xml:space="preserve">Partner + auditor</w:t>
            </w:r>
          </w:p>
        </w:tc>
      </w:tr>
    </w:tbl>
    <w:p>
      <w:pPr>
        <w:spacing w:after="110"/>
      </w:pPr>
      <w:r>
        <w:t xml:space="preserve"/>
      </w:r>
    </w:p>
    <w:p>
      <w:pPr>
        <w:spacing w:after="110"/>
        <w:jc w:val="left"/>
      </w:pPr>
      <w:r>
        <w:rPr>
          <w:sz w:val="21"/>
          <w:szCs w:val="21"/>
        </w:rPr>
        <w:t xml:space="preserve">This phase is routinely compressed when a deadline tightens. It should not be. The platform holds client personal data, commercial terms and compliance records, and Urbeno is accountable for all three.</w:t>
      </w:r>
    </w:p>
    <w:p>
      <w:pPr>
        <w:spacing w:after="90" w:before="190"/>
      </w:pPr>
      <w:r>
        <w:rPr>
          <w:b/>
          <w:bCs/>
          <w:color w:val="3B6D11"/>
          <w:sz w:val="21"/>
          <w:szCs w:val="21"/>
        </w:rPr>
        <w:t xml:space="preserve">Application security</w:t>
      </w:r>
    </w:p>
    <w:p>
      <w:pPr>
        <w:pStyle w:val="ListParagraph"/>
        <w:numPr>
          <w:ilvl w:val="0"/>
          <w:numId w:val="2"/>
        </w:numPr>
        <w:spacing w:after="55"/>
      </w:pPr>
      <w:r>
        <w:rPr>
          <w:sz w:val="21"/>
          <w:szCs w:val="21"/>
        </w:rPr>
        <w:t xml:space="preserve">OWASP Top 10 review with findings recorded and closed</w:t>
      </w:r>
    </w:p>
    <w:p>
      <w:pPr>
        <w:pStyle w:val="ListParagraph"/>
        <w:numPr>
          <w:ilvl w:val="0"/>
          <w:numId w:val="2"/>
        </w:numPr>
        <w:spacing w:after="55"/>
      </w:pPr>
      <w:r>
        <w:rPr>
          <w:sz w:val="21"/>
          <w:szCs w:val="21"/>
        </w:rPr>
        <w:t xml:space="preserve">Rate limiting on authentication, password reset, search and export</w:t>
      </w:r>
    </w:p>
    <w:p>
      <w:pPr>
        <w:pStyle w:val="ListParagraph"/>
        <w:numPr>
          <w:ilvl w:val="0"/>
          <w:numId w:val="2"/>
        </w:numPr>
        <w:spacing w:after="55"/>
      </w:pPr>
      <w:r>
        <w:rPr>
          <w:sz w:val="21"/>
          <w:szCs w:val="21"/>
        </w:rPr>
        <w:t xml:space="preserve">Input validation on every endpoint; output encoding on every rendered value</w:t>
      </w:r>
    </w:p>
    <w:p>
      <w:pPr>
        <w:pStyle w:val="ListParagraph"/>
        <w:numPr>
          <w:ilvl w:val="0"/>
          <w:numId w:val="2"/>
        </w:numPr>
        <w:spacing w:after="55"/>
      </w:pPr>
      <w:r>
        <w:rPr>
          <w:sz w:val="21"/>
          <w:szCs w:val="21"/>
        </w:rPr>
        <w:t xml:space="preserve">Security headers: HSTS, content security policy, frame options, referrer policy</w:t>
      </w:r>
    </w:p>
    <w:p>
      <w:pPr>
        <w:pStyle w:val="ListParagraph"/>
        <w:numPr>
          <w:ilvl w:val="0"/>
          <w:numId w:val="2"/>
        </w:numPr>
        <w:spacing w:after="55"/>
      </w:pPr>
      <w:r>
        <w:rPr>
          <w:sz w:val="21"/>
          <w:szCs w:val="21"/>
        </w:rPr>
        <w:t xml:space="preserve">Dependency scanning in the pipeline, with a policy for how quickly a critical finding is patched</w:t>
      </w:r>
    </w:p>
    <w:p>
      <w:pPr>
        <w:pStyle w:val="ListParagraph"/>
        <w:numPr>
          <w:ilvl w:val="0"/>
          <w:numId w:val="2"/>
        </w:numPr>
        <w:spacing w:after="55"/>
      </w:pPr>
      <w:r>
        <w:rPr>
          <w:sz w:val="21"/>
          <w:szCs w:val="21"/>
        </w:rPr>
        <w:t xml:space="preserve">No secrets in source, logs or error messages</w:t>
      </w:r>
    </w:p>
    <w:p>
      <w:pPr>
        <w:spacing w:after="90" w:before="190"/>
      </w:pPr>
      <w:r>
        <w:rPr>
          <w:b/>
          <w:bCs/>
          <w:color w:val="3B6D11"/>
          <w:sz w:val="21"/>
          <w:szCs w:val="21"/>
        </w:rPr>
        <w:t xml:space="preserve">Data protection under the DPDPA</w:t>
      </w:r>
    </w:p>
    <w:p>
      <w:pPr>
        <w:pStyle w:val="ListParagraph"/>
        <w:numPr>
          <w:ilvl w:val="0"/>
          <w:numId w:val="2"/>
        </w:numPr>
        <w:spacing w:after="55"/>
      </w:pPr>
      <w:r>
        <w:rPr>
          <w:sz w:val="21"/>
          <w:szCs w:val="21"/>
        </w:rPr>
        <w:t xml:space="preserve">Consent captured at first login, with the version and timestamp recorded</w:t>
      </w:r>
    </w:p>
    <w:p>
      <w:pPr>
        <w:pStyle w:val="ListParagraph"/>
        <w:numPr>
          <w:ilvl w:val="0"/>
          <w:numId w:val="2"/>
        </w:numPr>
        <w:spacing w:after="55"/>
      </w:pPr>
      <w:r>
        <w:rPr>
          <w:sz w:val="21"/>
          <w:szCs w:val="21"/>
        </w:rPr>
        <w:t xml:space="preserve">A privacy notice that names what is collected and why</w:t>
      </w:r>
    </w:p>
    <w:p>
      <w:pPr>
        <w:pStyle w:val="ListParagraph"/>
        <w:numPr>
          <w:ilvl w:val="0"/>
          <w:numId w:val="2"/>
        </w:numPr>
        <w:spacing w:after="55"/>
      </w:pPr>
      <w:r>
        <w:rPr>
          <w:sz w:val="21"/>
          <w:szCs w:val="21"/>
        </w:rPr>
        <w:t xml:space="preserve">Data subject access and erasure processes, with a documented route for handling a request</w:t>
      </w:r>
    </w:p>
    <w:p>
      <w:pPr>
        <w:pStyle w:val="ListParagraph"/>
        <w:numPr>
          <w:ilvl w:val="0"/>
          <w:numId w:val="2"/>
        </w:numPr>
        <w:spacing w:after="55"/>
      </w:pPr>
      <w:r>
        <w:rPr>
          <w:sz w:val="21"/>
          <w:szCs w:val="21"/>
        </w:rPr>
        <w:t xml:space="preserve">Breach notification procedure with named responsibilities and timelines</w:t>
      </w:r>
    </w:p>
    <w:p>
      <w:pPr>
        <w:pStyle w:val="ListParagraph"/>
        <w:numPr>
          <w:ilvl w:val="0"/>
          <w:numId w:val="2"/>
        </w:numPr>
        <w:spacing w:after="55"/>
      </w:pPr>
      <w:r>
        <w:rPr>
          <w:sz w:val="21"/>
          <w:szCs w:val="21"/>
        </w:rPr>
        <w:t xml:space="preserve">Data residency confirmed and evidenced — nothing leaves India, including backups and logs</w:t>
      </w:r>
    </w:p>
    <w:p>
      <w:pPr>
        <w:pStyle w:val="ListParagraph"/>
        <w:numPr>
          <w:ilvl w:val="0"/>
          <w:numId w:val="2"/>
        </w:numPr>
        <w:spacing w:after="55"/>
      </w:pPr>
      <w:r>
        <w:rPr>
          <w:sz w:val="21"/>
          <w:szCs w:val="21"/>
        </w:rPr>
        <w:t xml:space="preserve">A processing record listing every category of personal data held and its retention period</w:t>
      </w:r>
    </w:p>
    <w:p>
      <w:pPr>
        <w:spacing w:after="90" w:before="190"/>
      </w:pPr>
      <w:r>
        <w:rPr>
          <w:b/>
          <w:bCs/>
          <w:color w:val="3B6D11"/>
          <w:sz w:val="21"/>
          <w:szCs w:val="21"/>
        </w:rPr>
        <w:t xml:space="preserve">Third-party audit</w:t>
      </w:r>
    </w:p>
    <w:p>
      <w:pPr>
        <w:pStyle w:val="ListParagraph"/>
        <w:numPr>
          <w:ilvl w:val="0"/>
          <w:numId w:val="2"/>
        </w:numPr>
        <w:spacing w:after="55"/>
      </w:pPr>
      <w:r>
        <w:rPr>
          <w:sz w:val="21"/>
          <w:szCs w:val="21"/>
        </w:rPr>
        <w:t xml:space="preserve">Independent penetration test, booked in Phase 0</w:t>
      </w:r>
    </w:p>
    <w:p>
      <w:pPr>
        <w:pStyle w:val="ListParagraph"/>
        <w:numPr>
          <w:ilvl w:val="0"/>
          <w:numId w:val="2"/>
        </w:numPr>
        <w:spacing w:after="55"/>
      </w:pPr>
      <w:r>
        <w:rPr>
          <w:sz w:val="21"/>
          <w:szCs w:val="21"/>
        </w:rPr>
        <w:t xml:space="preserve">Findings triaged with owners and dates</w:t>
      </w:r>
    </w:p>
    <w:p>
      <w:pPr>
        <w:pStyle w:val="ListParagraph"/>
        <w:numPr>
          <w:ilvl w:val="0"/>
          <w:numId w:val="2"/>
        </w:numPr>
        <w:spacing w:after="55"/>
      </w:pPr>
      <w:r>
        <w:rPr>
          <w:sz w:val="21"/>
          <w:szCs w:val="21"/>
        </w:rPr>
        <w:t xml:space="preserve">Critical and high findings closed before go-live; medium findings scheduled</w:t>
      </w:r>
    </w:p>
    <w:p>
      <w:pPr>
        <w:pStyle w:val="ListParagraph"/>
        <w:numPr>
          <w:ilvl w:val="0"/>
          <w:numId w:val="2"/>
        </w:numPr>
        <w:spacing w:after="55"/>
      </w:pPr>
      <w:r>
        <w:rPr>
          <w:sz w:val="21"/>
          <w:szCs w:val="21"/>
        </w:rPr>
        <w:t xml:space="preserve">A retest confirming closure</w:t>
      </w:r>
    </w:p>
    <w:p>
      <w:pPr>
        <w:spacing w:after="110"/>
      </w:pPr>
      <w:r>
        <w:t xml:space="preserve"/>
      </w:r>
    </w:p>
    <w:tbl>
      <w:tblPr>
        <w:tblW w:type="dxa" w:w="9200"/>
        <w:tblBorders>
          <w:top w:val="single" w:color="FCD34D" w:sz="6"/>
          <w:left w:val="single" w:color="FCD34D" w:sz="6"/>
          <w:bottom w:val="single" w:color="FCD34D" w:sz="6"/>
          <w:right w:val="single" w:color="FCD34D" w:sz="6"/>
          <w:insideH w:val="none"/>
          <w:insideV w:val="none"/>
        </w:tblBorders>
      </w:tblPr>
      <w:tblGrid>
        <w:gridCol w:w="9200"/>
      </w:tblGrid>
      <w:tr>
        <w:tc>
          <w:tcPr>
            <w:tcW w:type="dxa" w:w="9200"/>
            <w:shd w:fill="FEF3C7" w:color="auto" w:val="clear"/>
            <w:tcMar>
              <w:top w:type="dxa" w:w="170"/>
              <w:left w:type="dxa" w:w="190"/>
              <w:bottom w:type="dxa" w:w="170"/>
              <w:right w:type="dxa" w:w="190"/>
            </w:tcMar>
          </w:tcPr>
          <w:p>
            <w:pPr>
              <w:spacing w:after="70"/>
            </w:pPr>
            <w:r>
              <w:rPr>
                <w:b/>
                <w:bCs/>
                <w:color w:val="2A4D0C"/>
                <w:sz w:val="21"/>
                <w:szCs w:val="21"/>
              </w:rPr>
              <w:t xml:space="preserve">The isolation test to insist on</w:t>
            </w:r>
          </w:p>
          <w:p>
            <w:pPr>
              <w:spacing w:after="55"/>
            </w:pPr>
            <w:r>
              <w:rPr>
                <w:sz w:val="19"/>
                <w:szCs w:val="19"/>
              </w:rPr>
              <w:t xml:space="preserve">Ask the auditor specifically to attempt cross-tenant access: authenticated as one client, reach another client's submission, invoice, certificate or file by direct identifier and by manipulated request. This is the failure that would end a corporate contract, and it is the one worth paying to have tried properly.</w:t>
            </w:r>
          </w:p>
        </w:tc>
      </w:tr>
    </w:tbl>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Exit criteria — do not start the next phase until all of these are true</w:t>
            </w:r>
          </w:p>
          <w:p>
            <w:pPr>
              <w:spacing w:after="55"/>
            </w:pPr>
            <w:r>
              <w:rPr>
                <w:sz w:val="19"/>
                <w:szCs w:val="19"/>
              </w:rPr>
              <w:t xml:space="preserve">☐  Penetration test complete, with critical and high findings closed and retested</w:t>
            </w:r>
          </w:p>
          <w:p>
            <w:pPr>
              <w:spacing w:after="55"/>
            </w:pPr>
            <w:r>
              <w:rPr>
                <w:sz w:val="19"/>
                <w:szCs w:val="19"/>
              </w:rPr>
              <w:t xml:space="preserve">☐  Cross-tenant access attempts fail and are logged</w:t>
            </w:r>
          </w:p>
          <w:p>
            <w:pPr>
              <w:spacing w:after="55"/>
            </w:pPr>
            <w:r>
              <w:rPr>
                <w:sz w:val="19"/>
                <w:szCs w:val="19"/>
              </w:rPr>
              <w:t xml:space="preserve">☐  DPDPA documentation complete and reviewed by counsel</w:t>
            </w:r>
          </w:p>
          <w:p>
            <w:pPr>
              <w:spacing w:after="55"/>
            </w:pPr>
            <w:r>
              <w:rPr>
                <w:sz w:val="19"/>
                <w:szCs w:val="19"/>
              </w:rPr>
              <w:t xml:space="preserve">☐  Data residency evidenced for the database, object storage, backups and logs</w:t>
            </w:r>
          </w:p>
          <w:p>
            <w:pPr>
              <w:spacing w:after="55"/>
            </w:pPr>
            <w:r>
              <w:rPr>
                <w:sz w:val="19"/>
                <w:szCs w:val="19"/>
              </w:rPr>
              <w:t xml:space="preserve">☐  Dependency scanning runs in the pipeline with a patching policy</w:t>
            </w:r>
          </w:p>
          <w:p>
            <w:pPr>
              <w:spacing w:after="55"/>
            </w:pPr>
            <w:r>
              <w:rPr>
                <w:sz w:val="19"/>
                <w:szCs w:val="19"/>
              </w:rPr>
              <w:t xml:space="preserve">☐  An incident response procedure exists with named owners</w:t>
            </w:r>
          </w:p>
        </w:tc>
      </w:tr>
    </w:tbl>
    <w:p>
      <w:r>
        <w:br w:type="page"/>
      </w:r>
    </w:p>
    <w:tbl>
      <w:tblPr>
        <w:tblW w:type="dxa" w:w="9200"/>
        <w:tblBorders>
          <w:top w:val="none"/>
          <w:left w:val="none"/>
          <w:bottom w:val="none"/>
          <w:right w:val="none"/>
          <w:insideH w:val="none"/>
          <w:insideV w:val="none"/>
        </w:tblBorders>
      </w:tblPr>
      <w:tblGrid>
        <w:gridCol w:w="1100"/>
        <w:gridCol w:w="5400"/>
        <w:gridCol w:w="1500"/>
        <w:gridCol w:w="1200"/>
      </w:tblGrid>
      <w:tr>
        <w:tc>
          <w:tcPr>
            <w:tcW w:type="dxa" w:w="1100"/>
            <w:shd w:fill="2A4D0C" w:color="auto" w:val="clear"/>
            <w:tcMar>
              <w:top w:type="dxa" w:w="150"/>
              <w:left w:type="dxa" w:w="100"/>
              <w:bottom w:type="dxa" w:w="150"/>
              <w:right w:type="dxa" w:w="100"/>
            </w:tcMar>
          </w:tcPr>
          <w:p>
            <w:pPr>
              <w:jc w:val="center"/>
            </w:pPr>
            <w:r>
              <w:rPr>
                <w:b/>
                <w:bCs/>
                <w:color w:val="FFFFFF"/>
                <w:sz w:val="14"/>
                <w:szCs w:val="14"/>
              </w:rPr>
              <w:t xml:space="preserve">PHASE</w:t>
            </w:r>
          </w:p>
          <w:p>
            <w:pPr>
              <w:jc w:val="center"/>
            </w:pPr>
            <w:r>
              <w:rPr>
                <w:b/>
                <w:bCs/>
                <w:color w:val="FFFFFF"/>
                <w:sz w:val="34"/>
                <w:szCs w:val="34"/>
              </w:rPr>
              <w:t xml:space="preserve">10</w:t>
            </w:r>
          </w:p>
        </w:tc>
        <w:tc>
          <w:tcPr>
            <w:tcW w:type="dxa" w:w="5400"/>
            <w:shd w:fill="3B6D11" w:color="auto" w:val="clear"/>
            <w:tcMar>
              <w:top w:type="dxa" w:w="150"/>
              <w:left w:type="dxa" w:w="190"/>
              <w:bottom w:type="dxa" w:w="150"/>
              <w:right w:type="dxa" w:w="120"/>
            </w:tcMar>
          </w:tcPr>
          <w:p>
            <w:r>
              <w:rPr>
                <w:b/>
                <w:bCs/>
                <w:color w:val="FFFFFF"/>
                <w:sz w:val="26"/>
                <w:szCs w:val="26"/>
              </w:rPr>
              <w:t xml:space="preserve">Data migration and UAT</w:t>
            </w:r>
          </w:p>
        </w:tc>
        <w:tc>
          <w:tcPr>
            <w:tcW w:type="dxa" w:w="1500"/>
            <w:shd w:fill="3B6D11" w:color="auto" w:val="clear"/>
            <w:tcMar>
              <w:top w:type="dxa" w:w="150"/>
              <w:left w:type="dxa" w:w="100"/>
              <w:bottom w:type="dxa" w:w="150"/>
              <w:right w:type="dxa" w:w="100"/>
            </w:tcMar>
          </w:tcPr>
          <w:p>
            <w:r>
              <w:rPr>
                <w:color w:val="C0DD97"/>
                <w:sz w:val="13"/>
                <w:szCs w:val="13"/>
              </w:rPr>
              <w:t xml:space="preserve">DURATION</w:t>
            </w:r>
          </w:p>
          <w:p>
            <w:r>
              <w:rPr>
                <w:b/>
                <w:bCs/>
                <w:color w:val="FFFFFF"/>
                <w:sz w:val="18"/>
                <w:szCs w:val="18"/>
              </w:rPr>
              <w:t xml:space="preserve">Weeks 12–14</w:t>
            </w:r>
          </w:p>
        </w:tc>
        <w:tc>
          <w:tcPr>
            <w:tcW w:type="dxa" w:w="1200"/>
            <w:shd w:fill="3B6D11" w:color="auto" w:val="clear"/>
            <w:tcMar>
              <w:top w:type="dxa" w:w="150"/>
              <w:left w:type="dxa" w:w="100"/>
              <w:bottom w:type="dxa" w:w="150"/>
              <w:right w:type="dxa" w:w="120"/>
            </w:tcMar>
          </w:tcPr>
          <w:p>
            <w:r>
              <w:rPr>
                <w:color w:val="C0DD97"/>
                <w:sz w:val="13"/>
                <w:szCs w:val="13"/>
              </w:rPr>
              <w:t xml:space="preserve">LEAD</w:t>
            </w:r>
          </w:p>
          <w:p>
            <w:r>
              <w:rPr>
                <w:b/>
                <w:bCs/>
                <w:color w:val="FFFFFF"/>
                <w:sz w:val="18"/>
                <w:szCs w:val="18"/>
              </w:rPr>
              <w:t xml:space="preserve">Urbeno + Partner</w:t>
            </w:r>
          </w:p>
        </w:tc>
      </w:tr>
    </w:tbl>
    <w:p>
      <w:pPr>
        <w:spacing w:after="110"/>
      </w:pPr>
      <w:r>
        <w:t xml:space="preserve"/>
      </w:r>
    </w:p>
    <w:p>
      <w:pPr>
        <w:spacing w:after="110"/>
        <w:jc w:val="left"/>
      </w:pPr>
      <w:r>
        <w:rPr>
          <w:sz w:val="21"/>
          <w:szCs w:val="21"/>
        </w:rPr>
        <w:t xml:space="preserve">Two strands: getting real history in, and getting the people who will use it to confirm it works.</w:t>
      </w:r>
    </w:p>
    <w:p>
      <w:pPr>
        <w:spacing w:after="90" w:before="190"/>
      </w:pPr>
      <w:r>
        <w:rPr>
          <w:b/>
          <w:bCs/>
          <w:color w:val="3B6D11"/>
          <w:sz w:val="21"/>
          <w:szCs w:val="21"/>
        </w:rPr>
        <w:t xml:space="preserve">What to migrate</w:t>
      </w:r>
    </w:p>
    <w:p>
      <w:pPr>
        <w:pStyle w:val="ListParagraph"/>
        <w:numPr>
          <w:ilvl w:val="0"/>
          <w:numId w:val="2"/>
        </w:numPr>
        <w:spacing w:after="55"/>
      </w:pPr>
      <w:r>
        <w:rPr>
          <w:sz w:val="21"/>
          <w:szCs w:val="21"/>
        </w:rPr>
        <w:t xml:space="preserve">Client and site master data, including GSTINs, addresses and payment terms</w:t>
      </w:r>
    </w:p>
    <w:p>
      <w:pPr>
        <w:pStyle w:val="ListParagraph"/>
        <w:numPr>
          <w:ilvl w:val="0"/>
          <w:numId w:val="2"/>
        </w:numPr>
        <w:spacing w:after="55"/>
      </w:pPr>
      <w:r>
        <w:rPr>
          <w:sz w:val="21"/>
          <w:szCs w:val="21"/>
        </w:rPr>
        <w:t xml:space="preserve">Users, created without passwords — everyone sets their own through the reset flow</w:t>
      </w:r>
    </w:p>
    <w:p>
      <w:pPr>
        <w:pStyle w:val="ListParagraph"/>
        <w:numPr>
          <w:ilvl w:val="0"/>
          <w:numId w:val="2"/>
        </w:numPr>
        <w:spacing w:after="55"/>
      </w:pPr>
      <w:r>
        <w:rPr>
          <w:sz w:val="21"/>
          <w:szCs w:val="21"/>
        </w:rPr>
        <w:t xml:space="preserve">Historical requests, to whatever depth Urbeno decides. Consider the last two financial years rather than everything.</w:t>
      </w:r>
    </w:p>
    <w:p>
      <w:pPr>
        <w:pStyle w:val="ListParagraph"/>
        <w:numPr>
          <w:ilvl w:val="0"/>
          <w:numId w:val="2"/>
        </w:numPr>
        <w:spacing w:after="55"/>
      </w:pPr>
      <w:r>
        <w:rPr>
          <w:sz w:val="21"/>
          <w:szCs w:val="21"/>
        </w:rPr>
        <w:t xml:space="preserve">Historical compliance documents — Form 6, certificates, manifests — as files attached to the right records</w:t>
      </w:r>
    </w:p>
    <w:p>
      <w:pPr>
        <w:pStyle w:val="ListParagraph"/>
        <w:numPr>
          <w:ilvl w:val="0"/>
          <w:numId w:val="2"/>
        </w:numPr>
        <w:spacing w:after="55"/>
      </w:pPr>
      <w:r>
        <w:rPr>
          <w:sz w:val="21"/>
          <w:szCs w:val="21"/>
        </w:rPr>
        <w:t xml:space="preserve">The tree planting ledger</w:t>
      </w:r>
    </w:p>
    <w:p>
      <w:pPr>
        <w:spacing w:after="90" w:before="190"/>
      </w:pPr>
      <w:r>
        <w:rPr>
          <w:b/>
          <w:bCs/>
          <w:color w:val="3B6D11"/>
          <w:sz w:val="21"/>
          <w:szCs w:val="21"/>
        </w:rPr>
        <w:t xml:space="preserve">Migration method</w:t>
      </w:r>
    </w:p>
    <w:p>
      <w:pPr>
        <w:pStyle w:val="ListParagraph"/>
        <w:numPr>
          <w:ilvl w:val="0"/>
          <w:numId w:val="2"/>
        </w:numPr>
        <w:spacing w:after="55"/>
      </w:pPr>
      <w:r>
        <w:rPr>
          <w:sz w:val="21"/>
          <w:szCs w:val="21"/>
        </w:rPr>
        <w:t xml:space="preserve">Write a repeatable import script. Run it against staging as many times as needed.</w:t>
      </w:r>
    </w:p>
    <w:p>
      <w:pPr>
        <w:pStyle w:val="ListParagraph"/>
        <w:numPr>
          <w:ilvl w:val="0"/>
          <w:numId w:val="2"/>
        </w:numPr>
        <w:spacing w:after="55"/>
      </w:pPr>
      <w:r>
        <w:rPr>
          <w:sz w:val="21"/>
          <w:szCs w:val="21"/>
        </w:rPr>
        <w:t xml:space="preserve">Validate after each run: record counts, weight totals, certificate numbers unique, no orphaned references</w:t>
      </w:r>
    </w:p>
    <w:p>
      <w:pPr>
        <w:pStyle w:val="ListParagraph"/>
        <w:numPr>
          <w:ilvl w:val="0"/>
          <w:numId w:val="2"/>
        </w:numPr>
        <w:spacing w:after="55"/>
      </w:pPr>
      <w:r>
        <w:rPr>
          <w:sz w:val="21"/>
          <w:szCs w:val="21"/>
        </w:rPr>
        <w:t xml:space="preserve">Historical records that pre-date a field simply lack it. Do not invent values to fill columns.</w:t>
      </w:r>
    </w:p>
    <w:p>
      <w:pPr>
        <w:pStyle w:val="ListParagraph"/>
        <w:numPr>
          <w:ilvl w:val="0"/>
          <w:numId w:val="2"/>
        </w:numPr>
        <w:spacing w:after="55"/>
      </w:pPr>
      <w:r>
        <w:rPr>
          <w:sz w:val="21"/>
          <w:szCs w:val="21"/>
        </w:rPr>
        <w:t xml:space="preserve">Derived stage means imported records report correctly without a stage column being set — one of the reasons that design matters.</w:t>
      </w:r>
    </w:p>
    <w:p>
      <w:pPr>
        <w:spacing w:after="90" w:before="190"/>
      </w:pPr>
      <w:r>
        <w:rPr>
          <w:b/>
          <w:bCs/>
          <w:color w:val="3B6D11"/>
          <w:sz w:val="21"/>
          <w:szCs w:val="21"/>
        </w:rPr>
        <w:t xml:space="preserve">User acceptance testing</w:t>
      </w:r>
    </w:p>
    <w:p>
      <w:pPr>
        <w:spacing w:after="110"/>
        <w:jc w:val="left"/>
      </w:pPr>
      <w:r>
        <w:rPr>
          <w:sz w:val="21"/>
          <w:szCs w:val="21"/>
        </w:rPr>
        <w:t xml:space="preserve">Run in staging with the people who will actually use the system, not with the project team.</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3B6D11" w:color="auto" w:val="clear"/>
            <w:tcMar>
              <w:top w:type="dxa" w:w="85"/>
              <w:left w:type="dxa" w:w="110"/>
              <w:bottom w:type="dxa" w:w="85"/>
              <w:right w:type="dxa" w:w="110"/>
            </w:tcMar>
          </w:tcPr>
          <w:p>
            <w:pPr>
              <w:jc w:val="left"/>
            </w:pPr>
            <w:r>
              <w:rPr>
                <w:b/>
                <w:bCs/>
                <w:color w:val="FFFFFF"/>
                <w:sz w:val="18"/>
                <w:szCs w:val="18"/>
              </w:rPr>
              <w:t xml:space="preserve">Tester</w:t>
            </w:r>
          </w:p>
        </w:tc>
        <w:tc>
          <w:tcPr>
            <w:tcW w:type="dxa" w:w="6800"/>
            <w:shd w:fill="3B6D11" w:color="auto" w:val="clear"/>
            <w:tcMar>
              <w:top w:type="dxa" w:w="85"/>
              <w:left w:type="dxa" w:w="110"/>
              <w:bottom w:type="dxa" w:w="85"/>
              <w:right w:type="dxa" w:w="110"/>
            </w:tcMar>
          </w:tcPr>
          <w:p>
            <w:pPr>
              <w:jc w:val="left"/>
            </w:pPr>
            <w:r>
              <w:rPr>
                <w:b/>
                <w:bCs/>
                <w:color w:val="FFFFFF"/>
                <w:sz w:val="18"/>
                <w:szCs w:val="18"/>
              </w:rPr>
              <w:t xml:space="preserve">Must complete</w:t>
            </w:r>
          </w:p>
        </w:tc>
      </w:tr>
      <w:tr>
        <w:tc>
          <w:tcPr>
            <w:tcW w:type="dxa" w:w="2400"/>
            <w:tcMar>
              <w:top w:type="dxa" w:w="85"/>
              <w:left w:type="dxa" w:w="110"/>
              <w:bottom w:type="dxa" w:w="85"/>
              <w:right w:type="dxa" w:w="110"/>
            </w:tcMar>
          </w:tcPr>
          <w:p>
            <w:pPr>
              <w:jc w:val="left"/>
            </w:pPr>
            <w:r>
              <w:rPr>
                <w:b w:val="false"/>
                <w:bCs w:val="false"/>
                <w:sz w:val="18"/>
                <w:szCs w:val="18"/>
              </w:rPr>
              <w:t xml:space="preserve">Operations coordinator</w:t>
            </w:r>
          </w:p>
        </w:tc>
        <w:tc>
          <w:tcPr>
            <w:tcW w:type="dxa" w:w="6800"/>
            <w:tcMar>
              <w:top w:type="dxa" w:w="85"/>
              <w:left w:type="dxa" w:w="110"/>
              <w:bottom w:type="dxa" w:w="85"/>
              <w:right w:type="dxa" w:w="110"/>
            </w:tcMar>
          </w:tcPr>
          <w:p>
            <w:pPr>
              <w:jc w:val="left"/>
            </w:pPr>
            <w:r>
              <w:rPr>
                <w:b w:val="false"/>
                <w:bCs w:val="false"/>
                <w:sz w:val="18"/>
                <w:szCs w:val="18"/>
              </w:rPr>
              <w:t xml:space="preserve">Acknowledge a request, assign two vehicles with teams, record both weighments including one manual, raise two invoices with different tax rates</w:t>
            </w:r>
          </w:p>
        </w:tc>
      </w:tr>
      <w:tr>
        <w:tc>
          <w:tcPr>
            <w:tcW w:type="dxa" w:w="2400"/>
            <w:tcMar>
              <w:top w:type="dxa" w:w="85"/>
              <w:left w:type="dxa" w:w="110"/>
              <w:bottom w:type="dxa" w:w="85"/>
              <w:right w:type="dxa" w:w="110"/>
            </w:tcMar>
          </w:tcPr>
          <w:p>
            <w:pPr>
              <w:jc w:val="left"/>
            </w:pPr>
            <w:r>
              <w:rPr>
                <w:b w:val="false"/>
                <w:bCs w:val="false"/>
                <w:sz w:val="18"/>
                <w:szCs w:val="18"/>
              </w:rPr>
              <w:t xml:space="preserve">Factory manager</w:t>
            </w:r>
          </w:p>
        </w:tc>
        <w:tc>
          <w:tcPr>
            <w:tcW w:type="dxa" w:w="6800"/>
            <w:tcMar>
              <w:top w:type="dxa" w:w="85"/>
              <w:left w:type="dxa" w:w="110"/>
              <w:bottom w:type="dxa" w:w="85"/>
              <w:right w:type="dxa" w:w="110"/>
            </w:tcMar>
          </w:tcPr>
          <w:p>
            <w:pPr>
              <w:jc w:val="left"/>
            </w:pPr>
            <w:r>
              <w:rPr>
                <w:b w:val="false"/>
                <w:bCs w:val="false"/>
                <w:sz w:val="18"/>
                <w:szCs w:val="18"/>
              </w:rPr>
              <w:t xml:space="preserve">Create MRNs at their facility, split a receipt across categories, confirm capacity warnings appear, upload processing evidence</w:t>
            </w:r>
          </w:p>
        </w:tc>
      </w:tr>
      <w:tr>
        <w:tc>
          <w:tcPr>
            <w:tcW w:type="dxa" w:w="2400"/>
            <w:tcMar>
              <w:top w:type="dxa" w:w="85"/>
              <w:left w:type="dxa" w:w="110"/>
              <w:bottom w:type="dxa" w:w="85"/>
              <w:right w:type="dxa" w:w="110"/>
            </w:tcMar>
          </w:tcPr>
          <w:p>
            <w:pPr>
              <w:jc w:val="left"/>
            </w:pPr>
            <w:r>
              <w:rPr>
                <w:b w:val="false"/>
                <w:bCs w:val="false"/>
                <w:sz w:val="18"/>
                <w:szCs w:val="18"/>
              </w:rPr>
              <w:t xml:space="preserve">Accounts</w:t>
            </w:r>
          </w:p>
        </w:tc>
        <w:tc>
          <w:tcPr>
            <w:tcW w:type="dxa" w:w="6800"/>
            <w:tcMar>
              <w:top w:type="dxa" w:w="85"/>
              <w:left w:type="dxa" w:w="110"/>
              <w:bottom w:type="dxa" w:w="85"/>
              <w:right w:type="dxa" w:w="110"/>
            </w:tcMar>
          </w:tcPr>
          <w:p>
            <w:pPr>
              <w:jc w:val="left"/>
            </w:pPr>
            <w:r>
              <w:rPr>
                <w:b w:val="false"/>
                <w:bCs w:val="false"/>
                <w:sz w:val="18"/>
                <w:szCs w:val="18"/>
              </w:rPr>
              <w:t xml:space="preserve">Record partial and full payments, confirm a request cannot close while unpaid, run the invoice register</w:t>
            </w:r>
          </w:p>
        </w:tc>
      </w:tr>
      <w:tr>
        <w:tc>
          <w:tcPr>
            <w:tcW w:type="dxa" w:w="2400"/>
            <w:tcMar>
              <w:top w:type="dxa" w:w="85"/>
              <w:left w:type="dxa" w:w="110"/>
              <w:bottom w:type="dxa" w:w="85"/>
              <w:right w:type="dxa" w:w="110"/>
            </w:tcMar>
          </w:tcPr>
          <w:p>
            <w:pPr>
              <w:jc w:val="left"/>
            </w:pPr>
            <w:r>
              <w:rPr>
                <w:b w:val="false"/>
                <w:bCs w:val="false"/>
                <w:sz w:val="18"/>
                <w:szCs w:val="18"/>
              </w:rPr>
              <w:t xml:space="preserve">Compliance officer</w:t>
            </w:r>
          </w:p>
        </w:tc>
        <w:tc>
          <w:tcPr>
            <w:tcW w:type="dxa" w:w="6800"/>
            <w:tcMar>
              <w:top w:type="dxa" w:w="85"/>
              <w:left w:type="dxa" w:w="110"/>
              <w:bottom w:type="dxa" w:w="85"/>
              <w:right w:type="dxa" w:w="110"/>
            </w:tcMar>
          </w:tcPr>
          <w:p>
            <w:pPr>
              <w:jc w:val="left"/>
            </w:pPr>
            <w:r>
              <w:rPr>
                <w:b w:val="false"/>
                <w:bCs w:val="false"/>
                <w:sz w:val="18"/>
                <w:szCs w:val="18"/>
              </w:rPr>
              <w:t xml:space="preserve">Retrieve Form 6, certificates and MRNs, run the certificate log, confirm retention</w:t>
            </w:r>
          </w:p>
        </w:tc>
      </w:tr>
      <w:tr>
        <w:tc>
          <w:tcPr>
            <w:tcW w:type="dxa" w:w="2400"/>
            <w:tcMar>
              <w:top w:type="dxa" w:w="85"/>
              <w:left w:type="dxa" w:w="110"/>
              <w:bottom w:type="dxa" w:w="85"/>
              <w:right w:type="dxa" w:w="110"/>
            </w:tcMar>
          </w:tcPr>
          <w:p>
            <w:pPr>
              <w:jc w:val="left"/>
            </w:pPr>
            <w:r>
              <w:rPr>
                <w:b w:val="false"/>
                <w:bCs w:val="false"/>
                <w:sz w:val="18"/>
                <w:szCs w:val="18"/>
              </w:rPr>
              <w:t xml:space="preserve">Sustainability lead</w:t>
            </w:r>
          </w:p>
        </w:tc>
        <w:tc>
          <w:tcPr>
            <w:tcW w:type="dxa" w:w="6800"/>
            <w:tcMar>
              <w:top w:type="dxa" w:w="85"/>
              <w:left w:type="dxa" w:w="110"/>
              <w:bottom w:type="dxa" w:w="85"/>
              <w:right w:type="dxa" w:w="110"/>
            </w:tcMar>
          </w:tcPr>
          <w:p>
            <w:pPr>
              <w:jc w:val="left"/>
            </w:pPr>
            <w:r>
              <w:rPr>
                <w:b w:val="false"/>
                <w:bCs w:val="false"/>
                <w:sz w:val="18"/>
                <w:szCs w:val="18"/>
              </w:rPr>
              <w:t xml:space="preserve">Download the sustainability certificate and Recycle Heroes report, reconcile to the methodology</w:t>
            </w:r>
          </w:p>
        </w:tc>
      </w:tr>
      <w:tr>
        <w:tc>
          <w:tcPr>
            <w:tcW w:type="dxa" w:w="2400"/>
            <w:tcMar>
              <w:top w:type="dxa" w:w="85"/>
              <w:left w:type="dxa" w:w="110"/>
              <w:bottom w:type="dxa" w:w="85"/>
              <w:right w:type="dxa" w:w="110"/>
            </w:tcMar>
          </w:tcPr>
          <w:p>
            <w:pPr>
              <w:jc w:val="left"/>
            </w:pPr>
            <w:r>
              <w:rPr>
                <w:b w:val="false"/>
                <w:bCs w:val="false"/>
                <w:sz w:val="18"/>
                <w:szCs w:val="18"/>
              </w:rPr>
              <w:t xml:space="preserve">A real client user</w:t>
            </w:r>
          </w:p>
        </w:tc>
        <w:tc>
          <w:tcPr>
            <w:tcW w:type="dxa" w:w="6800"/>
            <w:tcMar>
              <w:top w:type="dxa" w:w="85"/>
              <w:left w:type="dxa" w:w="110"/>
              <w:bottom w:type="dxa" w:w="85"/>
              <w:right w:type="dxa" w:w="110"/>
            </w:tcMar>
          </w:tcPr>
          <w:p>
            <w:pPr>
              <w:jc w:val="left"/>
            </w:pPr>
            <w:r>
              <w:rPr>
                <w:b w:val="false"/>
                <w:bCs w:val="false"/>
                <w:sz w:val="18"/>
                <w:szCs w:val="18"/>
              </w:rPr>
              <w:t xml:space="preserve">Raise a request, track it, receive the certificate email, close the request</w:t>
            </w:r>
          </w:p>
        </w:tc>
      </w:tr>
    </w:tbl>
    <w:p>
      <w:pPr>
        <w:spacing w:after="90" w:before="190"/>
      </w:pPr>
      <w:r>
        <w:rPr>
          <w:b/>
          <w:bCs/>
          <w:color w:val="3B6D11"/>
          <w:sz w:val="21"/>
          <w:szCs w:val="21"/>
        </w:rPr>
        <w:t xml:space="preserve">Training</w:t>
      </w:r>
    </w:p>
    <w:p>
      <w:pPr>
        <w:pStyle w:val="ListParagraph"/>
        <w:numPr>
          <w:ilvl w:val="0"/>
          <w:numId w:val="2"/>
        </w:numPr>
        <w:spacing w:after="55"/>
      </w:pPr>
      <w:r>
        <w:rPr>
          <w:sz w:val="21"/>
          <w:szCs w:val="21"/>
        </w:rPr>
        <w:t xml:space="preserve">One session per role, recorded</w:t>
      </w:r>
    </w:p>
    <w:p>
      <w:pPr>
        <w:pStyle w:val="ListParagraph"/>
        <w:numPr>
          <w:ilvl w:val="0"/>
          <w:numId w:val="2"/>
        </w:numPr>
        <w:spacing w:after="55"/>
      </w:pPr>
      <w:r>
        <w:rPr>
          <w:sz w:val="21"/>
          <w:szCs w:val="21"/>
        </w:rPr>
        <w:t xml:space="preserve">A short written guide per role, kept in the product</w:t>
      </w:r>
    </w:p>
    <w:p>
      <w:pPr>
        <w:pStyle w:val="ListParagraph"/>
        <w:numPr>
          <w:ilvl w:val="0"/>
          <w:numId w:val="2"/>
        </w:numPr>
        <w:spacing w:after="55"/>
      </w:pPr>
      <w:r>
        <w:rPr>
          <w:sz w:val="21"/>
          <w:szCs w:val="21"/>
        </w:rPr>
        <w:t xml:space="preserve">A nominated superuser inside Urbeno who becomes the first line of support</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Exit criteria — do not start the next phase until all of these are true</w:t>
            </w:r>
          </w:p>
          <w:p>
            <w:pPr>
              <w:spacing w:after="55"/>
            </w:pPr>
            <w:r>
              <w:rPr>
                <w:sz w:val="19"/>
                <w:szCs w:val="19"/>
              </w:rPr>
              <w:t xml:space="preserve">☐  Migration script runs clean against staging with validation passing</w:t>
            </w:r>
          </w:p>
          <w:p>
            <w:pPr>
              <w:spacing w:after="55"/>
            </w:pPr>
            <w:r>
              <w:rPr>
                <w:sz w:val="19"/>
                <w:szCs w:val="19"/>
              </w:rPr>
              <w:t xml:space="preserve">☐  Every UAT scenario above completed by the person who owns that role, with sign-off</w:t>
            </w:r>
          </w:p>
          <w:p>
            <w:pPr>
              <w:spacing w:after="55"/>
            </w:pPr>
            <w:r>
              <w:rPr>
                <w:sz w:val="19"/>
                <w:szCs w:val="19"/>
              </w:rPr>
              <w:t xml:space="preserve">☐  Defects from UAT triaged, and blockers fixed and retested</w:t>
            </w:r>
          </w:p>
          <w:p>
            <w:pPr>
              <w:spacing w:after="55"/>
            </w:pPr>
            <w:r>
              <w:rPr>
                <w:sz w:val="19"/>
                <w:szCs w:val="19"/>
              </w:rPr>
              <w:t xml:space="preserve">☐  Training delivered and recordings available</w:t>
            </w:r>
          </w:p>
          <w:p>
            <w:pPr>
              <w:spacing w:after="55"/>
            </w:pPr>
            <w:r>
              <w:rPr>
                <w:sz w:val="19"/>
                <w:szCs w:val="19"/>
              </w:rPr>
              <w:t xml:space="preserve">☐  At least one real client has used the staging system and given feedback</w:t>
            </w:r>
          </w:p>
        </w:tc>
      </w:tr>
    </w:tbl>
    <w:p>
      <w:r>
        <w:br w:type="page"/>
      </w:r>
    </w:p>
    <w:tbl>
      <w:tblPr>
        <w:tblW w:type="dxa" w:w="9200"/>
        <w:tblBorders>
          <w:top w:val="none"/>
          <w:left w:val="none"/>
          <w:bottom w:val="none"/>
          <w:right w:val="none"/>
          <w:insideH w:val="none"/>
          <w:insideV w:val="none"/>
        </w:tblBorders>
      </w:tblPr>
      <w:tblGrid>
        <w:gridCol w:w="1100"/>
        <w:gridCol w:w="5400"/>
        <w:gridCol w:w="1500"/>
        <w:gridCol w:w="1200"/>
      </w:tblGrid>
      <w:tr>
        <w:tc>
          <w:tcPr>
            <w:tcW w:type="dxa" w:w="1100"/>
            <w:shd w:fill="2A4D0C" w:color="auto" w:val="clear"/>
            <w:tcMar>
              <w:top w:type="dxa" w:w="150"/>
              <w:left w:type="dxa" w:w="100"/>
              <w:bottom w:type="dxa" w:w="150"/>
              <w:right w:type="dxa" w:w="100"/>
            </w:tcMar>
          </w:tcPr>
          <w:p>
            <w:pPr>
              <w:jc w:val="center"/>
            </w:pPr>
            <w:r>
              <w:rPr>
                <w:b/>
                <w:bCs/>
                <w:color w:val="FFFFFF"/>
                <w:sz w:val="14"/>
                <w:szCs w:val="14"/>
              </w:rPr>
              <w:t xml:space="preserve">PHASE</w:t>
            </w:r>
          </w:p>
          <w:p>
            <w:pPr>
              <w:jc w:val="center"/>
            </w:pPr>
            <w:r>
              <w:rPr>
                <w:b/>
                <w:bCs/>
                <w:color w:val="FFFFFF"/>
                <w:sz w:val="34"/>
                <w:szCs w:val="34"/>
              </w:rPr>
              <w:t xml:space="preserve">11</w:t>
            </w:r>
          </w:p>
        </w:tc>
        <w:tc>
          <w:tcPr>
            <w:tcW w:type="dxa" w:w="5400"/>
            <w:shd w:fill="3B6D11" w:color="auto" w:val="clear"/>
            <w:tcMar>
              <w:top w:type="dxa" w:w="150"/>
              <w:left w:type="dxa" w:w="190"/>
              <w:bottom w:type="dxa" w:w="150"/>
              <w:right w:type="dxa" w:w="120"/>
            </w:tcMar>
          </w:tcPr>
          <w:p>
            <w:r>
              <w:rPr>
                <w:b/>
                <w:bCs/>
                <w:color w:val="FFFFFF"/>
                <w:sz w:val="26"/>
                <w:szCs w:val="26"/>
              </w:rPr>
              <w:t xml:space="preserve">Go-live</w:t>
            </w:r>
          </w:p>
        </w:tc>
        <w:tc>
          <w:tcPr>
            <w:tcW w:type="dxa" w:w="1500"/>
            <w:shd w:fill="3B6D11" w:color="auto" w:val="clear"/>
            <w:tcMar>
              <w:top w:type="dxa" w:w="150"/>
              <w:left w:type="dxa" w:w="100"/>
              <w:bottom w:type="dxa" w:w="150"/>
              <w:right w:type="dxa" w:w="100"/>
            </w:tcMar>
          </w:tcPr>
          <w:p>
            <w:r>
              <w:rPr>
                <w:color w:val="C0DD97"/>
                <w:sz w:val="13"/>
                <w:szCs w:val="13"/>
              </w:rPr>
              <w:t xml:space="preserve">DURATION</w:t>
            </w:r>
          </w:p>
          <w:p>
            <w:r>
              <w:rPr>
                <w:b/>
                <w:bCs/>
                <w:color w:val="FFFFFF"/>
                <w:sz w:val="18"/>
                <w:szCs w:val="18"/>
              </w:rPr>
              <w:t xml:space="preserve">Weeks 14–15</w:t>
            </w:r>
          </w:p>
        </w:tc>
        <w:tc>
          <w:tcPr>
            <w:tcW w:type="dxa" w:w="1200"/>
            <w:shd w:fill="3B6D11" w:color="auto" w:val="clear"/>
            <w:tcMar>
              <w:top w:type="dxa" w:w="150"/>
              <w:left w:type="dxa" w:w="100"/>
              <w:bottom w:type="dxa" w:w="150"/>
              <w:right w:type="dxa" w:w="120"/>
            </w:tcMar>
          </w:tcPr>
          <w:p>
            <w:r>
              <w:rPr>
                <w:color w:val="C0DD97"/>
                <w:sz w:val="13"/>
                <w:szCs w:val="13"/>
              </w:rPr>
              <w:t xml:space="preserve">LEAD</w:t>
            </w:r>
          </w:p>
          <w:p>
            <w:r>
              <w:rPr>
                <w:b/>
                <w:bCs/>
                <w:color w:val="FFFFFF"/>
                <w:sz w:val="18"/>
                <w:szCs w:val="18"/>
              </w:rPr>
              <w:t xml:space="preserve">Urbeno + Partner</w:t>
            </w:r>
          </w:p>
        </w:tc>
      </w:tr>
    </w:tbl>
    <w:p>
      <w:pPr>
        <w:spacing w:after="110"/>
      </w:pPr>
      <w:r>
        <w:t xml:space="preserve"/>
      </w:r>
    </w:p>
    <w:p>
      <w:pPr>
        <w:spacing w:after="110"/>
        <w:jc w:val="left"/>
      </w:pPr>
      <w:r>
        <w:rPr>
          <w:sz w:val="21"/>
          <w:szCs w:val="21"/>
        </w:rPr>
        <w:t xml:space="preserve">Pick a quiet day. Not a Friday, not month end, not the week a large pickup is scheduled.</w:t>
      </w:r>
    </w:p>
    <w:p>
      <w:pPr>
        <w:spacing w:after="90" w:before="190"/>
      </w:pPr>
      <w:r>
        <w:rPr>
          <w:b/>
          <w:bCs/>
          <w:color w:val="3B6D11"/>
          <w:sz w:val="21"/>
          <w:szCs w:val="21"/>
        </w:rPr>
        <w:t xml:space="preserve">Before the day</w:t>
      </w:r>
    </w:p>
    <w:p>
      <w:pPr>
        <w:pStyle w:val="ListParagraph"/>
        <w:numPr>
          <w:ilvl w:val="0"/>
          <w:numId w:val="2"/>
        </w:numPr>
        <w:spacing w:after="55"/>
      </w:pPr>
      <w:r>
        <w:rPr>
          <w:sz w:val="21"/>
          <w:szCs w:val="21"/>
        </w:rPr>
        <w:t xml:space="preserve">Production environment built and smoke-tested with a rehearsal migration</w:t>
      </w:r>
    </w:p>
    <w:p>
      <w:pPr>
        <w:pStyle w:val="ListParagraph"/>
        <w:numPr>
          <w:ilvl w:val="0"/>
          <w:numId w:val="2"/>
        </w:numPr>
        <w:spacing w:after="55"/>
      </w:pPr>
      <w:r>
        <w:rPr>
          <w:sz w:val="21"/>
          <w:szCs w:val="21"/>
        </w:rPr>
        <w:t xml:space="preserve">DNS records prepared with a low time-to-live, set at least a day ahead</w:t>
      </w:r>
    </w:p>
    <w:p>
      <w:pPr>
        <w:pStyle w:val="ListParagraph"/>
        <w:numPr>
          <w:ilvl w:val="0"/>
          <w:numId w:val="2"/>
        </w:numPr>
        <w:spacing w:after="55"/>
      </w:pPr>
      <w:r>
        <w:rPr>
          <w:sz w:val="21"/>
          <w:szCs w:val="21"/>
        </w:rPr>
        <w:t xml:space="preserve">Certificates issued and verified</w:t>
      </w:r>
    </w:p>
    <w:p>
      <w:pPr>
        <w:pStyle w:val="ListParagraph"/>
        <w:numPr>
          <w:ilvl w:val="0"/>
          <w:numId w:val="2"/>
        </w:numPr>
        <w:spacing w:after="55"/>
      </w:pPr>
      <w:r>
        <w:rPr>
          <w:sz w:val="21"/>
          <w:szCs w:val="21"/>
        </w:rPr>
        <w:t xml:space="preserve">Monitoring, error tracking and alerting live and confirmed to page someone</w:t>
      </w:r>
    </w:p>
    <w:p>
      <w:pPr>
        <w:pStyle w:val="ListParagraph"/>
        <w:numPr>
          <w:ilvl w:val="0"/>
          <w:numId w:val="2"/>
        </w:numPr>
        <w:spacing w:after="55"/>
      </w:pPr>
      <w:r>
        <w:rPr>
          <w:sz w:val="21"/>
          <w:szCs w:val="21"/>
        </w:rPr>
        <w:t xml:space="preserve">Backups running and a restore proven</w:t>
      </w:r>
    </w:p>
    <w:p>
      <w:pPr>
        <w:pStyle w:val="ListParagraph"/>
        <w:numPr>
          <w:ilvl w:val="0"/>
          <w:numId w:val="2"/>
        </w:numPr>
        <w:spacing w:after="55"/>
      </w:pPr>
      <w:r>
        <w:rPr>
          <w:sz w:val="21"/>
          <w:szCs w:val="21"/>
        </w:rPr>
        <w:t xml:space="preserve">Rollback plan written, with the decision-maker and the trigger conditions named</w:t>
      </w:r>
    </w:p>
    <w:p>
      <w:pPr>
        <w:pStyle w:val="ListParagraph"/>
        <w:numPr>
          <w:ilvl w:val="0"/>
          <w:numId w:val="2"/>
        </w:numPr>
        <w:spacing w:after="55"/>
      </w:pPr>
      <w:r>
        <w:rPr>
          <w:sz w:val="21"/>
          <w:szCs w:val="21"/>
        </w:rPr>
        <w:t xml:space="preserve">Clients told what is changing and when</w:t>
      </w:r>
    </w:p>
    <w:p>
      <w:pPr>
        <w:spacing w:after="90" w:before="190"/>
      </w:pPr>
      <w:r>
        <w:rPr>
          <w:b/>
          <w:bCs/>
          <w:color w:val="3B6D11"/>
          <w:sz w:val="21"/>
          <w:szCs w:val="21"/>
        </w:rPr>
        <w:t xml:space="preserve">On the day</w:t>
      </w:r>
    </w:p>
    <w:tbl>
      <w:tblPr>
        <w:tblW w:type="dxa" w:w="9200"/>
        <w:tblBorders>
          <w:top w:val="single" w:color="DDDDDD" w:sz="2"/>
          <w:left w:val="single" w:color="3B6D11" w:sz="8"/>
          <w:bottom w:val="single" w:color="DDDDDD" w:sz="2"/>
          <w:right w:val="single" w:color="DDDDDD" w:sz="2"/>
          <w:insideH w:val="none"/>
          <w:insideV w:val="none"/>
        </w:tblBorders>
      </w:tblPr>
      <w:tblGrid>
        <w:gridCol w:w="9200"/>
      </w:tblGrid>
      <w:tr>
        <w:tc>
          <w:tcPr>
            <w:tcW w:type="dxa" w:w="9200"/>
            <w:shd w:fill="F7F7F4" w:color="auto" w:val="clear"/>
            <w:tcMar>
              <w:top w:type="dxa" w:w="130"/>
              <w:left w:type="dxa" w:w="160"/>
              <w:bottom w:type="dxa" w:w="130"/>
              <w:right w:type="dxa" w:w="160"/>
            </w:tcMar>
          </w:tcPr>
          <w:p>
            <w:pPr>
              <w:spacing w:after="20"/>
            </w:pPr>
            <w:r>
              <w:rPr>
                <w:rFonts w:ascii="Consolas" w:cs="Consolas" w:eastAsia="Consolas" w:hAnsi="Consolas"/>
                <w:sz w:val="17"/>
                <w:szCs w:val="17"/>
              </w:rPr>
              <w:t xml:space="preserve">1.  Freeze changes in the old process</w:t>
            </w:r>
          </w:p>
          <w:p>
            <w:pPr>
              <w:spacing w:after="20"/>
            </w:pPr>
            <w:r>
              <w:rPr>
                <w:rFonts w:ascii="Consolas" w:cs="Consolas" w:eastAsia="Consolas" w:hAnsi="Consolas"/>
                <w:sz w:val="17"/>
                <w:szCs w:val="17"/>
              </w:rPr>
              <w:t xml:space="preserve">2.  Final data migration run</w:t>
            </w:r>
          </w:p>
          <w:p>
            <w:pPr>
              <w:spacing w:after="20"/>
            </w:pPr>
            <w:r>
              <w:rPr>
                <w:rFonts w:ascii="Consolas" w:cs="Consolas" w:eastAsia="Consolas" w:hAnsi="Consolas"/>
                <w:sz w:val="17"/>
                <w:szCs w:val="17"/>
              </w:rPr>
              <w:t xml:space="preserve">3.  Validation: counts, totals, spot checks against source</w:t>
            </w:r>
          </w:p>
          <w:p>
            <w:pPr>
              <w:spacing w:after="20"/>
            </w:pPr>
            <w:r>
              <w:rPr>
                <w:rFonts w:ascii="Consolas" w:cs="Consolas" w:eastAsia="Consolas" w:hAnsi="Consolas"/>
                <w:sz w:val="17"/>
                <w:szCs w:val="17"/>
              </w:rPr>
              <w:t xml:space="preserve">4.  Smoke test production: login, raise a request, generate an MRN,</w:t>
            </w:r>
          </w:p>
          <w:p>
            <w:pPr>
              <w:spacing w:after="20"/>
            </w:pPr>
            <w:r>
              <w:rPr>
                <w:rFonts w:ascii="Consolas" w:cs="Consolas" w:eastAsia="Consolas" w:hAnsi="Consolas"/>
                <w:sz w:val="17"/>
                <w:szCs w:val="17"/>
              </w:rPr>
              <w:t xml:space="preserve">    upload a certificate, send an email, download a report</w:t>
            </w:r>
          </w:p>
          <w:p>
            <w:pPr>
              <w:spacing w:after="20"/>
            </w:pPr>
            <w:r>
              <w:rPr>
                <w:rFonts w:ascii="Consolas" w:cs="Consolas" w:eastAsia="Consolas" w:hAnsi="Consolas"/>
                <w:sz w:val="17"/>
                <w:szCs w:val="17"/>
              </w:rPr>
              <w:t xml:space="preserve">5.  DNS cutover</w:t>
            </w:r>
          </w:p>
          <w:p>
            <w:pPr>
              <w:spacing w:after="20"/>
            </w:pPr>
            <w:r>
              <w:rPr>
                <w:rFonts w:ascii="Consolas" w:cs="Consolas" w:eastAsia="Consolas" w:hAnsi="Consolas"/>
                <w:sz w:val="17"/>
                <w:szCs w:val="17"/>
              </w:rPr>
              <w:t xml:space="preserve">6.  Confirm mail is delivering from the production domain</w:t>
            </w:r>
          </w:p>
          <w:p>
            <w:pPr>
              <w:spacing w:after="20"/>
            </w:pPr>
            <w:r>
              <w:rPr>
                <w:rFonts w:ascii="Consolas" w:cs="Consolas" w:eastAsia="Consolas" w:hAnsi="Consolas"/>
                <w:sz w:val="17"/>
                <w:szCs w:val="17"/>
              </w:rPr>
              <w:t xml:space="preserve">7.  Watch monitoring for the first two hours</w:t>
            </w:r>
          </w:p>
          <w:p>
            <w:pPr>
              <w:spacing w:after="20"/>
            </w:pPr>
            <w:r>
              <w:rPr>
                <w:rFonts w:ascii="Consolas" w:cs="Consolas" w:eastAsia="Consolas" w:hAnsi="Consolas"/>
                <w:sz w:val="17"/>
                <w:szCs w:val="17"/>
              </w:rPr>
              <w:t xml:space="preserve">8.  Notify users that the system is live</w:t>
            </w:r>
          </w:p>
        </w:tc>
      </w:tr>
    </w:tbl>
    <w:p>
      <w:pPr>
        <w:spacing w:after="90" w:before="190"/>
      </w:pPr>
      <w:r>
        <w:rPr>
          <w:b/>
          <w:bCs/>
          <w:color w:val="3B6D11"/>
          <w:sz w:val="21"/>
          <w:szCs w:val="21"/>
        </w:rPr>
        <w:t xml:space="preserve">The first week</w:t>
      </w:r>
    </w:p>
    <w:p>
      <w:pPr>
        <w:pStyle w:val="ListParagraph"/>
        <w:numPr>
          <w:ilvl w:val="0"/>
          <w:numId w:val="2"/>
        </w:numPr>
        <w:spacing w:after="55"/>
      </w:pPr>
      <w:r>
        <w:rPr>
          <w:sz w:val="21"/>
          <w:szCs w:val="21"/>
        </w:rPr>
        <w:t xml:space="preserve">Daily check of error rates, job runs and email delivery</w:t>
      </w:r>
    </w:p>
    <w:p>
      <w:pPr>
        <w:pStyle w:val="ListParagraph"/>
        <w:numPr>
          <w:ilvl w:val="0"/>
          <w:numId w:val="2"/>
        </w:numPr>
        <w:spacing w:after="55"/>
      </w:pPr>
      <w:r>
        <w:rPr>
          <w:sz w:val="21"/>
          <w:szCs w:val="21"/>
        </w:rPr>
        <w:t xml:space="preserve">A named engineer on call</w:t>
      </w:r>
    </w:p>
    <w:p>
      <w:pPr>
        <w:pStyle w:val="ListParagraph"/>
        <w:numPr>
          <w:ilvl w:val="0"/>
          <w:numId w:val="2"/>
        </w:numPr>
        <w:spacing w:after="55"/>
      </w:pPr>
      <w:r>
        <w:rPr>
          <w:sz w:val="21"/>
          <w:szCs w:val="21"/>
        </w:rPr>
        <w:t xml:space="preserve">A fast route for users to report anything odd, and a daily triage of what comes in</w:t>
      </w:r>
    </w:p>
    <w:p>
      <w:pPr>
        <w:pStyle w:val="ListParagraph"/>
        <w:numPr>
          <w:ilvl w:val="0"/>
          <w:numId w:val="2"/>
        </w:numPr>
        <w:spacing w:after="55"/>
      </w:pPr>
      <w:r>
        <w:rPr>
          <w:sz w:val="21"/>
          <w:szCs w:val="21"/>
        </w:rPr>
        <w:t xml:space="preserve">Do not deploy anything non-critical</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Exit criteria — do not start the next phase until all of these are true</w:t>
            </w:r>
          </w:p>
          <w:p>
            <w:pPr>
              <w:spacing w:after="55"/>
            </w:pPr>
            <w:r>
              <w:rPr>
                <w:sz w:val="19"/>
                <w:szCs w:val="19"/>
              </w:rPr>
              <w:t xml:space="preserve">☐  Production serving real users on the live domain</w:t>
            </w:r>
          </w:p>
          <w:p>
            <w:pPr>
              <w:spacing w:after="55"/>
            </w:pPr>
            <w:r>
              <w:rPr>
                <w:sz w:val="19"/>
                <w:szCs w:val="19"/>
              </w:rPr>
              <w:t xml:space="preserve">☐  Migration validated against source records</w:t>
            </w:r>
          </w:p>
          <w:p>
            <w:pPr>
              <w:spacing w:after="55"/>
            </w:pPr>
            <w:r>
              <w:rPr>
                <w:sz w:val="19"/>
                <w:szCs w:val="19"/>
              </w:rPr>
              <w:t xml:space="preserve">☐  Monitoring and alerting confirmed working by a deliberate test</w:t>
            </w:r>
          </w:p>
          <w:p>
            <w:pPr>
              <w:spacing w:after="55"/>
            </w:pPr>
            <w:r>
              <w:rPr>
                <w:sz w:val="19"/>
                <w:szCs w:val="19"/>
              </w:rPr>
              <w:t xml:space="preserve">☐  Backups running with a proven restore</w:t>
            </w:r>
          </w:p>
          <w:p>
            <w:pPr>
              <w:spacing w:after="55"/>
            </w:pPr>
            <w:r>
              <w:rPr>
                <w:sz w:val="19"/>
                <w:szCs w:val="19"/>
              </w:rPr>
              <w:t xml:space="preserve">☐  A rollback plan exists and everyone knows who calls it</w:t>
            </w:r>
          </w:p>
          <w:p>
            <w:pPr>
              <w:spacing w:after="55"/>
            </w:pPr>
            <w:r>
              <w:rPr>
                <w:sz w:val="19"/>
                <w:szCs w:val="19"/>
              </w:rPr>
              <w:t xml:space="preserve">☐  No critical defects open</w:t>
            </w:r>
          </w:p>
        </w:tc>
      </w:tr>
    </w:tbl>
    <w:p>
      <w:r>
        <w:br w:type="page"/>
      </w:r>
    </w:p>
    <w:tbl>
      <w:tblPr>
        <w:tblW w:type="dxa" w:w="9200"/>
        <w:tblBorders>
          <w:top w:val="none"/>
          <w:left w:val="none"/>
          <w:bottom w:val="none"/>
          <w:right w:val="none"/>
          <w:insideH w:val="none"/>
          <w:insideV w:val="none"/>
        </w:tblBorders>
      </w:tblPr>
      <w:tblGrid>
        <w:gridCol w:w="1100"/>
        <w:gridCol w:w="5400"/>
        <w:gridCol w:w="1500"/>
        <w:gridCol w:w="1200"/>
      </w:tblGrid>
      <w:tr>
        <w:tc>
          <w:tcPr>
            <w:tcW w:type="dxa" w:w="1100"/>
            <w:shd w:fill="2A4D0C" w:color="auto" w:val="clear"/>
            <w:tcMar>
              <w:top w:type="dxa" w:w="150"/>
              <w:left w:type="dxa" w:w="100"/>
              <w:bottom w:type="dxa" w:w="150"/>
              <w:right w:type="dxa" w:w="100"/>
            </w:tcMar>
          </w:tcPr>
          <w:p>
            <w:pPr>
              <w:jc w:val="center"/>
            </w:pPr>
            <w:r>
              <w:rPr>
                <w:b/>
                <w:bCs/>
                <w:color w:val="FFFFFF"/>
                <w:sz w:val="14"/>
                <w:szCs w:val="14"/>
              </w:rPr>
              <w:t xml:space="preserve">PHASE</w:t>
            </w:r>
          </w:p>
          <w:p>
            <w:pPr>
              <w:jc w:val="center"/>
            </w:pPr>
            <w:r>
              <w:rPr>
                <w:b/>
                <w:bCs/>
                <w:color w:val="FFFFFF"/>
                <w:sz w:val="34"/>
                <w:szCs w:val="34"/>
              </w:rPr>
              <w:t xml:space="preserve">12</w:t>
            </w:r>
          </w:p>
        </w:tc>
        <w:tc>
          <w:tcPr>
            <w:tcW w:type="dxa" w:w="5400"/>
            <w:shd w:fill="3B6D11" w:color="auto" w:val="clear"/>
            <w:tcMar>
              <w:top w:type="dxa" w:w="150"/>
              <w:left w:type="dxa" w:w="190"/>
              <w:bottom w:type="dxa" w:w="150"/>
              <w:right w:type="dxa" w:w="120"/>
            </w:tcMar>
          </w:tcPr>
          <w:p>
            <w:r>
              <w:rPr>
                <w:b/>
                <w:bCs/>
                <w:color w:val="FFFFFF"/>
                <w:sz w:val="26"/>
                <w:szCs w:val="26"/>
              </w:rPr>
              <w:t xml:space="preserve">Operate and hand over</w:t>
            </w:r>
          </w:p>
        </w:tc>
        <w:tc>
          <w:tcPr>
            <w:tcW w:type="dxa" w:w="1500"/>
            <w:shd w:fill="3B6D11" w:color="auto" w:val="clear"/>
            <w:tcMar>
              <w:top w:type="dxa" w:w="150"/>
              <w:left w:type="dxa" w:w="100"/>
              <w:bottom w:type="dxa" w:w="150"/>
              <w:right w:type="dxa" w:w="100"/>
            </w:tcMar>
          </w:tcPr>
          <w:p>
            <w:r>
              <w:rPr>
                <w:color w:val="C0DD97"/>
                <w:sz w:val="13"/>
                <w:szCs w:val="13"/>
              </w:rPr>
              <w:t xml:space="preserve">DURATION</w:t>
            </w:r>
          </w:p>
          <w:p>
            <w:r>
              <w:rPr>
                <w:b/>
                <w:bCs/>
                <w:color w:val="FFFFFF"/>
                <w:sz w:val="18"/>
                <w:szCs w:val="18"/>
              </w:rPr>
              <w:t xml:space="preserve">Weeks 15–16 and beyond</w:t>
            </w:r>
          </w:p>
        </w:tc>
        <w:tc>
          <w:tcPr>
            <w:tcW w:type="dxa" w:w="1200"/>
            <w:shd w:fill="3B6D11" w:color="auto" w:val="clear"/>
            <w:tcMar>
              <w:top w:type="dxa" w:w="150"/>
              <w:left w:type="dxa" w:w="100"/>
              <w:bottom w:type="dxa" w:w="150"/>
              <w:right w:type="dxa" w:w="120"/>
            </w:tcMar>
          </w:tcPr>
          <w:p>
            <w:r>
              <w:rPr>
                <w:color w:val="C0DD97"/>
                <w:sz w:val="13"/>
                <w:szCs w:val="13"/>
              </w:rPr>
              <w:t xml:space="preserve">LEAD</w:t>
            </w:r>
          </w:p>
          <w:p>
            <w:r>
              <w:rPr>
                <w:b/>
                <w:bCs/>
                <w:color w:val="FFFFFF"/>
                <w:sz w:val="18"/>
                <w:szCs w:val="18"/>
              </w:rPr>
              <w:t xml:space="preserve">Partner → Urbeno</w:t>
            </w:r>
          </w:p>
        </w:tc>
      </w:tr>
    </w:tbl>
    <w:p>
      <w:pPr>
        <w:spacing w:after="110"/>
      </w:pPr>
      <w:r>
        <w:t xml:space="preserve"/>
      </w:r>
    </w:p>
    <w:p>
      <w:pPr>
        <w:spacing w:after="90" w:before="190"/>
      </w:pPr>
      <w:r>
        <w:rPr>
          <w:b/>
          <w:bCs/>
          <w:color w:val="3B6D11"/>
          <w:sz w:val="21"/>
          <w:szCs w:val="21"/>
        </w:rPr>
        <w:t xml:space="preserve">Handover</w:t>
      </w:r>
    </w:p>
    <w:p>
      <w:pPr>
        <w:pStyle w:val="ListParagraph"/>
        <w:numPr>
          <w:ilvl w:val="0"/>
          <w:numId w:val="2"/>
        </w:numPr>
        <w:spacing w:after="55"/>
      </w:pPr>
      <w:r>
        <w:rPr>
          <w:sz w:val="21"/>
          <w:szCs w:val="21"/>
        </w:rPr>
        <w:t xml:space="preserve">Complete source in Urbeno's repository, with architecture documentation</w:t>
      </w:r>
    </w:p>
    <w:p>
      <w:pPr>
        <w:pStyle w:val="ListParagraph"/>
        <w:numPr>
          <w:ilvl w:val="0"/>
          <w:numId w:val="2"/>
        </w:numPr>
        <w:spacing w:after="55"/>
      </w:pPr>
      <w:r>
        <w:rPr>
          <w:sz w:val="21"/>
          <w:szCs w:val="21"/>
        </w:rPr>
        <w:t xml:space="preserve">An operations runbook: how to restart, restore, add a user, rotate a secret, and diagnose the common failures</w:t>
      </w:r>
    </w:p>
    <w:p>
      <w:pPr>
        <w:pStyle w:val="ListParagraph"/>
        <w:numPr>
          <w:ilvl w:val="0"/>
          <w:numId w:val="2"/>
        </w:numPr>
        <w:spacing w:after="55"/>
      </w:pPr>
      <w:r>
        <w:rPr>
          <w:sz w:val="21"/>
          <w:szCs w:val="21"/>
        </w:rPr>
        <w:t xml:space="preserve">A recorded handover session with the Urbeno technical owner</w:t>
      </w:r>
    </w:p>
    <w:p>
      <w:pPr>
        <w:pStyle w:val="ListParagraph"/>
        <w:numPr>
          <w:ilvl w:val="0"/>
          <w:numId w:val="2"/>
        </w:numPr>
        <w:spacing w:after="55"/>
      </w:pPr>
      <w:r>
        <w:rPr>
          <w:sz w:val="21"/>
          <w:szCs w:val="21"/>
        </w:rPr>
        <w:t xml:space="preserve">Every credential transferred to Urbeno's password manager and the partner's access revoked or reduced</w:t>
      </w:r>
    </w:p>
    <w:p>
      <w:pPr>
        <w:pStyle w:val="ListParagraph"/>
        <w:numPr>
          <w:ilvl w:val="0"/>
          <w:numId w:val="2"/>
        </w:numPr>
        <w:spacing w:after="55"/>
      </w:pPr>
      <w:r>
        <w:rPr>
          <w:sz w:val="21"/>
          <w:szCs w:val="21"/>
        </w:rPr>
        <w:t xml:space="preserve">A register of every third-party service, what it costs and who owns the account</w:t>
      </w:r>
    </w:p>
    <w:p>
      <w:pPr>
        <w:spacing w:after="90" w:before="190"/>
      </w:pPr>
      <w:r>
        <w:rPr>
          <w:b/>
          <w:bCs/>
          <w:color w:val="3B6D11"/>
          <w:sz w:val="21"/>
          <w:szCs w:val="21"/>
        </w:rPr>
        <w:t xml:space="preserve">Warranty</w:t>
      </w:r>
    </w:p>
    <w:p>
      <w:pPr>
        <w:spacing w:after="110"/>
        <w:jc w:val="left"/>
      </w:pPr>
      <w:r>
        <w:rPr>
          <w:sz w:val="21"/>
          <w:szCs w:val="21"/>
        </w:rPr>
        <w:t xml:space="preserve">Ninety days from go-live, at the response times set out in the RFP: critical acknowledged within an hour and fixed within four; high within four hours and a day; medium within a business day and five days.</w:t>
      </w:r>
    </w:p>
    <w:p>
      <w:pPr>
        <w:spacing w:after="90" w:before="190"/>
      </w:pPr>
      <w:r>
        <w:rPr>
          <w:b/>
          <w:bCs/>
          <w:color w:val="3B6D11"/>
          <w:sz w:val="21"/>
          <w:szCs w:val="21"/>
        </w:rPr>
        <w:t xml:space="preserve">Ongoing costs to budget</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2900"/>
      </w:tblGrid>
      <w:tr>
        <w:trPr>
          <w:tblHeader/>
        </w:trPr>
        <w:tc>
          <w:tcPr>
            <w:tcW w:type="dxa" w:w="3400"/>
            <w:shd w:fill="3B6D11" w:color="auto" w:val="clear"/>
            <w:tcMar>
              <w:top w:type="dxa" w:w="85"/>
              <w:left w:type="dxa" w:w="110"/>
              <w:bottom w:type="dxa" w:w="85"/>
              <w:right w:type="dxa" w:w="110"/>
            </w:tcMar>
          </w:tcPr>
          <w:p>
            <w:pPr>
              <w:jc w:val="left"/>
            </w:pPr>
            <w:r>
              <w:rPr>
                <w:b/>
                <w:bCs/>
                <w:color w:val="FFFFFF"/>
                <w:sz w:val="18"/>
                <w:szCs w:val="18"/>
              </w:rPr>
              <w:t xml:space="preserve">Item</w:t>
            </w:r>
          </w:p>
        </w:tc>
        <w:tc>
          <w:tcPr>
            <w:tcW w:type="dxa" w:w="2900"/>
            <w:shd w:fill="3B6D11" w:color="auto" w:val="clear"/>
            <w:tcMar>
              <w:top w:type="dxa" w:w="85"/>
              <w:left w:type="dxa" w:w="110"/>
              <w:bottom w:type="dxa" w:w="85"/>
              <w:right w:type="dxa" w:w="110"/>
            </w:tcMar>
          </w:tcPr>
          <w:p>
            <w:pPr>
              <w:jc w:val="left"/>
            </w:pPr>
            <w:r>
              <w:rPr>
                <w:b/>
                <w:bCs/>
                <w:color w:val="FFFFFF"/>
                <w:sz w:val="18"/>
                <w:szCs w:val="18"/>
              </w:rPr>
              <w:t xml:space="preserve">At launch</w:t>
            </w:r>
          </w:p>
        </w:tc>
        <w:tc>
          <w:tcPr>
            <w:tcW w:type="dxa" w:w="2900"/>
            <w:shd w:fill="3B6D11" w:color="auto" w:val="clear"/>
            <w:tcMar>
              <w:top w:type="dxa" w:w="85"/>
              <w:left w:type="dxa" w:w="110"/>
              <w:bottom w:type="dxa" w:w="85"/>
              <w:right w:type="dxa" w:w="110"/>
            </w:tcMar>
          </w:tcPr>
          <w:p>
            <w:pPr>
              <w:jc w:val="left"/>
            </w:pPr>
            <w:r>
              <w:rPr>
                <w:b/>
                <w:bCs/>
                <w:color w:val="FFFFFF"/>
                <w:sz w:val="18"/>
                <w:szCs w:val="18"/>
              </w:rPr>
              <w:t xml:space="preserve">At 24-month scale</w:t>
            </w:r>
          </w:p>
        </w:tc>
      </w:tr>
      <w:tr>
        <w:tc>
          <w:tcPr>
            <w:tcW w:type="dxa" w:w="3400"/>
            <w:tcMar>
              <w:top w:type="dxa" w:w="85"/>
              <w:left w:type="dxa" w:w="110"/>
              <w:bottom w:type="dxa" w:w="85"/>
              <w:right w:type="dxa" w:w="110"/>
            </w:tcMar>
          </w:tcPr>
          <w:p>
            <w:pPr>
              <w:jc w:val="left"/>
            </w:pPr>
            <w:r>
              <w:rPr>
                <w:b w:val="false"/>
                <w:bCs w:val="false"/>
                <w:sz w:val="18"/>
                <w:szCs w:val="18"/>
              </w:rPr>
              <w:t xml:space="preserve">Hosting and database</w:t>
            </w:r>
          </w:p>
        </w:tc>
        <w:tc>
          <w:tcPr>
            <w:tcW w:type="dxa" w:w="2900"/>
            <w:tcMar>
              <w:top w:type="dxa" w:w="85"/>
              <w:left w:type="dxa" w:w="110"/>
              <w:bottom w:type="dxa" w:w="85"/>
              <w:right w:type="dxa" w:w="110"/>
            </w:tcMar>
          </w:tcPr>
          <w:p>
            <w:pPr>
              <w:jc w:val="left"/>
            </w:pPr>
            <w:r>
              <w:rPr>
                <w:b w:val="false"/>
                <w:bCs w:val="false"/>
                <w:sz w:val="18"/>
                <w:szCs w:val="18"/>
              </w:rPr>
              <w:t xml:space="preserve">₹8,000–15,000 / month</w:t>
            </w:r>
          </w:p>
        </w:tc>
        <w:tc>
          <w:tcPr>
            <w:tcW w:type="dxa" w:w="2900"/>
            <w:tcMar>
              <w:top w:type="dxa" w:w="85"/>
              <w:left w:type="dxa" w:w="110"/>
              <w:bottom w:type="dxa" w:w="85"/>
              <w:right w:type="dxa" w:w="110"/>
            </w:tcMar>
          </w:tcPr>
          <w:p>
            <w:pPr>
              <w:jc w:val="left"/>
            </w:pPr>
            <w:r>
              <w:rPr>
                <w:b w:val="false"/>
                <w:bCs w:val="false"/>
                <w:sz w:val="18"/>
                <w:szCs w:val="18"/>
              </w:rPr>
              <w:t xml:space="preserve">₹25,000–45,000 / month</w:t>
            </w:r>
          </w:p>
        </w:tc>
      </w:tr>
      <w:tr>
        <w:tc>
          <w:tcPr>
            <w:tcW w:type="dxa" w:w="3400"/>
            <w:tcMar>
              <w:top w:type="dxa" w:w="85"/>
              <w:left w:type="dxa" w:w="110"/>
              <w:bottom w:type="dxa" w:w="85"/>
              <w:right w:type="dxa" w:w="110"/>
            </w:tcMar>
          </w:tcPr>
          <w:p>
            <w:pPr>
              <w:jc w:val="left"/>
            </w:pPr>
            <w:r>
              <w:rPr>
                <w:b w:val="false"/>
                <w:bCs w:val="false"/>
                <w:sz w:val="18"/>
                <w:szCs w:val="18"/>
              </w:rPr>
              <w:t xml:space="preserve">Object storage</w:t>
            </w:r>
          </w:p>
        </w:tc>
        <w:tc>
          <w:tcPr>
            <w:tcW w:type="dxa" w:w="2900"/>
            <w:tcMar>
              <w:top w:type="dxa" w:w="85"/>
              <w:left w:type="dxa" w:w="110"/>
              <w:bottom w:type="dxa" w:w="85"/>
              <w:right w:type="dxa" w:w="110"/>
            </w:tcMar>
          </w:tcPr>
          <w:p>
            <w:pPr>
              <w:jc w:val="left"/>
            </w:pPr>
            <w:r>
              <w:rPr>
                <w:b w:val="false"/>
                <w:bCs w:val="false"/>
                <w:sz w:val="18"/>
                <w:szCs w:val="18"/>
              </w:rPr>
              <w:t xml:space="preserve">₹500–1,500</w:t>
            </w:r>
          </w:p>
        </w:tc>
        <w:tc>
          <w:tcPr>
            <w:tcW w:type="dxa" w:w="2900"/>
            <w:tcMar>
              <w:top w:type="dxa" w:w="85"/>
              <w:left w:type="dxa" w:w="110"/>
              <w:bottom w:type="dxa" w:w="85"/>
              <w:right w:type="dxa" w:w="110"/>
            </w:tcMar>
          </w:tcPr>
          <w:p>
            <w:pPr>
              <w:jc w:val="left"/>
            </w:pPr>
            <w:r>
              <w:rPr>
                <w:b w:val="false"/>
                <w:bCs w:val="false"/>
                <w:sz w:val="18"/>
                <w:szCs w:val="18"/>
              </w:rPr>
              <w:t xml:space="preserve">₹3,000–8,000</w:t>
            </w:r>
          </w:p>
        </w:tc>
      </w:tr>
      <w:tr>
        <w:tc>
          <w:tcPr>
            <w:tcW w:type="dxa" w:w="3400"/>
            <w:tcMar>
              <w:top w:type="dxa" w:w="85"/>
              <w:left w:type="dxa" w:w="110"/>
              <w:bottom w:type="dxa" w:w="85"/>
              <w:right w:type="dxa" w:w="110"/>
            </w:tcMar>
          </w:tcPr>
          <w:p>
            <w:pPr>
              <w:jc w:val="left"/>
            </w:pPr>
            <w:r>
              <w:rPr>
                <w:b w:val="false"/>
                <w:bCs w:val="false"/>
                <w:sz w:val="18"/>
                <w:szCs w:val="18"/>
              </w:rPr>
              <w:t xml:space="preserve">Email</w:t>
            </w:r>
          </w:p>
        </w:tc>
        <w:tc>
          <w:tcPr>
            <w:tcW w:type="dxa" w:w="2900"/>
            <w:tcMar>
              <w:top w:type="dxa" w:w="85"/>
              <w:left w:type="dxa" w:w="110"/>
              <w:bottom w:type="dxa" w:w="85"/>
              <w:right w:type="dxa" w:w="110"/>
            </w:tcMar>
          </w:tcPr>
          <w:p>
            <w:pPr>
              <w:jc w:val="left"/>
            </w:pPr>
            <w:r>
              <w:rPr>
                <w:b w:val="false"/>
                <w:bCs w:val="false"/>
                <w:sz w:val="18"/>
                <w:szCs w:val="18"/>
              </w:rPr>
              <w:t xml:space="preserve">₹500–1,500</w:t>
            </w:r>
          </w:p>
        </w:tc>
        <w:tc>
          <w:tcPr>
            <w:tcW w:type="dxa" w:w="2900"/>
            <w:tcMar>
              <w:top w:type="dxa" w:w="85"/>
              <w:left w:type="dxa" w:w="110"/>
              <w:bottom w:type="dxa" w:w="85"/>
              <w:right w:type="dxa" w:w="110"/>
            </w:tcMar>
          </w:tcPr>
          <w:p>
            <w:pPr>
              <w:jc w:val="left"/>
            </w:pPr>
            <w:r>
              <w:rPr>
                <w:b w:val="false"/>
                <w:bCs w:val="false"/>
                <w:sz w:val="18"/>
                <w:szCs w:val="18"/>
              </w:rPr>
              <w:t xml:space="preserve">₹3,000–6,000</w:t>
            </w:r>
          </w:p>
        </w:tc>
      </w:tr>
      <w:tr>
        <w:tc>
          <w:tcPr>
            <w:tcW w:type="dxa" w:w="3400"/>
            <w:tcMar>
              <w:top w:type="dxa" w:w="85"/>
              <w:left w:type="dxa" w:w="110"/>
              <w:bottom w:type="dxa" w:w="85"/>
              <w:right w:type="dxa" w:w="110"/>
            </w:tcMar>
          </w:tcPr>
          <w:p>
            <w:pPr>
              <w:jc w:val="left"/>
            </w:pPr>
            <w:r>
              <w:rPr>
                <w:b w:val="false"/>
                <w:bCs w:val="false"/>
                <w:sz w:val="18"/>
                <w:szCs w:val="18"/>
              </w:rPr>
              <w:t xml:space="preserve">SMS and WhatsApp</w:t>
            </w:r>
          </w:p>
        </w:tc>
        <w:tc>
          <w:tcPr>
            <w:tcW w:type="dxa" w:w="2900"/>
            <w:tcMar>
              <w:top w:type="dxa" w:w="85"/>
              <w:left w:type="dxa" w:w="110"/>
              <w:bottom w:type="dxa" w:w="85"/>
              <w:right w:type="dxa" w:w="110"/>
            </w:tcMar>
          </w:tcPr>
          <w:p>
            <w:pPr>
              <w:jc w:val="left"/>
            </w:pPr>
            <w:r>
              <w:rPr>
                <w:b w:val="false"/>
                <w:bCs w:val="false"/>
                <w:sz w:val="18"/>
                <w:szCs w:val="18"/>
              </w:rPr>
              <w:t xml:space="preserve">₹2,000–5,000</w:t>
            </w:r>
          </w:p>
        </w:tc>
        <w:tc>
          <w:tcPr>
            <w:tcW w:type="dxa" w:w="2900"/>
            <w:tcMar>
              <w:top w:type="dxa" w:w="85"/>
              <w:left w:type="dxa" w:w="110"/>
              <w:bottom w:type="dxa" w:w="85"/>
              <w:right w:type="dxa" w:w="110"/>
            </w:tcMar>
          </w:tcPr>
          <w:p>
            <w:pPr>
              <w:jc w:val="left"/>
            </w:pPr>
            <w:r>
              <w:rPr>
                <w:b w:val="false"/>
                <w:bCs w:val="false"/>
                <w:sz w:val="18"/>
                <w:szCs w:val="18"/>
              </w:rPr>
              <w:t xml:space="preserve">₹10,000–25,000</w:t>
            </w:r>
          </w:p>
        </w:tc>
      </w:tr>
      <w:tr>
        <w:tc>
          <w:tcPr>
            <w:tcW w:type="dxa" w:w="3400"/>
            <w:tcMar>
              <w:top w:type="dxa" w:w="85"/>
              <w:left w:type="dxa" w:w="110"/>
              <w:bottom w:type="dxa" w:w="85"/>
              <w:right w:type="dxa" w:w="110"/>
            </w:tcMar>
          </w:tcPr>
          <w:p>
            <w:pPr>
              <w:jc w:val="left"/>
            </w:pPr>
            <w:r>
              <w:rPr>
                <w:b w:val="false"/>
                <w:bCs w:val="false"/>
                <w:sz w:val="18"/>
                <w:szCs w:val="18"/>
              </w:rPr>
              <w:t xml:space="preserve">Monitoring and error tracking</w:t>
            </w:r>
          </w:p>
        </w:tc>
        <w:tc>
          <w:tcPr>
            <w:tcW w:type="dxa" w:w="2900"/>
            <w:tcMar>
              <w:top w:type="dxa" w:w="85"/>
              <w:left w:type="dxa" w:w="110"/>
              <w:bottom w:type="dxa" w:w="85"/>
              <w:right w:type="dxa" w:w="110"/>
            </w:tcMar>
          </w:tcPr>
          <w:p>
            <w:pPr>
              <w:jc w:val="left"/>
            </w:pPr>
            <w:r>
              <w:rPr>
                <w:b w:val="false"/>
                <w:bCs w:val="false"/>
                <w:sz w:val="18"/>
                <w:szCs w:val="18"/>
              </w:rPr>
              <w:t xml:space="preserve">₹0–2,000</w:t>
            </w:r>
          </w:p>
        </w:tc>
        <w:tc>
          <w:tcPr>
            <w:tcW w:type="dxa" w:w="2900"/>
            <w:tcMar>
              <w:top w:type="dxa" w:w="85"/>
              <w:left w:type="dxa" w:w="110"/>
              <w:bottom w:type="dxa" w:w="85"/>
              <w:right w:type="dxa" w:w="110"/>
            </w:tcMar>
          </w:tcPr>
          <w:p>
            <w:pPr>
              <w:jc w:val="left"/>
            </w:pPr>
            <w:r>
              <w:rPr>
                <w:b w:val="false"/>
                <w:bCs w:val="false"/>
                <w:sz w:val="18"/>
                <w:szCs w:val="18"/>
              </w:rPr>
              <w:t xml:space="preserve">₹4,000–8,000</w:t>
            </w:r>
          </w:p>
        </w:tc>
      </w:tr>
      <w:tr>
        <w:tc>
          <w:tcPr>
            <w:tcW w:type="dxa" w:w="3400"/>
            <w:tcMar>
              <w:top w:type="dxa" w:w="85"/>
              <w:left w:type="dxa" w:w="110"/>
              <w:bottom w:type="dxa" w:w="85"/>
              <w:right w:type="dxa" w:w="110"/>
            </w:tcMar>
          </w:tcPr>
          <w:p>
            <w:pPr>
              <w:jc w:val="left"/>
            </w:pPr>
            <w:r>
              <w:rPr>
                <w:b w:val="false"/>
                <w:bCs w:val="false"/>
                <w:sz w:val="18"/>
                <w:szCs w:val="18"/>
              </w:rPr>
              <w:t xml:space="preserve">Total</w:t>
            </w:r>
          </w:p>
        </w:tc>
        <w:tc>
          <w:tcPr>
            <w:tcW w:type="dxa" w:w="2900"/>
            <w:tcMar>
              <w:top w:type="dxa" w:w="85"/>
              <w:left w:type="dxa" w:w="110"/>
              <w:bottom w:type="dxa" w:w="85"/>
              <w:right w:type="dxa" w:w="110"/>
            </w:tcMar>
          </w:tcPr>
          <w:p>
            <w:pPr>
              <w:jc w:val="left"/>
            </w:pPr>
            <w:r>
              <w:rPr>
                <w:b w:val="false"/>
                <w:bCs w:val="false"/>
                <w:sz w:val="18"/>
                <w:szCs w:val="18"/>
              </w:rPr>
              <w:t xml:space="preserve">₹11,000–25,000 / month</w:t>
            </w:r>
          </w:p>
        </w:tc>
        <w:tc>
          <w:tcPr>
            <w:tcW w:type="dxa" w:w="2900"/>
            <w:tcMar>
              <w:top w:type="dxa" w:w="85"/>
              <w:left w:type="dxa" w:w="110"/>
              <w:bottom w:type="dxa" w:w="85"/>
              <w:right w:type="dxa" w:w="110"/>
            </w:tcMar>
          </w:tcPr>
          <w:p>
            <w:pPr>
              <w:jc w:val="left"/>
            </w:pPr>
            <w:r>
              <w:rPr>
                <w:b w:val="false"/>
                <w:bCs w:val="false"/>
                <w:sz w:val="18"/>
                <w:szCs w:val="18"/>
              </w:rPr>
              <w:t xml:space="preserve">₹45,000–90,000 / month</w:t>
            </w:r>
          </w:p>
        </w:tc>
      </w:tr>
    </w:tbl>
    <w:p>
      <w:pPr>
        <w:spacing w:after="110"/>
      </w:pPr>
      <w:r>
        <w:t xml:space="preserve"/>
      </w:r>
    </w:p>
    <w:p>
      <w:pPr>
        <w:spacing w:after="110"/>
        <w:jc w:val="left"/>
      </w:pPr>
      <w:r>
        <w:rPr>
          <w:sz w:val="21"/>
          <w:szCs w:val="21"/>
        </w:rPr>
        <w:t xml:space="preserve">A support retainer sits on top of this. The RFP suggests engaging the partner monthly for the first six months after warranty.</w:t>
      </w:r>
    </w:p>
    <w:p>
      <w:pPr>
        <w:spacing w:after="90" w:before="190"/>
      </w:pPr>
      <w:r>
        <w:rPr>
          <w:b/>
          <w:bCs/>
          <w:color w:val="3B6D11"/>
          <w:sz w:val="21"/>
          <w:szCs w:val="21"/>
        </w:rPr>
        <w:t xml:space="preserve">What to plan for next</w:t>
      </w:r>
    </w:p>
    <w:p>
      <w:pPr>
        <w:pStyle w:val="ListParagraph"/>
        <w:numPr>
          <w:ilvl w:val="0"/>
          <w:numId w:val="2"/>
        </w:numPr>
        <w:spacing w:after="55"/>
      </w:pPr>
      <w:r>
        <w:rPr>
          <w:sz w:val="21"/>
          <w:szCs w:val="21"/>
        </w:rPr>
        <w:t xml:space="preserve">The driver progressive web app, deferred from the current scope</w:t>
      </w:r>
    </w:p>
    <w:p>
      <w:pPr>
        <w:pStyle w:val="ListParagraph"/>
        <w:numPr>
          <w:ilvl w:val="0"/>
          <w:numId w:val="2"/>
        </w:numPr>
        <w:spacing w:after="55"/>
      </w:pPr>
      <w:r>
        <w:rPr>
          <w:sz w:val="21"/>
          <w:szCs w:val="21"/>
        </w:rPr>
        <w:t xml:space="preserve">EPR credit tracking, deferred pending Urbeno's own research</w:t>
      </w:r>
    </w:p>
    <w:p>
      <w:pPr>
        <w:pStyle w:val="ListParagraph"/>
        <w:numPr>
          <w:ilvl w:val="0"/>
          <w:numId w:val="2"/>
        </w:numPr>
        <w:spacing w:after="55"/>
      </w:pPr>
      <w:r>
        <w:rPr>
          <w:sz w:val="21"/>
          <w:szCs w:val="21"/>
        </w:rPr>
        <w:t xml:space="preserve">CPCB portal integration, if and when an API becomes available</w:t>
      </w:r>
    </w:p>
    <w:p>
      <w:pPr>
        <w:pStyle w:val="ListParagraph"/>
        <w:numPr>
          <w:ilvl w:val="0"/>
          <w:numId w:val="2"/>
        </w:numPr>
        <w:spacing w:after="55"/>
      </w:pPr>
      <w:r>
        <w:rPr>
          <w:sz w:val="21"/>
          <w:szCs w:val="21"/>
        </w:rPr>
        <w:t xml:space="preserve">Accounting integration with Tally or Zoho Books</w:t>
      </w:r>
    </w:p>
    <w:p>
      <w:pPr>
        <w:pStyle w:val="ListParagraph"/>
        <w:numPr>
          <w:ilvl w:val="0"/>
          <w:numId w:val="2"/>
        </w:numPr>
        <w:spacing w:after="55"/>
      </w:pPr>
      <w:r>
        <w:rPr>
          <w:sz w:val="21"/>
          <w:szCs w:val="21"/>
        </w:rPr>
        <w:t xml:space="preserve">Hindi and Kannada interface, which the architecture should already allow for</w:t>
      </w:r>
    </w:p>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Exit criteria — do not start the next phase until all of these are true</w:t>
            </w:r>
          </w:p>
          <w:p>
            <w:pPr>
              <w:spacing w:after="55"/>
            </w:pPr>
            <w:r>
              <w:rPr>
                <w:sz w:val="19"/>
                <w:szCs w:val="19"/>
              </w:rPr>
              <w:t xml:space="preserve">☐  Urbeno owns the code, the accounts and the credentials</w:t>
            </w:r>
          </w:p>
          <w:p>
            <w:pPr>
              <w:spacing w:after="55"/>
            </w:pPr>
            <w:r>
              <w:rPr>
                <w:sz w:val="19"/>
                <w:szCs w:val="19"/>
              </w:rPr>
              <w:t xml:space="preserve">☐  The runbook has been used by an Urbeno person to complete a real task</w:t>
            </w:r>
          </w:p>
          <w:p>
            <w:pPr>
              <w:spacing w:after="55"/>
            </w:pPr>
            <w:r>
              <w:rPr>
                <w:sz w:val="19"/>
                <w:szCs w:val="19"/>
              </w:rPr>
              <w:t xml:space="preserve">☐  Monitoring alerts reach Urbeno, not only the partner</w:t>
            </w:r>
          </w:p>
          <w:p>
            <w:pPr>
              <w:spacing w:after="55"/>
            </w:pPr>
            <w:r>
              <w:rPr>
                <w:sz w:val="19"/>
                <w:szCs w:val="19"/>
              </w:rPr>
              <w:t xml:space="preserve">☐  Warranty terms are agreed in writing</w:t>
            </w:r>
          </w:p>
          <w:p>
            <w:pPr>
              <w:spacing w:after="55"/>
            </w:pPr>
            <w:r>
              <w:rPr>
                <w:sz w:val="19"/>
                <w:szCs w:val="19"/>
              </w:rPr>
              <w:t xml:space="preserve">☐  The next phase of work is scoped, even if not commissioned</w:t>
            </w:r>
          </w:p>
        </w:tc>
      </w:tr>
    </w:tbl>
    <w:p>
      <w:r>
        <w:br w:type="page"/>
      </w:r>
    </w:p>
    <w:p>
      <w:pPr>
        <w:pStyle w:val="Heading1"/>
        <w:spacing w:after="160" w:before="400"/>
      </w:pPr>
      <w:r>
        <w:rPr>
          <w:b/>
          <w:bCs/>
          <w:color w:val="2A4D0C"/>
          <w:sz w:val="30"/>
          <w:szCs w:val="30"/>
        </w:rPr>
        <w:t xml:space="preserve">Appendix A — Prototype to production mapping</w:t>
      </w:r>
    </w:p>
    <w:p>
      <w:pPr>
        <w:spacing w:after="110"/>
        <w:jc w:val="left"/>
      </w:pPr>
      <w:r>
        <w:rPr>
          <w:sz w:val="21"/>
          <w:szCs w:val="21"/>
        </w:rPr>
        <w:t xml:space="preserve">Where each part of the prototype ends up. The prototype carries seventeen // MIGRATION: comments marking these points precisely.</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500"/>
      </w:tblGrid>
      <w:tr>
        <w:trPr>
          <w:tblHeader/>
        </w:trPr>
        <w:tc>
          <w:tcPr>
            <w:tcW w:type="dxa" w:w="2600"/>
            <w:shd w:fill="3B6D11" w:color="auto" w:val="clear"/>
            <w:tcMar>
              <w:top w:type="dxa" w:w="85"/>
              <w:left w:type="dxa" w:w="110"/>
              <w:bottom w:type="dxa" w:w="85"/>
              <w:right w:type="dxa" w:w="110"/>
            </w:tcMar>
          </w:tcPr>
          <w:p>
            <w:pPr>
              <w:jc w:val="left"/>
            </w:pPr>
            <w:r>
              <w:rPr>
                <w:b/>
                <w:bCs/>
                <w:color w:val="FFFFFF"/>
                <w:sz w:val="18"/>
                <w:szCs w:val="18"/>
              </w:rPr>
              <w:t xml:space="preserve">Prototype</w:t>
            </w:r>
          </w:p>
        </w:tc>
        <w:tc>
          <w:tcPr>
            <w:tcW w:type="dxa" w:w="3100"/>
            <w:shd w:fill="3B6D11" w:color="auto" w:val="clear"/>
            <w:tcMar>
              <w:top w:type="dxa" w:w="85"/>
              <w:left w:type="dxa" w:w="110"/>
              <w:bottom w:type="dxa" w:w="85"/>
              <w:right w:type="dxa" w:w="110"/>
            </w:tcMar>
          </w:tcPr>
          <w:p>
            <w:pPr>
              <w:jc w:val="left"/>
            </w:pPr>
            <w:r>
              <w:rPr>
                <w:b/>
                <w:bCs/>
                <w:color w:val="FFFFFF"/>
                <w:sz w:val="18"/>
                <w:szCs w:val="18"/>
              </w:rPr>
              <w:t xml:space="preserve">Production</w:t>
            </w:r>
          </w:p>
        </w:tc>
        <w:tc>
          <w:tcPr>
            <w:tcW w:type="dxa" w:w="3500"/>
            <w:shd w:fill="3B6D11" w:color="auto" w:val="clear"/>
            <w:tcMar>
              <w:top w:type="dxa" w:w="85"/>
              <w:left w:type="dxa" w:w="110"/>
              <w:bottom w:type="dxa" w:w="85"/>
              <w:right w:type="dxa" w:w="110"/>
            </w:tcMar>
          </w:tcPr>
          <w:p>
            <w:pPr>
              <w:jc w:val="left"/>
            </w:pPr>
            <w:r>
              <w:rPr>
                <w:b/>
                <w:bCs/>
                <w:color w:val="FFFFFF"/>
                <w:sz w:val="18"/>
                <w:szCs w:val="18"/>
              </w:rPr>
              <w:t xml:space="preserve">Note</w:t>
            </w:r>
          </w:p>
        </w:tc>
      </w:tr>
      <w:tr>
        <w:tc>
          <w:tcPr>
            <w:tcW w:type="dxa" w:w="2600"/>
            <w:tcMar>
              <w:top w:type="dxa" w:w="85"/>
              <w:left w:type="dxa" w:w="110"/>
              <w:bottom w:type="dxa" w:w="85"/>
              <w:right w:type="dxa" w:w="110"/>
            </w:tcMar>
          </w:tcPr>
          <w:p>
            <w:pPr>
              <w:jc w:val="left"/>
            </w:pPr>
            <w:r>
              <w:rPr>
                <w:b w:val="false"/>
                <w:bCs w:val="false"/>
                <w:sz w:val="18"/>
                <w:szCs w:val="18"/>
              </w:rPr>
              <w:t xml:space="preserve">localStorage + saveState()</w:t>
            </w:r>
          </w:p>
        </w:tc>
        <w:tc>
          <w:tcPr>
            <w:tcW w:type="dxa" w:w="3100"/>
            <w:tcMar>
              <w:top w:type="dxa" w:w="85"/>
              <w:left w:type="dxa" w:w="110"/>
              <w:bottom w:type="dxa" w:w="85"/>
              <w:right w:type="dxa" w:w="110"/>
            </w:tcMar>
          </w:tcPr>
          <w:p>
            <w:pPr>
              <w:jc w:val="left"/>
            </w:pPr>
            <w:r>
              <w:rPr>
                <w:b w:val="false"/>
                <w:bCs w:val="false"/>
                <w:sz w:val="18"/>
                <w:szCs w:val="18"/>
              </w:rPr>
              <w:t xml:space="preserve">Postgres</w:t>
            </w:r>
          </w:p>
        </w:tc>
        <w:tc>
          <w:tcPr>
            <w:tcW w:type="dxa" w:w="3500"/>
            <w:tcMar>
              <w:top w:type="dxa" w:w="85"/>
              <w:left w:type="dxa" w:w="110"/>
              <w:bottom w:type="dxa" w:w="85"/>
              <w:right w:type="dxa" w:w="110"/>
            </w:tcMar>
          </w:tcPr>
          <w:p>
            <w:pPr>
              <w:jc w:val="left"/>
            </w:pPr>
            <w:r>
              <w:rPr>
                <w:b w:val="false"/>
                <w:bCs w:val="false"/>
                <w:sz w:val="18"/>
                <w:szCs w:val="18"/>
              </w:rPr>
              <w:t xml:space="preserve">Delete entirely. Persistence becomes the database.</w:t>
            </w:r>
          </w:p>
        </w:tc>
      </w:tr>
      <w:tr>
        <w:tc>
          <w:tcPr>
            <w:tcW w:type="dxa" w:w="2600"/>
            <w:tcMar>
              <w:top w:type="dxa" w:w="85"/>
              <w:left w:type="dxa" w:w="110"/>
              <w:bottom w:type="dxa" w:w="85"/>
              <w:right w:type="dxa" w:w="110"/>
            </w:tcMar>
          </w:tcPr>
          <w:p>
            <w:pPr>
              <w:jc w:val="left"/>
            </w:pPr>
            <w:r>
              <w:rPr>
                <w:b w:val="false"/>
                <w:bCs w:val="false"/>
                <w:sz w:val="18"/>
                <w:szCs w:val="18"/>
              </w:rPr>
              <w:t xml:space="preserve">db.subs, db.inv, db.veh</w:t>
            </w:r>
          </w:p>
        </w:tc>
        <w:tc>
          <w:tcPr>
            <w:tcW w:type="dxa" w:w="3100"/>
            <w:tcMar>
              <w:top w:type="dxa" w:w="85"/>
              <w:left w:type="dxa" w:w="110"/>
              <w:bottom w:type="dxa" w:w="85"/>
              <w:right w:type="dxa" w:w="110"/>
            </w:tcMar>
          </w:tcPr>
          <w:p>
            <w:pPr>
              <w:jc w:val="left"/>
            </w:pPr>
            <w:r>
              <w:rPr>
                <w:b w:val="false"/>
                <w:bCs w:val="false"/>
                <w:sz w:val="18"/>
                <w:szCs w:val="18"/>
              </w:rPr>
              <w:t xml:space="preserve">REST resources</w:t>
            </w:r>
          </w:p>
        </w:tc>
        <w:tc>
          <w:tcPr>
            <w:tcW w:type="dxa" w:w="3500"/>
            <w:tcMar>
              <w:top w:type="dxa" w:w="85"/>
              <w:left w:type="dxa" w:w="110"/>
              <w:bottom w:type="dxa" w:w="85"/>
              <w:right w:type="dxa" w:w="110"/>
            </w:tcMar>
          </w:tcPr>
          <w:p>
            <w:pPr>
              <w:jc w:val="left"/>
            </w:pPr>
            <w:r>
              <w:rPr>
                <w:b w:val="false"/>
                <w:bCs w:val="false"/>
                <w:sz w:val="18"/>
                <w:szCs w:val="18"/>
              </w:rPr>
              <w:t xml:space="preserve">One endpoint group per service object.</w:t>
            </w:r>
          </w:p>
        </w:tc>
      </w:tr>
      <w:tr>
        <w:tc>
          <w:tcPr>
            <w:tcW w:type="dxa" w:w="2600"/>
            <w:tcMar>
              <w:top w:type="dxa" w:w="85"/>
              <w:left w:type="dxa" w:w="110"/>
              <w:bottom w:type="dxa" w:w="85"/>
              <w:right w:type="dxa" w:w="110"/>
            </w:tcMar>
          </w:tcPr>
          <w:p>
            <w:pPr>
              <w:jc w:val="left"/>
            </w:pPr>
            <w:r>
              <w:rPr>
                <w:b w:val="false"/>
                <w:bCs w:val="false"/>
                <w:sz w:val="18"/>
                <w:szCs w:val="18"/>
              </w:rPr>
              <w:t xml:space="preserve">auth with SHA-256</w:t>
            </w:r>
          </w:p>
        </w:tc>
        <w:tc>
          <w:tcPr>
            <w:tcW w:type="dxa" w:w="3100"/>
            <w:tcMar>
              <w:top w:type="dxa" w:w="85"/>
              <w:left w:type="dxa" w:w="110"/>
              <w:bottom w:type="dxa" w:w="85"/>
              <w:right w:type="dxa" w:w="110"/>
            </w:tcMar>
          </w:tcPr>
          <w:p>
            <w:pPr>
              <w:jc w:val="left"/>
            </w:pPr>
            <w:r>
              <w:rPr>
                <w:b w:val="false"/>
                <w:bCs w:val="false"/>
                <w:sz w:val="18"/>
                <w:szCs w:val="18"/>
              </w:rPr>
              <w:t xml:space="preserve">bcrypt or argon2 + server sessions</w:t>
            </w:r>
          </w:p>
        </w:tc>
        <w:tc>
          <w:tcPr>
            <w:tcW w:type="dxa" w:w="3500"/>
            <w:tcMar>
              <w:top w:type="dxa" w:w="85"/>
              <w:left w:type="dxa" w:w="110"/>
              <w:bottom w:type="dxa" w:w="85"/>
              <w:right w:type="dxa" w:w="110"/>
            </w:tcMar>
          </w:tcPr>
          <w:p>
            <w:pPr>
              <w:jc w:val="left"/>
            </w:pPr>
            <w:r>
              <w:rPr>
                <w:b w:val="false"/>
                <w:bCs w:val="false"/>
                <w:sz w:val="18"/>
                <w:szCs w:val="18"/>
              </w:rPr>
              <w:t xml:space="preserve">Prototype hashing is demo-grade and labelled as such.</w:t>
            </w:r>
          </w:p>
        </w:tc>
      </w:tr>
      <w:tr>
        <w:tc>
          <w:tcPr>
            <w:tcW w:type="dxa" w:w="2600"/>
            <w:tcMar>
              <w:top w:type="dxa" w:w="85"/>
              <w:left w:type="dxa" w:w="110"/>
              <w:bottom w:type="dxa" w:w="85"/>
              <w:right w:type="dxa" w:w="110"/>
            </w:tcMar>
          </w:tcPr>
          <w:p>
            <w:pPr>
              <w:jc w:val="left"/>
            </w:pPr>
            <w:r>
              <w:rPr>
                <w:b w:val="false"/>
                <w:bCs w:val="false"/>
                <w:sz w:val="18"/>
                <w:szCs w:val="18"/>
              </w:rPr>
              <w:t xml:space="preserve">audit.log()</w:t>
            </w:r>
          </w:p>
        </w:tc>
        <w:tc>
          <w:tcPr>
            <w:tcW w:type="dxa" w:w="3100"/>
            <w:tcMar>
              <w:top w:type="dxa" w:w="85"/>
              <w:left w:type="dxa" w:w="110"/>
              <w:bottom w:type="dxa" w:w="85"/>
              <w:right w:type="dxa" w:w="110"/>
            </w:tcMar>
          </w:tcPr>
          <w:p>
            <w:pPr>
              <w:jc w:val="left"/>
            </w:pPr>
            <w:r>
              <w:rPr>
                <w:b w:val="false"/>
                <w:bCs w:val="false"/>
                <w:sz w:val="18"/>
                <w:szCs w:val="18"/>
              </w:rPr>
              <w:t xml:space="preserve">Append-only table</w:t>
            </w:r>
          </w:p>
        </w:tc>
        <w:tc>
          <w:tcPr>
            <w:tcW w:type="dxa" w:w="3500"/>
            <w:tcMar>
              <w:top w:type="dxa" w:w="85"/>
              <w:left w:type="dxa" w:w="110"/>
              <w:bottom w:type="dxa" w:w="85"/>
              <w:right w:type="dxa" w:w="110"/>
            </w:tcMar>
          </w:tcPr>
          <w:p>
            <w:pPr>
              <w:jc w:val="left"/>
            </w:pPr>
            <w:r>
              <w:rPr>
                <w:b w:val="false"/>
                <w:bCs w:val="false"/>
                <w:sz w:val="18"/>
                <w:szCs w:val="18"/>
              </w:rPr>
              <w:t xml:space="preserve">Same payload shape. No update or delete permission.</w:t>
            </w:r>
          </w:p>
        </w:tc>
      </w:tr>
      <w:tr>
        <w:tc>
          <w:tcPr>
            <w:tcW w:type="dxa" w:w="2600"/>
            <w:tcMar>
              <w:top w:type="dxa" w:w="85"/>
              <w:left w:type="dxa" w:w="110"/>
              <w:bottom w:type="dxa" w:w="85"/>
              <w:right w:type="dxa" w:w="110"/>
            </w:tcMar>
          </w:tcPr>
          <w:p>
            <w:pPr>
              <w:jc w:val="left"/>
            </w:pPr>
            <w:r>
              <w:rPr>
                <w:b w:val="false"/>
                <w:bCs w:val="false"/>
                <w:sz w:val="18"/>
                <w:szCs w:val="18"/>
              </w:rPr>
              <w:t xml:space="preserve">notify.send()</w:t>
            </w:r>
          </w:p>
        </w:tc>
        <w:tc>
          <w:tcPr>
            <w:tcW w:type="dxa" w:w="3100"/>
            <w:tcMar>
              <w:top w:type="dxa" w:w="85"/>
              <w:left w:type="dxa" w:w="110"/>
              <w:bottom w:type="dxa" w:w="85"/>
              <w:right w:type="dxa" w:w="110"/>
            </w:tcMar>
          </w:tcPr>
          <w:p>
            <w:pPr>
              <w:jc w:val="left"/>
            </w:pPr>
            <w:r>
              <w:rPr>
                <w:b w:val="false"/>
                <w:bCs w:val="false"/>
                <w:sz w:val="18"/>
                <w:szCs w:val="18"/>
              </w:rPr>
              <w:t xml:space="preserve">Notifications table + push</w:t>
            </w:r>
          </w:p>
        </w:tc>
        <w:tc>
          <w:tcPr>
            <w:tcW w:type="dxa" w:w="3500"/>
            <w:tcMar>
              <w:top w:type="dxa" w:w="85"/>
              <w:left w:type="dxa" w:w="110"/>
              <w:bottom w:type="dxa" w:w="85"/>
              <w:right w:type="dxa" w:w="110"/>
            </w:tcMar>
          </w:tcPr>
          <w:p>
            <w:pPr>
              <w:jc w:val="left"/>
            </w:pPr>
            <w:r>
              <w:rPr>
                <w:b w:val="false"/>
                <w:bCs w:val="false"/>
                <w:sz w:val="18"/>
                <w:szCs w:val="18"/>
              </w:rPr>
              <w:t xml:space="preserve">In-app bell already modelled.</w:t>
            </w:r>
          </w:p>
        </w:tc>
      </w:tr>
      <w:tr>
        <w:tc>
          <w:tcPr>
            <w:tcW w:type="dxa" w:w="2600"/>
            <w:tcMar>
              <w:top w:type="dxa" w:w="85"/>
              <w:left w:type="dxa" w:w="110"/>
              <w:bottom w:type="dxa" w:w="85"/>
              <w:right w:type="dxa" w:w="110"/>
            </w:tcMar>
          </w:tcPr>
          <w:p>
            <w:pPr>
              <w:jc w:val="left"/>
            </w:pPr>
            <w:r>
              <w:rPr>
                <w:b w:val="false"/>
                <w:bCs w:val="false"/>
                <w:sz w:val="18"/>
                <w:szCs w:val="18"/>
              </w:rPr>
              <w:t xml:space="preserve">mail._deliver()</w:t>
            </w:r>
          </w:p>
        </w:tc>
        <w:tc>
          <w:tcPr>
            <w:tcW w:type="dxa" w:w="3100"/>
            <w:tcMar>
              <w:top w:type="dxa" w:w="85"/>
              <w:left w:type="dxa" w:w="110"/>
              <w:bottom w:type="dxa" w:w="85"/>
              <w:right w:type="dxa" w:w="110"/>
            </w:tcMar>
          </w:tcPr>
          <w:p>
            <w:pPr>
              <w:jc w:val="left"/>
            </w:pPr>
            <w:r>
              <w:rPr>
                <w:b w:val="false"/>
                <w:bCs w:val="false"/>
                <w:sz w:val="18"/>
                <w:szCs w:val="18"/>
              </w:rPr>
              <w:t xml:space="preserve">Email provider API</w:t>
            </w:r>
          </w:p>
        </w:tc>
        <w:tc>
          <w:tcPr>
            <w:tcW w:type="dxa" w:w="3500"/>
            <w:tcMar>
              <w:top w:type="dxa" w:w="85"/>
              <w:left w:type="dxa" w:w="110"/>
              <w:bottom w:type="dxa" w:w="85"/>
              <w:right w:type="dxa" w:w="110"/>
            </w:tcMar>
          </w:tcPr>
          <w:p>
            <w:pPr>
              <w:jc w:val="left"/>
            </w:pPr>
            <w:r>
              <w:rPr>
                <w:b w:val="false"/>
                <w:bCs w:val="false"/>
                <w:sz w:val="18"/>
                <w:szCs w:val="18"/>
              </w:rPr>
              <w:t xml:space="preserve">Template resolution and merge logic port unchanged.</w:t>
            </w:r>
          </w:p>
        </w:tc>
      </w:tr>
      <w:tr>
        <w:tc>
          <w:tcPr>
            <w:tcW w:type="dxa" w:w="2600"/>
            <w:tcMar>
              <w:top w:type="dxa" w:w="85"/>
              <w:left w:type="dxa" w:w="110"/>
              <w:bottom w:type="dxa" w:w="85"/>
              <w:right w:type="dxa" w:w="110"/>
            </w:tcMar>
          </w:tcPr>
          <w:p>
            <w:pPr>
              <w:jc w:val="left"/>
            </w:pPr>
            <w:r>
              <w:rPr>
                <w:b w:val="false"/>
                <w:bCs w:val="false"/>
                <w:sz w:val="18"/>
                <w:szCs w:val="18"/>
              </w:rPr>
              <w:t xml:space="preserve">files with data URIs</w:t>
            </w:r>
          </w:p>
        </w:tc>
        <w:tc>
          <w:tcPr>
            <w:tcW w:type="dxa" w:w="3100"/>
            <w:tcMar>
              <w:top w:type="dxa" w:w="85"/>
              <w:left w:type="dxa" w:w="110"/>
              <w:bottom w:type="dxa" w:w="85"/>
              <w:right w:type="dxa" w:w="110"/>
            </w:tcMar>
          </w:tcPr>
          <w:p>
            <w:pPr>
              <w:jc w:val="left"/>
            </w:pPr>
            <w:r>
              <w:rPr>
                <w:b w:val="false"/>
                <w:bCs w:val="false"/>
                <w:sz w:val="18"/>
                <w:szCs w:val="18"/>
              </w:rPr>
              <w:t xml:space="preserve">S3 with pre-signed URLs</w:t>
            </w:r>
          </w:p>
        </w:tc>
        <w:tc>
          <w:tcPr>
            <w:tcW w:type="dxa" w:w="3500"/>
            <w:tcMar>
              <w:top w:type="dxa" w:w="85"/>
              <w:left w:type="dxa" w:w="110"/>
              <w:bottom w:type="dxa" w:w="85"/>
              <w:right w:type="dxa" w:w="110"/>
            </w:tcMar>
          </w:tcPr>
          <w:p>
            <w:pPr>
              <w:jc w:val="left"/>
            </w:pPr>
            <w:r>
              <w:rPr>
                <w:b w:val="false"/>
                <w:bCs w:val="false"/>
                <w:sz w:val="18"/>
                <w:szCs w:val="18"/>
              </w:rPr>
              <w:t xml:space="preserve">Metadata stays in the database.</w:t>
            </w:r>
          </w:p>
        </w:tc>
      </w:tr>
      <w:tr>
        <w:tc>
          <w:tcPr>
            <w:tcW w:type="dxa" w:w="2600"/>
            <w:tcMar>
              <w:top w:type="dxa" w:w="85"/>
              <w:left w:type="dxa" w:w="110"/>
              <w:bottom w:type="dxa" w:w="85"/>
              <w:right w:type="dxa" w:w="110"/>
            </w:tcMar>
          </w:tcPr>
          <w:p>
            <w:pPr>
              <w:jc w:val="left"/>
            </w:pPr>
            <w:r>
              <w:rPr>
                <w:b w:val="false"/>
                <w:bCs w:val="false"/>
                <w:sz w:val="18"/>
                <w:szCs w:val="18"/>
              </w:rPr>
              <w:t xml:space="preserve">jsPDF in the browser</w:t>
            </w:r>
          </w:p>
        </w:tc>
        <w:tc>
          <w:tcPr>
            <w:tcW w:type="dxa" w:w="3100"/>
            <w:tcMar>
              <w:top w:type="dxa" w:w="85"/>
              <w:left w:type="dxa" w:w="110"/>
              <w:bottom w:type="dxa" w:w="85"/>
              <w:right w:type="dxa" w:w="110"/>
            </w:tcMar>
          </w:tcPr>
          <w:p>
            <w:pPr>
              <w:jc w:val="left"/>
            </w:pPr>
            <w:r>
              <w:rPr>
                <w:b w:val="false"/>
                <w:bCs w:val="false"/>
                <w:sz w:val="18"/>
                <w:szCs w:val="18"/>
              </w:rPr>
              <w:t xml:space="preserve">Server-side generation</w:t>
            </w:r>
          </w:p>
        </w:tc>
        <w:tc>
          <w:tcPr>
            <w:tcW w:type="dxa" w:w="3500"/>
            <w:tcMar>
              <w:top w:type="dxa" w:w="85"/>
              <w:left w:type="dxa" w:w="110"/>
              <w:bottom w:type="dxa" w:w="85"/>
              <w:right w:type="dxa" w:w="110"/>
            </w:tcMar>
          </w:tcPr>
          <w:p>
            <w:pPr>
              <w:jc w:val="left"/>
            </w:pPr>
            <w:r>
              <w:rPr>
                <w:b w:val="false"/>
                <w:bCs w:val="false"/>
                <w:sz w:val="18"/>
                <w:szCs w:val="18"/>
              </w:rPr>
              <w:t xml:space="preserve">Documents must be reproducible and job-generatable.</w:t>
            </w:r>
          </w:p>
        </w:tc>
      </w:tr>
      <w:tr>
        <w:tc>
          <w:tcPr>
            <w:tcW w:type="dxa" w:w="2600"/>
            <w:tcMar>
              <w:top w:type="dxa" w:w="85"/>
              <w:left w:type="dxa" w:w="110"/>
              <w:bottom w:type="dxa" w:w="85"/>
              <w:right w:type="dxa" w:w="110"/>
            </w:tcMar>
          </w:tcPr>
          <w:p>
            <w:pPr>
              <w:jc w:val="left"/>
            </w:pPr>
            <w:r>
              <w:rPr>
                <w:b w:val="false"/>
                <w:bCs w:val="false"/>
                <w:sz w:val="18"/>
                <w:szCs w:val="18"/>
              </w:rPr>
              <w:t xml:space="preserve">catm.utilization()</w:t>
            </w:r>
          </w:p>
        </w:tc>
        <w:tc>
          <w:tcPr>
            <w:tcW w:type="dxa" w:w="3100"/>
            <w:tcMar>
              <w:top w:type="dxa" w:w="85"/>
              <w:left w:type="dxa" w:w="110"/>
              <w:bottom w:type="dxa" w:w="85"/>
              <w:right w:type="dxa" w:w="110"/>
            </w:tcMar>
          </w:tcPr>
          <w:p>
            <w:pPr>
              <w:jc w:val="left"/>
            </w:pPr>
            <w:r>
              <w:rPr>
                <w:b w:val="false"/>
                <w:bCs w:val="false"/>
                <w:sz w:val="18"/>
                <w:szCs w:val="18"/>
              </w:rPr>
              <w:t xml:space="preserve">Aggregate query</w:t>
            </w:r>
          </w:p>
        </w:tc>
        <w:tc>
          <w:tcPr>
            <w:tcW w:type="dxa" w:w="3500"/>
            <w:tcMar>
              <w:top w:type="dxa" w:w="85"/>
              <w:left w:type="dxa" w:w="110"/>
              <w:bottom w:type="dxa" w:w="85"/>
              <w:right w:type="dxa" w:w="110"/>
            </w:tcMar>
          </w:tcPr>
          <w:p>
            <w:pPr>
              <w:jc w:val="left"/>
            </w:pPr>
            <w:r>
              <w:rPr>
                <w:b w:val="false"/>
                <w:bCs w:val="false"/>
                <w:sz w:val="18"/>
                <w:szCs w:val="18"/>
              </w:rPr>
              <w:t xml:space="preserve">Per facility, per fiscal year.</w:t>
            </w:r>
          </w:p>
        </w:tc>
      </w:tr>
      <w:tr>
        <w:tc>
          <w:tcPr>
            <w:tcW w:type="dxa" w:w="2600"/>
            <w:tcMar>
              <w:top w:type="dxa" w:w="85"/>
              <w:left w:type="dxa" w:w="110"/>
              <w:bottom w:type="dxa" w:w="85"/>
              <w:right w:type="dxa" w:w="110"/>
            </w:tcMar>
          </w:tcPr>
          <w:p>
            <w:pPr>
              <w:jc w:val="left"/>
            </w:pPr>
            <w:r>
              <w:rPr>
                <w:b w:val="false"/>
                <w:bCs w:val="false"/>
                <w:sz w:val="18"/>
                <w:szCs w:val="18"/>
              </w:rPr>
              <w:t xml:space="preserve">invStage()</w:t>
            </w:r>
          </w:p>
        </w:tc>
        <w:tc>
          <w:tcPr>
            <w:tcW w:type="dxa" w:w="3100"/>
            <w:tcMar>
              <w:top w:type="dxa" w:w="85"/>
              <w:left w:type="dxa" w:w="110"/>
              <w:bottom w:type="dxa" w:w="85"/>
              <w:right w:type="dxa" w:w="110"/>
            </w:tcMar>
          </w:tcPr>
          <w:p>
            <w:pPr>
              <w:jc w:val="left"/>
            </w:pPr>
            <w:r>
              <w:rPr>
                <w:b w:val="false"/>
                <w:bCs w:val="false"/>
                <w:sz w:val="18"/>
                <w:szCs w:val="18"/>
              </w:rPr>
              <w:t xml:space="preserve">View, generated column or shared function</w:t>
            </w:r>
          </w:p>
        </w:tc>
        <w:tc>
          <w:tcPr>
            <w:tcW w:type="dxa" w:w="3500"/>
            <w:tcMar>
              <w:top w:type="dxa" w:w="85"/>
              <w:left w:type="dxa" w:w="110"/>
              <w:bottom w:type="dxa" w:w="85"/>
              <w:right w:type="dxa" w:w="110"/>
            </w:tcMar>
          </w:tcPr>
          <w:p>
            <w:pPr>
              <w:jc w:val="left"/>
            </w:pPr>
            <w:r>
              <w:rPr>
                <w:b w:val="false"/>
                <w:bCs w:val="false"/>
                <w:sz w:val="18"/>
                <w:szCs w:val="18"/>
              </w:rPr>
              <w:t xml:space="preserve">Never a stored counter alone.</w:t>
            </w:r>
          </w:p>
        </w:tc>
      </w:tr>
      <w:tr>
        <w:tc>
          <w:tcPr>
            <w:tcW w:type="dxa" w:w="2600"/>
            <w:tcMar>
              <w:top w:type="dxa" w:w="85"/>
              <w:left w:type="dxa" w:w="110"/>
              <w:bottom w:type="dxa" w:w="85"/>
              <w:right w:type="dxa" w:w="110"/>
            </w:tcMar>
          </w:tcPr>
          <w:p>
            <w:pPr>
              <w:jc w:val="left"/>
            </w:pPr>
            <w:r>
              <w:rPr>
                <w:b w:val="false"/>
                <w:bCs w:val="false"/>
                <w:sz w:val="18"/>
                <w:szCs w:val="18"/>
              </w:rPr>
              <w:t xml:space="preserve">CATEGORY_MASTER_SEED</w:t>
            </w:r>
          </w:p>
        </w:tc>
        <w:tc>
          <w:tcPr>
            <w:tcW w:type="dxa" w:w="3100"/>
            <w:tcMar>
              <w:top w:type="dxa" w:w="85"/>
              <w:left w:type="dxa" w:w="110"/>
              <w:bottom w:type="dxa" w:w="85"/>
              <w:right w:type="dxa" w:w="110"/>
            </w:tcMar>
          </w:tcPr>
          <w:p>
            <w:pPr>
              <w:jc w:val="left"/>
            </w:pPr>
            <w:r>
              <w:rPr>
                <w:b w:val="false"/>
                <w:bCs w:val="false"/>
                <w:sz w:val="18"/>
                <w:szCs w:val="18"/>
              </w:rPr>
              <w:t xml:space="preserve">category_master table</w:t>
            </w:r>
          </w:p>
        </w:tc>
        <w:tc>
          <w:tcPr>
            <w:tcW w:type="dxa" w:w="3500"/>
            <w:tcMar>
              <w:top w:type="dxa" w:w="85"/>
              <w:left w:type="dxa" w:w="110"/>
              <w:bottom w:type="dxa" w:w="85"/>
              <w:right w:type="dxa" w:w="110"/>
            </w:tcMar>
          </w:tcPr>
          <w:p>
            <w:pPr>
              <w:jc w:val="left"/>
            </w:pPr>
            <w:r>
              <w:rPr>
                <w:b w:val="false"/>
                <w:bCs w:val="false"/>
                <w:sz w:val="18"/>
                <w:szCs w:val="18"/>
              </w:rPr>
              <w:t xml:space="preserve">252 rows, 126 per facility.</w:t>
            </w:r>
          </w:p>
        </w:tc>
      </w:tr>
      <w:tr>
        <w:tc>
          <w:tcPr>
            <w:tcW w:type="dxa" w:w="2600"/>
            <w:tcMar>
              <w:top w:type="dxa" w:w="85"/>
              <w:left w:type="dxa" w:w="110"/>
              <w:bottom w:type="dxa" w:w="85"/>
              <w:right w:type="dxa" w:w="110"/>
            </w:tcMar>
          </w:tcPr>
          <w:p>
            <w:pPr>
              <w:jc w:val="left"/>
            </w:pPr>
            <w:r>
              <w:rPr>
                <w:b w:val="false"/>
                <w:bCs w:val="false"/>
                <w:sz w:val="18"/>
                <w:szCs w:val="18"/>
              </w:rPr>
              <w:t xml:space="preserve">backfillSeed()</w:t>
            </w:r>
          </w:p>
        </w:tc>
        <w:tc>
          <w:tcPr>
            <w:tcW w:type="dxa" w:w="3100"/>
            <w:tcMar>
              <w:top w:type="dxa" w:w="85"/>
              <w:left w:type="dxa" w:w="110"/>
              <w:bottom w:type="dxa" w:w="85"/>
              <w:right w:type="dxa" w:w="110"/>
            </w:tcMar>
          </w:tcPr>
          <w:p>
            <w:pPr>
              <w:jc w:val="left"/>
            </w:pPr>
            <w:r>
              <w:rPr>
                <w:b w:val="false"/>
                <w:bCs w:val="false"/>
                <w:sz w:val="18"/>
                <w:szCs w:val="18"/>
              </w:rPr>
              <w:t xml:space="preserve">Migration script</w:t>
            </w:r>
          </w:p>
        </w:tc>
        <w:tc>
          <w:tcPr>
            <w:tcW w:type="dxa" w:w="3500"/>
            <w:tcMar>
              <w:top w:type="dxa" w:w="85"/>
              <w:left w:type="dxa" w:w="110"/>
              <w:bottom w:type="dxa" w:w="85"/>
              <w:right w:type="dxa" w:w="110"/>
            </w:tcMar>
          </w:tcPr>
          <w:p>
            <w:pPr>
              <w:jc w:val="left"/>
            </w:pPr>
            <w:r>
              <w:rPr>
                <w:b w:val="false"/>
                <w:bCs w:val="false"/>
                <w:sz w:val="18"/>
                <w:szCs w:val="18"/>
              </w:rPr>
              <w:t xml:space="preserve">Repairs legacy shapes; delete once migration completes.</w:t>
            </w:r>
          </w:p>
        </w:tc>
      </w:tr>
    </w:tbl>
    <w:p>
      <w:r>
        <w:br w:type="page"/>
      </w:r>
    </w:p>
    <w:p>
      <w:pPr>
        <w:pStyle w:val="Heading1"/>
        <w:spacing w:after="160" w:before="400"/>
      </w:pPr>
      <w:r>
        <w:rPr>
          <w:b/>
          <w:bCs/>
          <w:color w:val="2A4D0C"/>
          <w:sz w:val="30"/>
          <w:szCs w:val="30"/>
        </w:rPr>
        <w:t xml:space="preserve">Appendix B — Test coverage to require</w:t>
      </w:r>
    </w:p>
    <w:p>
      <w:pPr>
        <w:spacing w:after="110"/>
        <w:jc w:val="left"/>
      </w:pPr>
      <w:r>
        <w:rPr>
          <w:sz w:val="21"/>
          <w:szCs w:val="21"/>
        </w:rPr>
        <w:t xml:space="preserve">The prototype ships with 711 automated assertions across six suites. That is the standard to hold the production build to, and the suites are a ready-made specification of expected behaviour.</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6900"/>
      </w:tblGrid>
      <w:tr>
        <w:trPr>
          <w:tblHeader/>
        </w:trPr>
        <w:tc>
          <w:tcPr>
            <w:tcW w:type="dxa" w:w="2300"/>
            <w:shd w:fill="3B6D11" w:color="auto" w:val="clear"/>
            <w:tcMar>
              <w:top w:type="dxa" w:w="85"/>
              <w:left w:type="dxa" w:w="110"/>
              <w:bottom w:type="dxa" w:w="85"/>
              <w:right w:type="dxa" w:w="110"/>
            </w:tcMar>
          </w:tcPr>
          <w:p>
            <w:pPr>
              <w:jc w:val="left"/>
            </w:pPr>
            <w:r>
              <w:rPr>
                <w:b/>
                <w:bCs/>
                <w:color w:val="FFFFFF"/>
                <w:sz w:val="18"/>
                <w:szCs w:val="18"/>
              </w:rPr>
              <w:t xml:space="preserve">Area</w:t>
            </w:r>
          </w:p>
        </w:tc>
        <w:tc>
          <w:tcPr>
            <w:tcW w:type="dxa" w:w="6900"/>
            <w:shd w:fill="3B6D11" w:color="auto" w:val="clear"/>
            <w:tcMar>
              <w:top w:type="dxa" w:w="85"/>
              <w:left w:type="dxa" w:w="110"/>
              <w:bottom w:type="dxa" w:w="85"/>
              <w:right w:type="dxa" w:w="110"/>
            </w:tcMar>
          </w:tcPr>
          <w:p>
            <w:pPr>
              <w:jc w:val="left"/>
            </w:pPr>
            <w:r>
              <w:rPr>
                <w:b/>
                <w:bCs/>
                <w:color w:val="FFFFFF"/>
                <w:sz w:val="18"/>
                <w:szCs w:val="18"/>
              </w:rPr>
              <w:t xml:space="preserve">What must be tested</w:t>
            </w:r>
          </w:p>
        </w:tc>
      </w:tr>
      <w:tr>
        <w:tc>
          <w:tcPr>
            <w:tcW w:type="dxa" w:w="2300"/>
            <w:tcMar>
              <w:top w:type="dxa" w:w="85"/>
              <w:left w:type="dxa" w:w="110"/>
              <w:bottom w:type="dxa" w:w="85"/>
              <w:right w:type="dxa" w:w="110"/>
            </w:tcMar>
          </w:tcPr>
          <w:p>
            <w:pPr>
              <w:jc w:val="left"/>
            </w:pPr>
            <w:r>
              <w:rPr>
                <w:b w:val="false"/>
                <w:bCs w:val="false"/>
                <w:sz w:val="18"/>
                <w:szCs w:val="18"/>
              </w:rPr>
              <w:t xml:space="preserve">Lifecycle</w:t>
            </w:r>
          </w:p>
        </w:tc>
        <w:tc>
          <w:tcPr>
            <w:tcW w:type="dxa" w:w="6900"/>
            <w:tcMar>
              <w:top w:type="dxa" w:w="85"/>
              <w:left w:type="dxa" w:w="110"/>
              <w:bottom w:type="dxa" w:w="85"/>
              <w:right w:type="dxa" w:w="110"/>
            </w:tcMar>
          </w:tcPr>
          <w:p>
            <w:pPr>
              <w:jc w:val="left"/>
            </w:pPr>
            <w:r>
              <w:rPr>
                <w:b w:val="false"/>
                <w:bCs w:val="false"/>
                <w:sz w:val="18"/>
                <w:szCs w:val="18"/>
              </w:rPr>
              <w:t xml:space="preserve">All nine stages, in order, for single and multi-invoice requests</w:t>
            </w:r>
          </w:p>
        </w:tc>
      </w:tr>
      <w:tr>
        <w:tc>
          <w:tcPr>
            <w:tcW w:type="dxa" w:w="2300"/>
            <w:tcMar>
              <w:top w:type="dxa" w:w="85"/>
              <w:left w:type="dxa" w:w="110"/>
              <w:bottom w:type="dxa" w:w="85"/>
              <w:right w:type="dxa" w:w="110"/>
            </w:tcMar>
          </w:tcPr>
          <w:p>
            <w:pPr>
              <w:jc w:val="left"/>
            </w:pPr>
            <w:r>
              <w:rPr>
                <w:b w:val="false"/>
                <w:bCs w:val="false"/>
                <w:sz w:val="18"/>
                <w:szCs w:val="18"/>
              </w:rPr>
              <w:t xml:space="preserve">Validation refusals</w:t>
            </w:r>
          </w:p>
        </w:tc>
        <w:tc>
          <w:tcPr>
            <w:tcW w:type="dxa" w:w="6900"/>
            <w:tcMar>
              <w:top w:type="dxa" w:w="85"/>
              <w:left w:type="dxa" w:w="110"/>
              <w:bottom w:type="dxa" w:w="85"/>
              <w:right w:type="dxa" w:w="110"/>
            </w:tcMar>
          </w:tcPr>
          <w:p>
            <w:pPr>
              <w:jc w:val="left"/>
            </w:pPr>
            <w:r>
              <w:rPr>
                <w:b w:val="false"/>
                <w:bCs w:val="false"/>
                <w:sz w:val="18"/>
                <w:szCs w:val="18"/>
              </w:rPr>
              <w:t xml:space="preserve">Every rule that refuses: unbalanced split, missing photo, deviation without note, closure without payment, duplicate certificate number</w:t>
            </w:r>
          </w:p>
        </w:tc>
      </w:tr>
      <w:tr>
        <w:tc>
          <w:tcPr>
            <w:tcW w:type="dxa" w:w="2300"/>
            <w:tcMar>
              <w:top w:type="dxa" w:w="85"/>
              <w:left w:type="dxa" w:w="110"/>
              <w:bottom w:type="dxa" w:w="85"/>
              <w:right w:type="dxa" w:w="110"/>
            </w:tcMar>
          </w:tcPr>
          <w:p>
            <w:pPr>
              <w:jc w:val="left"/>
            </w:pPr>
            <w:r>
              <w:rPr>
                <w:b w:val="false"/>
                <w:bCs w:val="false"/>
                <w:sz w:val="18"/>
                <w:szCs w:val="18"/>
              </w:rPr>
              <w:t xml:space="preserve">Tenant isolation</w:t>
            </w:r>
          </w:p>
        </w:tc>
        <w:tc>
          <w:tcPr>
            <w:tcW w:type="dxa" w:w="6900"/>
            <w:tcMar>
              <w:top w:type="dxa" w:w="85"/>
              <w:left w:type="dxa" w:w="110"/>
              <w:bottom w:type="dxa" w:w="85"/>
              <w:right w:type="dxa" w:w="110"/>
            </w:tcMar>
          </w:tcPr>
          <w:p>
            <w:pPr>
              <w:jc w:val="left"/>
            </w:pPr>
            <w:r>
              <w:rPr>
                <w:b w:val="false"/>
                <w:bCs w:val="false"/>
                <w:sz w:val="18"/>
                <w:szCs w:val="18"/>
              </w:rPr>
              <w:t xml:space="preserve">Cross-client access attempts on every resource type</w:t>
            </w:r>
          </w:p>
        </w:tc>
      </w:tr>
      <w:tr>
        <w:tc>
          <w:tcPr>
            <w:tcW w:type="dxa" w:w="2300"/>
            <w:tcMar>
              <w:top w:type="dxa" w:w="85"/>
              <w:left w:type="dxa" w:w="110"/>
              <w:bottom w:type="dxa" w:w="85"/>
              <w:right w:type="dxa" w:w="110"/>
            </w:tcMar>
          </w:tcPr>
          <w:p>
            <w:pPr>
              <w:jc w:val="left"/>
            </w:pPr>
            <w:r>
              <w:rPr>
                <w:b w:val="false"/>
                <w:bCs w:val="false"/>
                <w:sz w:val="18"/>
                <w:szCs w:val="18"/>
              </w:rPr>
              <w:t xml:space="preserve">Role scoping</w:t>
            </w:r>
          </w:p>
        </w:tc>
        <w:tc>
          <w:tcPr>
            <w:tcW w:type="dxa" w:w="6900"/>
            <w:tcMar>
              <w:top w:type="dxa" w:w="85"/>
              <w:left w:type="dxa" w:w="110"/>
              <w:bottom w:type="dxa" w:w="85"/>
              <w:right w:type="dxa" w:w="110"/>
            </w:tcMar>
          </w:tcPr>
          <w:p>
            <w:pPr>
              <w:jc w:val="left"/>
            </w:pPr>
            <w:r>
              <w:rPr>
                <w:b w:val="false"/>
                <w:bCs w:val="false"/>
                <w:sz w:val="18"/>
                <w:szCs w:val="18"/>
              </w:rPr>
              <w:t xml:space="preserve">Client, site-scoped client, factory and admin against every endpoint</w:t>
            </w:r>
          </w:p>
        </w:tc>
      </w:tr>
      <w:tr>
        <w:tc>
          <w:tcPr>
            <w:tcW w:type="dxa" w:w="2300"/>
            <w:tcMar>
              <w:top w:type="dxa" w:w="85"/>
              <w:left w:type="dxa" w:w="110"/>
              <w:bottom w:type="dxa" w:w="85"/>
              <w:right w:type="dxa" w:w="110"/>
            </w:tcMar>
          </w:tcPr>
          <w:p>
            <w:pPr>
              <w:jc w:val="left"/>
            </w:pPr>
            <w:r>
              <w:rPr>
                <w:b w:val="false"/>
                <w:bCs w:val="false"/>
                <w:sz w:val="18"/>
                <w:szCs w:val="18"/>
              </w:rPr>
              <w:t xml:space="preserve">MRN sequencing</w:t>
            </w:r>
          </w:p>
        </w:tc>
        <w:tc>
          <w:tcPr>
            <w:tcW w:type="dxa" w:w="6900"/>
            <w:tcMar>
              <w:top w:type="dxa" w:w="85"/>
              <w:left w:type="dxa" w:w="110"/>
              <w:bottom w:type="dxa" w:w="85"/>
              <w:right w:type="dxa" w:w="110"/>
            </w:tcMar>
          </w:tcPr>
          <w:p>
            <w:pPr>
              <w:jc w:val="left"/>
            </w:pPr>
            <w:r>
              <w:rPr>
                <w:b w:val="false"/>
                <w:bCs w:val="false"/>
                <w:sz w:val="18"/>
                <w:szCs w:val="18"/>
              </w:rPr>
              <w:t xml:space="preserve">Concurrency, fiscal-year reset, per-facility isolation</w:t>
            </w:r>
          </w:p>
        </w:tc>
      </w:tr>
      <w:tr>
        <w:tc>
          <w:tcPr>
            <w:tcW w:type="dxa" w:w="2300"/>
            <w:tcMar>
              <w:top w:type="dxa" w:w="85"/>
              <w:left w:type="dxa" w:w="110"/>
              <w:bottom w:type="dxa" w:w="85"/>
              <w:right w:type="dxa" w:w="110"/>
            </w:tcMar>
          </w:tcPr>
          <w:p>
            <w:pPr>
              <w:jc w:val="left"/>
            </w:pPr>
            <w:r>
              <w:rPr>
                <w:b w:val="false"/>
                <w:bCs w:val="false"/>
                <w:sz w:val="18"/>
                <w:szCs w:val="18"/>
              </w:rPr>
              <w:t xml:space="preserve">Fiscal year</w:t>
            </w:r>
          </w:p>
        </w:tc>
        <w:tc>
          <w:tcPr>
            <w:tcW w:type="dxa" w:w="6900"/>
            <w:tcMar>
              <w:top w:type="dxa" w:w="85"/>
              <w:left w:type="dxa" w:w="110"/>
              <w:bottom w:type="dxa" w:w="85"/>
              <w:right w:type="dxa" w:w="110"/>
            </w:tcMar>
          </w:tcPr>
          <w:p>
            <w:pPr>
              <w:jc w:val="left"/>
            </w:pPr>
            <w:r>
              <w:rPr>
                <w:b w:val="false"/>
                <w:bCs w:val="false"/>
                <w:sz w:val="18"/>
                <w:szCs w:val="18"/>
              </w:rPr>
              <w:t xml:space="preserve">Boundary dates at 31 March and 1 April across reports, capacity and sequences</w:t>
            </w:r>
          </w:p>
        </w:tc>
      </w:tr>
      <w:tr>
        <w:tc>
          <w:tcPr>
            <w:tcW w:type="dxa" w:w="2300"/>
            <w:tcMar>
              <w:top w:type="dxa" w:w="85"/>
              <w:left w:type="dxa" w:w="110"/>
              <w:bottom w:type="dxa" w:w="85"/>
              <w:right w:type="dxa" w:w="110"/>
            </w:tcMar>
          </w:tcPr>
          <w:p>
            <w:pPr>
              <w:jc w:val="left"/>
            </w:pPr>
            <w:r>
              <w:rPr>
                <w:b w:val="false"/>
                <w:bCs w:val="false"/>
                <w:sz w:val="18"/>
                <w:szCs w:val="18"/>
              </w:rPr>
              <w:t xml:space="preserve">Capacity</w:t>
            </w:r>
          </w:p>
        </w:tc>
        <w:tc>
          <w:tcPr>
            <w:tcW w:type="dxa" w:w="6900"/>
            <w:tcMar>
              <w:top w:type="dxa" w:w="85"/>
              <w:left w:type="dxa" w:w="110"/>
              <w:bottom w:type="dxa" w:w="85"/>
              <w:right w:type="dxa" w:w="110"/>
            </w:tcMar>
          </w:tcPr>
          <w:p>
            <w:pPr>
              <w:jc w:val="left"/>
            </w:pPr>
            <w:r>
              <w:rPr>
                <w:b w:val="false"/>
                <w:bCs w:val="false"/>
                <w:sz w:val="18"/>
                <w:szCs w:val="18"/>
              </w:rPr>
              <w:t xml:space="preserve">Warning, block, override with reason, per-facility measurement</w:t>
            </w:r>
          </w:p>
        </w:tc>
      </w:tr>
      <w:tr>
        <w:tc>
          <w:tcPr>
            <w:tcW w:type="dxa" w:w="2300"/>
            <w:tcMar>
              <w:top w:type="dxa" w:w="85"/>
              <w:left w:type="dxa" w:w="110"/>
              <w:bottom w:type="dxa" w:w="85"/>
              <w:right w:type="dxa" w:w="110"/>
            </w:tcMar>
          </w:tcPr>
          <w:p>
            <w:pPr>
              <w:jc w:val="left"/>
            </w:pPr>
            <w:r>
              <w:rPr>
                <w:b w:val="false"/>
                <w:bCs w:val="false"/>
                <w:sz w:val="18"/>
                <w:szCs w:val="18"/>
              </w:rPr>
              <w:t xml:space="preserve">Derived stage</w:t>
            </w:r>
          </w:p>
        </w:tc>
        <w:tc>
          <w:tcPr>
            <w:tcW w:type="dxa" w:w="6900"/>
            <w:tcMar>
              <w:top w:type="dxa" w:w="85"/>
              <w:left w:type="dxa" w:w="110"/>
              <w:bottom w:type="dxa" w:w="85"/>
              <w:right w:type="dxa" w:w="110"/>
            </w:tcMar>
          </w:tcPr>
          <w:p>
            <w:pPr>
              <w:jc w:val="left"/>
            </w:pPr>
            <w:r>
              <w:rPr>
                <w:b w:val="false"/>
                <w:bCs w:val="false"/>
                <w:sz w:val="18"/>
                <w:szCs w:val="18"/>
              </w:rPr>
              <w:t xml:space="preserve">Every record shape, including legacy ones with stale counters</w:t>
            </w:r>
          </w:p>
        </w:tc>
      </w:tr>
      <w:tr>
        <w:tc>
          <w:tcPr>
            <w:tcW w:type="dxa" w:w="2300"/>
            <w:tcMar>
              <w:top w:type="dxa" w:w="85"/>
              <w:left w:type="dxa" w:w="110"/>
              <w:bottom w:type="dxa" w:w="85"/>
              <w:right w:type="dxa" w:w="110"/>
            </w:tcMar>
          </w:tcPr>
          <w:p>
            <w:pPr>
              <w:jc w:val="left"/>
            </w:pPr>
            <w:r>
              <w:rPr>
                <w:b w:val="false"/>
                <w:bCs w:val="false"/>
                <w:sz w:val="18"/>
                <w:szCs w:val="18"/>
              </w:rPr>
              <w:t xml:space="preserve">Money and weight</w:t>
            </w:r>
          </w:p>
        </w:tc>
        <w:tc>
          <w:tcPr>
            <w:tcW w:type="dxa" w:w="6900"/>
            <w:tcMar>
              <w:top w:type="dxa" w:w="85"/>
              <w:left w:type="dxa" w:w="110"/>
              <w:bottom w:type="dxa" w:w="85"/>
              <w:right w:type="dxa" w:w="110"/>
            </w:tcMar>
          </w:tcPr>
          <w:p>
            <w:pPr>
              <w:jc w:val="left"/>
            </w:pPr>
            <w:r>
              <w:rPr>
                <w:b w:val="false"/>
                <w:bCs w:val="false"/>
                <w:sz w:val="18"/>
                <w:szCs w:val="18"/>
              </w:rPr>
              <w:t xml:space="preserve">Arithmetic to the paisa and the kilogram, including tax derivation</w:t>
            </w:r>
          </w:p>
        </w:tc>
      </w:tr>
      <w:tr>
        <w:tc>
          <w:tcPr>
            <w:tcW w:type="dxa" w:w="2300"/>
            <w:tcMar>
              <w:top w:type="dxa" w:w="85"/>
              <w:left w:type="dxa" w:w="110"/>
              <w:bottom w:type="dxa" w:w="85"/>
              <w:right w:type="dxa" w:w="110"/>
            </w:tcMar>
          </w:tcPr>
          <w:p>
            <w:pPr>
              <w:jc w:val="left"/>
            </w:pPr>
            <w:r>
              <w:rPr>
                <w:b w:val="false"/>
                <w:bCs w:val="false"/>
                <w:sz w:val="18"/>
                <w:szCs w:val="18"/>
              </w:rPr>
              <w:t xml:space="preserve">Scheduled jobs</w:t>
            </w:r>
          </w:p>
        </w:tc>
        <w:tc>
          <w:tcPr>
            <w:tcW w:type="dxa" w:w="6900"/>
            <w:tcMar>
              <w:top w:type="dxa" w:w="85"/>
              <w:left w:type="dxa" w:w="110"/>
              <w:bottom w:type="dxa" w:w="85"/>
              <w:right w:type="dxa" w:w="110"/>
            </w:tcMar>
          </w:tcPr>
          <w:p>
            <w:pPr>
              <w:jc w:val="left"/>
            </w:pPr>
            <w:r>
              <w:rPr>
                <w:b w:val="false"/>
                <w:bCs w:val="false"/>
                <w:sz w:val="18"/>
                <w:szCs w:val="18"/>
              </w:rPr>
              <w:t xml:space="preserve">Idempotency — twice in a day sends once</w:t>
            </w:r>
          </w:p>
        </w:tc>
      </w:tr>
      <w:tr>
        <w:tc>
          <w:tcPr>
            <w:tcW w:type="dxa" w:w="2300"/>
            <w:tcMar>
              <w:top w:type="dxa" w:w="85"/>
              <w:left w:type="dxa" w:w="110"/>
              <w:bottom w:type="dxa" w:w="85"/>
              <w:right w:type="dxa" w:w="110"/>
            </w:tcMar>
          </w:tcPr>
          <w:p>
            <w:pPr>
              <w:jc w:val="left"/>
            </w:pPr>
            <w:r>
              <w:rPr>
                <w:b w:val="false"/>
                <w:bCs w:val="false"/>
                <w:sz w:val="18"/>
                <w:szCs w:val="18"/>
              </w:rPr>
              <w:t xml:space="preserve">Documents</w:t>
            </w:r>
          </w:p>
        </w:tc>
        <w:tc>
          <w:tcPr>
            <w:tcW w:type="dxa" w:w="6900"/>
            <w:tcMar>
              <w:top w:type="dxa" w:w="85"/>
              <w:left w:type="dxa" w:w="110"/>
              <w:bottom w:type="dxa" w:w="85"/>
              <w:right w:type="dxa" w:w="110"/>
            </w:tcMar>
          </w:tcPr>
          <w:p>
            <w:pPr>
              <w:jc w:val="left"/>
            </w:pPr>
            <w:r>
              <w:rPr>
                <w:b w:val="false"/>
                <w:bCs w:val="false"/>
                <w:sz w:val="18"/>
                <w:szCs w:val="18"/>
              </w:rPr>
              <w:t xml:space="preserve">Generation for every document type, including empty and maximal data</w:t>
            </w:r>
          </w:p>
        </w:tc>
      </w:tr>
      <w:tr>
        <w:tc>
          <w:tcPr>
            <w:tcW w:type="dxa" w:w="2300"/>
            <w:tcMar>
              <w:top w:type="dxa" w:w="85"/>
              <w:left w:type="dxa" w:w="110"/>
              <w:bottom w:type="dxa" w:w="85"/>
              <w:right w:type="dxa" w:w="110"/>
            </w:tcMar>
          </w:tcPr>
          <w:p>
            <w:pPr>
              <w:jc w:val="left"/>
            </w:pPr>
            <w:r>
              <w:rPr>
                <w:b w:val="false"/>
                <w:bCs w:val="false"/>
                <w:sz w:val="18"/>
                <w:szCs w:val="18"/>
              </w:rPr>
              <w:t xml:space="preserve">Reports</w:t>
            </w:r>
          </w:p>
        </w:tc>
        <w:tc>
          <w:tcPr>
            <w:tcW w:type="dxa" w:w="6900"/>
            <w:tcMar>
              <w:top w:type="dxa" w:w="85"/>
              <w:left w:type="dxa" w:w="110"/>
              <w:bottom w:type="dxa" w:w="85"/>
              <w:right w:type="dxa" w:w="110"/>
            </w:tcMar>
          </w:tcPr>
          <w:p>
            <w:pPr>
              <w:jc w:val="left"/>
            </w:pPr>
            <w:r>
              <w:rPr>
                <w:b w:val="false"/>
                <w:bCs w:val="false"/>
                <w:sz w:val="18"/>
                <w:szCs w:val="18"/>
              </w:rPr>
              <w:t xml:space="preserve">Every report against every period mode with known figures</w:t>
            </w:r>
          </w:p>
        </w:tc>
      </w:tr>
    </w:tbl>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EAF3DE" w:color="auto" w:val="clear"/>
            <w:tcMar>
              <w:top w:type="dxa" w:w="170"/>
              <w:left w:type="dxa" w:w="190"/>
              <w:bottom w:type="dxa" w:w="170"/>
              <w:right w:type="dxa" w:w="190"/>
            </w:tcMar>
          </w:tcPr>
          <w:p>
            <w:pPr>
              <w:spacing w:after="70"/>
            </w:pPr>
            <w:r>
              <w:rPr>
                <w:b/>
                <w:bCs/>
                <w:color w:val="2A4D0C"/>
                <w:sz w:val="21"/>
                <w:szCs w:val="21"/>
              </w:rPr>
              <w:t xml:space="preserve">Ask for the test suite as a deliverable</w:t>
            </w:r>
          </w:p>
          <w:p>
            <w:pPr>
              <w:spacing w:after="55"/>
            </w:pPr>
            <w:r>
              <w:rPr>
                <w:sz w:val="19"/>
                <w:szCs w:val="19"/>
              </w:rPr>
              <w:t xml:space="preserve">Tests are part of what Urbeno is buying, not a courtesy from the partner. Without them the second year of ownership becomes considerably more expensive, because nobody can change anything with confidence.</w:t>
            </w:r>
          </w:p>
        </w:tc>
      </w:tr>
    </w:tbl>
    <w:p>
      <w:r>
        <w:br w:type="page"/>
      </w:r>
    </w:p>
    <w:p>
      <w:pPr>
        <w:pStyle w:val="Heading1"/>
        <w:spacing w:after="160" w:before="400"/>
      </w:pPr>
      <w:r>
        <w:rPr>
          <w:b/>
          <w:bCs/>
          <w:color w:val="2A4D0C"/>
          <w:sz w:val="30"/>
          <w:szCs w:val="30"/>
        </w:rPr>
        <w:t xml:space="preserve">Appendix C — Risks worth watching</w:t>
      </w:r>
    </w:p>
    <w:p>
      <w:pPr>
        <w:spacing w:after="1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500"/>
      </w:tblGrid>
      <w:tr>
        <w:trPr>
          <w:tblHeader/>
        </w:trPr>
        <w:tc>
          <w:tcPr>
            <w:tcW w:type="dxa" w:w="2600"/>
            <w:shd w:fill="3B6D11" w:color="auto" w:val="clear"/>
            <w:tcMar>
              <w:top w:type="dxa" w:w="85"/>
              <w:left w:type="dxa" w:w="110"/>
              <w:bottom w:type="dxa" w:w="85"/>
              <w:right w:type="dxa" w:w="110"/>
            </w:tcMar>
          </w:tcPr>
          <w:p>
            <w:pPr>
              <w:jc w:val="left"/>
            </w:pPr>
            <w:r>
              <w:rPr>
                <w:b/>
                <w:bCs/>
                <w:color w:val="FFFFFF"/>
                <w:sz w:val="18"/>
                <w:szCs w:val="18"/>
              </w:rPr>
              <w:t xml:space="preserve">Risk</w:t>
            </w:r>
          </w:p>
        </w:tc>
        <w:tc>
          <w:tcPr>
            <w:tcW w:type="dxa" w:w="3100"/>
            <w:shd w:fill="3B6D11" w:color="auto" w:val="clear"/>
            <w:tcMar>
              <w:top w:type="dxa" w:w="85"/>
              <w:left w:type="dxa" w:w="110"/>
              <w:bottom w:type="dxa" w:w="85"/>
              <w:right w:type="dxa" w:w="110"/>
            </w:tcMar>
          </w:tcPr>
          <w:p>
            <w:pPr>
              <w:jc w:val="left"/>
            </w:pPr>
            <w:r>
              <w:rPr>
                <w:b/>
                <w:bCs/>
                <w:color w:val="FFFFFF"/>
                <w:sz w:val="18"/>
                <w:szCs w:val="18"/>
              </w:rPr>
              <w:t xml:space="preserve">Signal</w:t>
            </w:r>
          </w:p>
        </w:tc>
        <w:tc>
          <w:tcPr>
            <w:tcW w:type="dxa" w:w="3500"/>
            <w:shd w:fill="3B6D11" w:color="auto" w:val="clear"/>
            <w:tcMar>
              <w:top w:type="dxa" w:w="85"/>
              <w:left w:type="dxa" w:w="110"/>
              <w:bottom w:type="dxa" w:w="85"/>
              <w:right w:type="dxa" w:w="110"/>
            </w:tcMar>
          </w:tcPr>
          <w:p>
            <w:pPr>
              <w:jc w:val="left"/>
            </w:pPr>
            <w:r>
              <w:rPr>
                <w:b/>
                <w:bCs/>
                <w:color w:val="FFFFFF"/>
                <w:sz w:val="18"/>
                <w:szCs w:val="18"/>
              </w:rPr>
              <w:t xml:space="preserve">What to do</w:t>
            </w:r>
          </w:p>
        </w:tc>
      </w:tr>
      <w:tr>
        <w:tc>
          <w:tcPr>
            <w:tcW w:type="dxa" w:w="2600"/>
            <w:tcMar>
              <w:top w:type="dxa" w:w="85"/>
              <w:left w:type="dxa" w:w="110"/>
              <w:bottom w:type="dxa" w:w="85"/>
              <w:right w:type="dxa" w:w="110"/>
            </w:tcMar>
          </w:tcPr>
          <w:p>
            <w:pPr>
              <w:jc w:val="left"/>
            </w:pPr>
            <w:r>
              <w:rPr>
                <w:b w:val="false"/>
                <w:bCs w:val="false"/>
                <w:sz w:val="18"/>
                <w:szCs w:val="18"/>
              </w:rPr>
              <w:t xml:space="preserve">Business rules rewritten from scratch rather than ported</w:t>
            </w:r>
          </w:p>
        </w:tc>
        <w:tc>
          <w:tcPr>
            <w:tcW w:type="dxa" w:w="3100"/>
            <w:tcMar>
              <w:top w:type="dxa" w:w="85"/>
              <w:left w:type="dxa" w:w="110"/>
              <w:bottom w:type="dxa" w:w="85"/>
              <w:right w:type="dxa" w:w="110"/>
            </w:tcMar>
          </w:tcPr>
          <w:p>
            <w:pPr>
              <w:jc w:val="left"/>
            </w:pPr>
            <w:r>
              <w:rPr>
                <w:b w:val="false"/>
                <w:bCs w:val="false"/>
                <w:sz w:val="18"/>
                <w:szCs w:val="18"/>
              </w:rPr>
              <w:t xml:space="preserve">The team asks for a written specification instead of reading the prototype</w:t>
            </w:r>
          </w:p>
        </w:tc>
        <w:tc>
          <w:tcPr>
            <w:tcW w:type="dxa" w:w="3500"/>
            <w:tcMar>
              <w:top w:type="dxa" w:w="85"/>
              <w:left w:type="dxa" w:w="110"/>
              <w:bottom w:type="dxa" w:w="85"/>
              <w:right w:type="dxa" w:w="110"/>
            </w:tcMar>
          </w:tcPr>
          <w:p>
            <w:pPr>
              <w:jc w:val="left"/>
            </w:pPr>
            <w:r>
              <w:rPr>
                <w:b w:val="false"/>
                <w:bCs w:val="false"/>
                <w:sz w:val="18"/>
                <w:szCs w:val="18"/>
              </w:rPr>
              <w:t xml:space="preserve">Insist on a walkthrough where they demonstrate the prototype rules in their build</w:t>
            </w:r>
          </w:p>
        </w:tc>
      </w:tr>
      <w:tr>
        <w:tc>
          <w:tcPr>
            <w:tcW w:type="dxa" w:w="2600"/>
            <w:tcMar>
              <w:top w:type="dxa" w:w="85"/>
              <w:left w:type="dxa" w:w="110"/>
              <w:bottom w:type="dxa" w:w="85"/>
              <w:right w:type="dxa" w:w="110"/>
            </w:tcMar>
          </w:tcPr>
          <w:p>
            <w:pPr>
              <w:jc w:val="left"/>
            </w:pPr>
            <w:r>
              <w:rPr>
                <w:b w:val="false"/>
                <w:bCs w:val="false"/>
                <w:sz w:val="18"/>
                <w:szCs w:val="18"/>
              </w:rPr>
              <w:t xml:space="preserve">Stage stored as a counter</w:t>
            </w:r>
          </w:p>
        </w:tc>
        <w:tc>
          <w:tcPr>
            <w:tcW w:type="dxa" w:w="3100"/>
            <w:tcMar>
              <w:top w:type="dxa" w:w="85"/>
              <w:left w:type="dxa" w:w="110"/>
              <w:bottom w:type="dxa" w:w="85"/>
              <w:right w:type="dxa" w:w="110"/>
            </w:tcMar>
          </w:tcPr>
          <w:p>
            <w:pPr>
              <w:jc w:val="left"/>
            </w:pPr>
            <w:r>
              <w:rPr>
                <w:b w:val="false"/>
                <w:bCs w:val="false"/>
                <w:sz w:val="18"/>
                <w:szCs w:val="18"/>
              </w:rPr>
              <w:t xml:space="preserve">A dashboard disagrees with a request when opened</w:t>
            </w:r>
          </w:p>
        </w:tc>
        <w:tc>
          <w:tcPr>
            <w:tcW w:type="dxa" w:w="3500"/>
            <w:tcMar>
              <w:top w:type="dxa" w:w="85"/>
              <w:left w:type="dxa" w:w="110"/>
              <w:bottom w:type="dxa" w:w="85"/>
              <w:right w:type="dxa" w:w="110"/>
            </w:tcMar>
          </w:tcPr>
          <w:p>
            <w:pPr>
              <w:jc w:val="left"/>
            </w:pPr>
            <w:r>
              <w:rPr>
                <w:b w:val="false"/>
                <w:bCs w:val="false"/>
                <w:sz w:val="18"/>
                <w:szCs w:val="18"/>
              </w:rPr>
              <w:t xml:space="preserve">Require the derived design; this defect already occurred once</w:t>
            </w:r>
          </w:p>
        </w:tc>
      </w:tr>
      <w:tr>
        <w:tc>
          <w:tcPr>
            <w:tcW w:type="dxa" w:w="2600"/>
            <w:tcMar>
              <w:top w:type="dxa" w:w="85"/>
              <w:left w:type="dxa" w:w="110"/>
              <w:bottom w:type="dxa" w:w="85"/>
              <w:right w:type="dxa" w:w="110"/>
            </w:tcMar>
          </w:tcPr>
          <w:p>
            <w:pPr>
              <w:jc w:val="left"/>
            </w:pPr>
            <w:r>
              <w:rPr>
                <w:b w:val="false"/>
                <w:bCs w:val="false"/>
                <w:sz w:val="18"/>
                <w:szCs w:val="18"/>
              </w:rPr>
              <w:t xml:space="preserve">MRN numbers colliding or skipping</w:t>
            </w:r>
          </w:p>
        </w:tc>
        <w:tc>
          <w:tcPr>
            <w:tcW w:type="dxa" w:w="3100"/>
            <w:tcMar>
              <w:top w:type="dxa" w:w="85"/>
              <w:left w:type="dxa" w:w="110"/>
              <w:bottom w:type="dxa" w:w="85"/>
              <w:right w:type="dxa" w:w="110"/>
            </w:tcMar>
          </w:tcPr>
          <w:p>
            <w:pPr>
              <w:jc w:val="left"/>
            </w:pPr>
            <w:r>
              <w:rPr>
                <w:b w:val="false"/>
                <w:bCs w:val="false"/>
                <w:sz w:val="18"/>
                <w:szCs w:val="18"/>
              </w:rPr>
              <w:t xml:space="preserve">Duplicates under load, or gaps in the register</w:t>
            </w:r>
          </w:p>
        </w:tc>
        <w:tc>
          <w:tcPr>
            <w:tcW w:type="dxa" w:w="3500"/>
            <w:tcMar>
              <w:top w:type="dxa" w:w="85"/>
              <w:left w:type="dxa" w:w="110"/>
              <w:bottom w:type="dxa" w:w="85"/>
              <w:right w:type="dxa" w:w="110"/>
            </w:tcMar>
          </w:tcPr>
          <w:p>
            <w:pPr>
              <w:jc w:val="left"/>
            </w:pPr>
            <w:r>
              <w:rPr>
                <w:b w:val="false"/>
                <w:bCs w:val="false"/>
                <w:sz w:val="18"/>
                <w:szCs w:val="18"/>
              </w:rPr>
              <w:t xml:space="preserve">Require a concurrency test as an acceptance condition</w:t>
            </w:r>
          </w:p>
        </w:tc>
      </w:tr>
      <w:tr>
        <w:tc>
          <w:tcPr>
            <w:tcW w:type="dxa" w:w="2600"/>
            <w:tcMar>
              <w:top w:type="dxa" w:w="85"/>
              <w:left w:type="dxa" w:w="110"/>
              <w:bottom w:type="dxa" w:w="85"/>
              <w:right w:type="dxa" w:w="110"/>
            </w:tcMar>
          </w:tcPr>
          <w:p>
            <w:pPr>
              <w:jc w:val="left"/>
            </w:pPr>
            <w:r>
              <w:rPr>
                <w:b w:val="false"/>
                <w:bCs w:val="false"/>
                <w:sz w:val="18"/>
                <w:szCs w:val="18"/>
              </w:rPr>
              <w:t xml:space="preserve">Security phase compressed</w:t>
            </w:r>
          </w:p>
        </w:tc>
        <w:tc>
          <w:tcPr>
            <w:tcW w:type="dxa" w:w="3100"/>
            <w:tcMar>
              <w:top w:type="dxa" w:w="85"/>
              <w:left w:type="dxa" w:w="110"/>
              <w:bottom w:type="dxa" w:w="85"/>
              <w:right w:type="dxa" w:w="110"/>
            </w:tcMar>
          </w:tcPr>
          <w:p>
            <w:pPr>
              <w:jc w:val="left"/>
            </w:pPr>
            <w:r>
              <w:rPr>
                <w:b w:val="false"/>
                <w:bCs w:val="false"/>
                <w:sz w:val="18"/>
                <w:szCs w:val="18"/>
              </w:rPr>
              <w:t xml:space="preserve">The audit slips to after go-live</w:t>
            </w:r>
          </w:p>
        </w:tc>
        <w:tc>
          <w:tcPr>
            <w:tcW w:type="dxa" w:w="3500"/>
            <w:tcMar>
              <w:top w:type="dxa" w:w="85"/>
              <w:left w:type="dxa" w:w="110"/>
              <w:bottom w:type="dxa" w:w="85"/>
              <w:right w:type="dxa" w:w="110"/>
            </w:tcMar>
          </w:tcPr>
          <w:p>
            <w:pPr>
              <w:jc w:val="left"/>
            </w:pPr>
            <w:r>
              <w:rPr>
                <w:b w:val="false"/>
                <w:bCs w:val="false"/>
                <w:sz w:val="18"/>
                <w:szCs w:val="18"/>
              </w:rPr>
              <w:t xml:space="preserve">Book and pay for the audit in Phase 0 so the date is fixed</w:t>
            </w:r>
          </w:p>
        </w:tc>
      </w:tr>
      <w:tr>
        <w:tc>
          <w:tcPr>
            <w:tcW w:type="dxa" w:w="2600"/>
            <w:tcMar>
              <w:top w:type="dxa" w:w="85"/>
              <w:left w:type="dxa" w:w="110"/>
              <w:bottom w:type="dxa" w:w="85"/>
              <w:right w:type="dxa" w:w="110"/>
            </w:tcMar>
          </w:tcPr>
          <w:p>
            <w:pPr>
              <w:jc w:val="left"/>
            </w:pPr>
            <w:r>
              <w:rPr>
                <w:b w:val="false"/>
                <w:bCs w:val="false"/>
                <w:sz w:val="18"/>
                <w:szCs w:val="18"/>
              </w:rPr>
              <w:t xml:space="preserve">Money in floating point</w:t>
            </w:r>
          </w:p>
        </w:tc>
        <w:tc>
          <w:tcPr>
            <w:tcW w:type="dxa" w:w="3100"/>
            <w:tcMar>
              <w:top w:type="dxa" w:w="85"/>
              <w:left w:type="dxa" w:w="110"/>
              <w:bottom w:type="dxa" w:w="85"/>
              <w:right w:type="dxa" w:w="110"/>
            </w:tcMar>
          </w:tcPr>
          <w:p>
            <w:pPr>
              <w:jc w:val="left"/>
            </w:pPr>
            <w:r>
              <w:rPr>
                <w:b w:val="false"/>
                <w:bCs w:val="false"/>
                <w:sz w:val="18"/>
                <w:szCs w:val="18"/>
              </w:rPr>
              <w:t xml:space="preserve">Totals off by a paisa in reports</w:t>
            </w:r>
          </w:p>
        </w:tc>
        <w:tc>
          <w:tcPr>
            <w:tcW w:type="dxa" w:w="3500"/>
            <w:tcMar>
              <w:top w:type="dxa" w:w="85"/>
              <w:left w:type="dxa" w:w="110"/>
              <w:bottom w:type="dxa" w:w="85"/>
              <w:right w:type="dxa" w:w="110"/>
            </w:tcMar>
          </w:tcPr>
          <w:p>
            <w:pPr>
              <w:jc w:val="left"/>
            </w:pPr>
            <w:r>
              <w:rPr>
                <w:b w:val="false"/>
                <w:bCs w:val="false"/>
                <w:sz w:val="18"/>
                <w:szCs w:val="18"/>
              </w:rPr>
              <w:t xml:space="preserve">Check the schema in Phase 1, before data exists</w:t>
            </w:r>
          </w:p>
        </w:tc>
      </w:tr>
      <w:tr>
        <w:tc>
          <w:tcPr>
            <w:tcW w:type="dxa" w:w="2600"/>
            <w:tcMar>
              <w:top w:type="dxa" w:w="85"/>
              <w:left w:type="dxa" w:w="110"/>
              <w:bottom w:type="dxa" w:w="85"/>
              <w:right w:type="dxa" w:w="110"/>
            </w:tcMar>
          </w:tcPr>
          <w:p>
            <w:pPr>
              <w:jc w:val="left"/>
            </w:pPr>
            <w:r>
              <w:rPr>
                <w:b w:val="false"/>
                <w:bCs w:val="false"/>
                <w:sz w:val="18"/>
                <w:szCs w:val="18"/>
              </w:rPr>
              <w:t xml:space="preserve">Mobile treated as an afterthought</w:t>
            </w:r>
          </w:p>
        </w:tc>
        <w:tc>
          <w:tcPr>
            <w:tcW w:type="dxa" w:w="3100"/>
            <w:tcMar>
              <w:top w:type="dxa" w:w="85"/>
              <w:left w:type="dxa" w:w="110"/>
              <w:bottom w:type="dxa" w:w="85"/>
              <w:right w:type="dxa" w:w="110"/>
            </w:tcMar>
          </w:tcPr>
          <w:p>
            <w:pPr>
              <w:jc w:val="left"/>
            </w:pPr>
            <w:r>
              <w:rPr>
                <w:b w:val="false"/>
                <w:bCs w:val="false"/>
                <w:sz w:val="18"/>
                <w:szCs w:val="18"/>
              </w:rPr>
              <w:t xml:space="preserve">Mobile work scheduled at the end</w:t>
            </w:r>
          </w:p>
        </w:tc>
        <w:tc>
          <w:tcPr>
            <w:tcW w:type="dxa" w:w="3500"/>
            <w:tcMar>
              <w:top w:type="dxa" w:w="85"/>
              <w:left w:type="dxa" w:w="110"/>
              <w:bottom w:type="dxa" w:w="85"/>
              <w:right w:type="dxa" w:w="110"/>
            </w:tcMar>
          </w:tcPr>
          <w:p>
            <w:pPr>
              <w:jc w:val="left"/>
            </w:pPr>
            <w:r>
              <w:rPr>
                <w:b w:val="false"/>
                <w:bCs w:val="false"/>
                <w:sz w:val="18"/>
                <w:szCs w:val="18"/>
              </w:rPr>
              <w:t xml:space="preserve">Require a mobile demonstration at the end of every frontend milestone</w:t>
            </w:r>
          </w:p>
        </w:tc>
      </w:tr>
      <w:tr>
        <w:tc>
          <w:tcPr>
            <w:tcW w:type="dxa" w:w="2600"/>
            <w:tcMar>
              <w:top w:type="dxa" w:w="85"/>
              <w:left w:type="dxa" w:w="110"/>
              <w:bottom w:type="dxa" w:w="85"/>
              <w:right w:type="dxa" w:w="110"/>
            </w:tcMar>
          </w:tcPr>
          <w:p>
            <w:pPr>
              <w:jc w:val="left"/>
            </w:pPr>
            <w:r>
              <w:rPr>
                <w:b w:val="false"/>
                <w:bCs w:val="false"/>
                <w:sz w:val="18"/>
                <w:szCs w:val="18"/>
              </w:rPr>
              <w:t xml:space="preserve">Migration left late</w:t>
            </w:r>
          </w:p>
        </w:tc>
        <w:tc>
          <w:tcPr>
            <w:tcW w:type="dxa" w:w="3100"/>
            <w:tcMar>
              <w:top w:type="dxa" w:w="85"/>
              <w:left w:type="dxa" w:w="110"/>
              <w:bottom w:type="dxa" w:w="85"/>
              <w:right w:type="dxa" w:w="110"/>
            </w:tcMar>
          </w:tcPr>
          <w:p>
            <w:pPr>
              <w:jc w:val="left"/>
            </w:pPr>
            <w:r>
              <w:rPr>
                <w:b w:val="false"/>
                <w:bCs w:val="false"/>
                <w:sz w:val="18"/>
                <w:szCs w:val="18"/>
              </w:rPr>
              <w:t xml:space="preserve">No migration script by Phase 10</w:t>
            </w:r>
          </w:p>
        </w:tc>
        <w:tc>
          <w:tcPr>
            <w:tcW w:type="dxa" w:w="3500"/>
            <w:tcMar>
              <w:top w:type="dxa" w:w="85"/>
              <w:left w:type="dxa" w:w="110"/>
              <w:bottom w:type="dxa" w:w="85"/>
              <w:right w:type="dxa" w:w="110"/>
            </w:tcMar>
          </w:tcPr>
          <w:p>
            <w:pPr>
              <w:jc w:val="left"/>
            </w:pPr>
            <w:r>
              <w:rPr>
                <w:b w:val="false"/>
                <w:bCs w:val="false"/>
                <w:sz w:val="18"/>
                <w:szCs w:val="18"/>
              </w:rPr>
              <w:t xml:space="preserve">Require a rehearsal migration against staging in Phase 8</w:t>
            </w:r>
          </w:p>
        </w:tc>
      </w:tr>
      <w:tr>
        <w:tc>
          <w:tcPr>
            <w:tcW w:type="dxa" w:w="2600"/>
            <w:tcMar>
              <w:top w:type="dxa" w:w="85"/>
              <w:left w:type="dxa" w:w="110"/>
              <w:bottom w:type="dxa" w:w="85"/>
              <w:right w:type="dxa" w:w="110"/>
            </w:tcMar>
          </w:tcPr>
          <w:p>
            <w:pPr>
              <w:jc w:val="left"/>
            </w:pPr>
            <w:r>
              <w:rPr>
                <w:b w:val="false"/>
                <w:bCs w:val="false"/>
                <w:sz w:val="18"/>
                <w:szCs w:val="18"/>
              </w:rPr>
              <w:t xml:space="preserve">Copy rewritten</w:t>
            </w:r>
          </w:p>
        </w:tc>
        <w:tc>
          <w:tcPr>
            <w:tcW w:type="dxa" w:w="3100"/>
            <w:tcMar>
              <w:top w:type="dxa" w:w="85"/>
              <w:left w:type="dxa" w:w="110"/>
              <w:bottom w:type="dxa" w:w="85"/>
              <w:right w:type="dxa" w:w="110"/>
            </w:tcMar>
          </w:tcPr>
          <w:p>
            <w:pPr>
              <w:jc w:val="left"/>
            </w:pPr>
            <w:r>
              <w:rPr>
                <w:b w:val="false"/>
                <w:bCs w:val="false"/>
                <w:sz w:val="18"/>
                <w:szCs w:val="18"/>
              </w:rPr>
              <w:t xml:space="preserve">Refusal messages become "Validation failed"</w:t>
            </w:r>
          </w:p>
        </w:tc>
        <w:tc>
          <w:tcPr>
            <w:tcW w:type="dxa" w:w="3500"/>
            <w:tcMar>
              <w:top w:type="dxa" w:w="85"/>
              <w:left w:type="dxa" w:w="110"/>
              <w:bottom w:type="dxa" w:w="85"/>
              <w:right w:type="dxa" w:w="110"/>
            </w:tcMar>
          </w:tcPr>
          <w:p>
            <w:pPr>
              <w:jc w:val="left"/>
            </w:pPr>
            <w:r>
              <w:rPr>
                <w:b w:val="false"/>
                <w:bCs w:val="false"/>
                <w:sz w:val="18"/>
                <w:szCs w:val="18"/>
              </w:rPr>
              <w:t xml:space="preserve">Review the messages during UAT — they are how an operator knows what to fix</w:t>
            </w:r>
          </w:p>
        </w:tc>
      </w:tr>
    </w:tbl>
    <w:p>
      <w:r>
        <w:br w:type="page"/>
      </w:r>
    </w:p>
    <w:p>
      <w:pPr>
        <w:pStyle w:val="Heading1"/>
        <w:spacing w:after="160" w:before="400"/>
      </w:pPr>
      <w:r>
        <w:rPr>
          <w:b/>
          <w:bCs/>
          <w:color w:val="2A4D0C"/>
          <w:sz w:val="30"/>
          <w:szCs w:val="30"/>
        </w:rPr>
        <w:t xml:space="preserve">Appendix D — Questions to ask at each milestone review</w:t>
      </w:r>
    </w:p>
    <w:p>
      <w:pPr>
        <w:spacing w:after="90" w:before="190"/>
      </w:pPr>
      <w:r>
        <w:rPr>
          <w:b/>
          <w:bCs/>
          <w:color w:val="3B6D11"/>
          <w:sz w:val="21"/>
          <w:szCs w:val="21"/>
        </w:rPr>
        <w:t xml:space="preserve">Phase 1</w:t>
      </w:r>
    </w:p>
    <w:p>
      <w:pPr>
        <w:pStyle w:val="ListParagraph"/>
        <w:numPr>
          <w:ilvl w:val="0"/>
          <w:numId w:val="2"/>
        </w:numPr>
        <w:spacing w:after="55"/>
      </w:pPr>
      <w:r>
        <w:rPr>
          <w:sz w:val="21"/>
          <w:szCs w:val="21"/>
        </w:rPr>
        <w:t xml:space="preserve">Show me a change reaching production through the pipeline, with no manual step</w:t>
      </w:r>
    </w:p>
    <w:p>
      <w:pPr>
        <w:pStyle w:val="ListParagraph"/>
        <w:numPr>
          <w:ilvl w:val="0"/>
          <w:numId w:val="2"/>
        </w:numPr>
        <w:spacing w:after="55"/>
      </w:pPr>
      <w:r>
        <w:rPr>
          <w:sz w:val="21"/>
          <w:szCs w:val="21"/>
        </w:rPr>
        <w:t xml:space="preserve">Show me the schema for money and for weights</w:t>
      </w:r>
    </w:p>
    <w:p>
      <w:pPr>
        <w:spacing w:after="90" w:before="190"/>
      </w:pPr>
      <w:r>
        <w:rPr>
          <w:b/>
          <w:bCs/>
          <w:color w:val="3B6D11"/>
          <w:sz w:val="21"/>
          <w:szCs w:val="21"/>
        </w:rPr>
        <w:t xml:space="preserve">Phase 2</w:t>
      </w:r>
    </w:p>
    <w:p>
      <w:pPr>
        <w:pStyle w:val="ListParagraph"/>
        <w:numPr>
          <w:ilvl w:val="0"/>
          <w:numId w:val="2"/>
        </w:numPr>
        <w:spacing w:after="55"/>
      </w:pPr>
      <w:r>
        <w:rPr>
          <w:sz w:val="21"/>
          <w:szCs w:val="21"/>
        </w:rPr>
        <w:t xml:space="preserve">Sign in as a client and try to open another client's request by its identifier</w:t>
      </w:r>
    </w:p>
    <w:p>
      <w:pPr>
        <w:pStyle w:val="ListParagraph"/>
        <w:numPr>
          <w:ilvl w:val="0"/>
          <w:numId w:val="2"/>
        </w:numPr>
        <w:spacing w:after="55"/>
      </w:pPr>
      <w:r>
        <w:rPr>
          <w:sz w:val="21"/>
          <w:szCs w:val="21"/>
        </w:rPr>
        <w:t xml:space="preserve">Show me the audit entry for the last thing you changed</w:t>
      </w:r>
    </w:p>
    <w:p>
      <w:pPr>
        <w:spacing w:after="90" w:before="190"/>
      </w:pPr>
      <w:r>
        <w:rPr>
          <w:b/>
          <w:bCs/>
          <w:color w:val="3B6D11"/>
          <w:sz w:val="21"/>
          <w:szCs w:val="21"/>
        </w:rPr>
        <w:t xml:space="preserve">Phase 3</w:t>
      </w:r>
    </w:p>
    <w:p>
      <w:pPr>
        <w:pStyle w:val="ListParagraph"/>
        <w:numPr>
          <w:ilvl w:val="0"/>
          <w:numId w:val="2"/>
        </w:numPr>
        <w:spacing w:after="55"/>
      </w:pPr>
      <w:r>
        <w:rPr>
          <w:sz w:val="21"/>
          <w:szCs w:val="21"/>
        </w:rPr>
        <w:t xml:space="preserve">Take a request through all nine stages while I watch</w:t>
      </w:r>
    </w:p>
    <w:p>
      <w:pPr>
        <w:pStyle w:val="ListParagraph"/>
        <w:numPr>
          <w:ilvl w:val="0"/>
          <w:numId w:val="2"/>
        </w:numPr>
        <w:spacing w:after="55"/>
      </w:pPr>
      <w:r>
        <w:rPr>
          <w:sz w:val="21"/>
          <w:szCs w:val="21"/>
        </w:rPr>
        <w:t xml:space="preserve">Show me what happens when the category split does not balance</w:t>
      </w:r>
    </w:p>
    <w:p>
      <w:pPr>
        <w:pStyle w:val="ListParagraph"/>
        <w:numPr>
          <w:ilvl w:val="0"/>
          <w:numId w:val="2"/>
        </w:numPr>
        <w:spacing w:after="55"/>
      </w:pPr>
      <w:r>
        <w:rPr>
          <w:sz w:val="21"/>
          <w:szCs w:val="21"/>
        </w:rPr>
        <w:t xml:space="preserve">Show me two MRNs created at the same instant at the same facility</w:t>
      </w:r>
    </w:p>
    <w:p>
      <w:pPr>
        <w:spacing w:after="90" w:before="190"/>
      </w:pPr>
      <w:r>
        <w:rPr>
          <w:b/>
          <w:bCs/>
          <w:color w:val="3B6D11"/>
          <w:sz w:val="21"/>
          <w:szCs w:val="21"/>
        </w:rPr>
        <w:t xml:space="preserve">Phase 6</w:t>
      </w:r>
    </w:p>
    <w:p>
      <w:pPr>
        <w:pStyle w:val="ListParagraph"/>
        <w:numPr>
          <w:ilvl w:val="0"/>
          <w:numId w:val="2"/>
        </w:numPr>
        <w:spacing w:after="55"/>
      </w:pPr>
      <w:r>
        <w:rPr>
          <w:sz w:val="21"/>
          <w:szCs w:val="21"/>
        </w:rPr>
        <w:t xml:space="preserve">Show me the whole lifecycle on a phone</w:t>
      </w:r>
    </w:p>
    <w:p>
      <w:pPr>
        <w:spacing w:after="90" w:before="190"/>
      </w:pPr>
      <w:r>
        <w:rPr>
          <w:b/>
          <w:bCs/>
          <w:color w:val="3B6D11"/>
          <w:sz w:val="21"/>
          <w:szCs w:val="21"/>
        </w:rPr>
        <w:t xml:space="preserve">Phase 9</w:t>
      </w:r>
    </w:p>
    <w:p>
      <w:pPr>
        <w:pStyle w:val="ListParagraph"/>
        <w:numPr>
          <w:ilvl w:val="0"/>
          <w:numId w:val="2"/>
        </w:numPr>
        <w:spacing w:after="55"/>
      </w:pPr>
      <w:r>
        <w:rPr>
          <w:sz w:val="21"/>
          <w:szCs w:val="21"/>
        </w:rPr>
        <w:t xml:space="preserve">Show me the penetration test report and which findings are still open</w:t>
      </w:r>
    </w:p>
    <w:p>
      <w:pPr>
        <w:spacing w:after="90" w:before="190"/>
      </w:pPr>
      <w:r>
        <w:rPr>
          <w:b/>
          <w:bCs/>
          <w:color w:val="3B6D11"/>
          <w:sz w:val="21"/>
          <w:szCs w:val="21"/>
        </w:rPr>
        <w:t xml:space="preserve">Phase 10</w:t>
      </w:r>
    </w:p>
    <w:p>
      <w:pPr>
        <w:pStyle w:val="ListParagraph"/>
        <w:numPr>
          <w:ilvl w:val="0"/>
          <w:numId w:val="2"/>
        </w:numPr>
        <w:spacing w:after="55"/>
      </w:pPr>
      <w:r>
        <w:rPr>
          <w:sz w:val="21"/>
          <w:szCs w:val="21"/>
        </w:rPr>
        <w:t xml:space="preserve">Show me the migration validation output</w:t>
      </w:r>
    </w:p>
    <w:p>
      <w:pPr>
        <w:pStyle w:val="ListParagraph"/>
        <w:numPr>
          <w:ilvl w:val="0"/>
          <w:numId w:val="2"/>
        </w:numPr>
        <w:spacing w:after="55"/>
      </w:pPr>
      <w:r>
        <w:rPr>
          <w:sz w:val="21"/>
          <w:szCs w:val="21"/>
        </w:rPr>
        <w:t xml:space="preserve">Let my operations coordinator drive, unaided, while we watch</w:t>
      </w:r>
    </w:p>
    <w:p>
      <w:r>
        <w:br w:type="page"/>
      </w:r>
    </w:p>
    <w:p>
      <w:pPr>
        <w:pStyle w:val="Heading1"/>
        <w:spacing w:after="160" w:before="400"/>
      </w:pPr>
      <w:r>
        <w:rPr>
          <w:b/>
          <w:bCs/>
          <w:color w:val="2A4D0C"/>
          <w:sz w:val="30"/>
          <w:szCs w:val="30"/>
        </w:rPr>
        <w:t xml:space="preserve">Appendix E — The three problems most often got wrong</w:t>
      </w:r>
    </w:p>
    <w:p>
      <w:pPr>
        <w:spacing w:after="110"/>
        <w:jc w:val="left"/>
      </w:pPr>
      <w:r>
        <w:rPr>
          <w:sz w:val="21"/>
          <w:szCs w:val="21"/>
        </w:rPr>
        <w:t xml:space="preserve">Everything else in this plan is ordinary engineering. These three are where a competent team can still produce something that looks right and is not. Each is given here as working SQL so there is no ambiguity about what is being asked for.</w:t>
      </w:r>
    </w:p>
    <w:p>
      <w:pPr>
        <w:pStyle w:val="Heading2"/>
        <w:spacing w:after="110" w:before="260"/>
      </w:pPr>
      <w:r>
        <w:rPr>
          <w:b/>
          <w:bCs/>
          <w:color w:val="2A4D0C"/>
          <w:sz w:val="24"/>
          <w:szCs w:val="24"/>
        </w:rPr>
        <w:t xml:space="preserve">1 · Stage must be derived, never stored</w:t>
      </w:r>
    </w:p>
    <w:p>
      <w:pPr>
        <w:spacing w:after="110"/>
        <w:jc w:val="left"/>
      </w:pPr>
      <w:r>
        <w:rPr>
          <w:sz w:val="21"/>
          <w:szCs w:val="21"/>
        </w:rPr>
        <w:t xml:space="preserve">The prototype originally stored a stage number on each record. It drifted the moment data was imported or edited outside the normal flow, and the dashboard then disagreed with the request when you opened it — which is exactly the fault you reported and I fixed in v6.3. Do not reintroduce it. Compute the stage from the records that actually exist.</w:t>
      </w:r>
    </w:p>
    <w:tbl>
      <w:tblPr>
        <w:tblW w:type="dxa" w:w="9200"/>
        <w:tblBorders>
          <w:top w:val="single" w:color="DDDDDD" w:sz="2"/>
          <w:left w:val="single" w:color="3B6D11" w:sz="8"/>
          <w:bottom w:val="single" w:color="DDDDDD" w:sz="2"/>
          <w:right w:val="single" w:color="DDDDDD" w:sz="2"/>
          <w:insideH w:val="none"/>
          <w:insideV w:val="none"/>
        </w:tblBorders>
      </w:tblPr>
      <w:tblGrid>
        <w:gridCol w:w="9200"/>
      </w:tblGrid>
      <w:tr>
        <w:tc>
          <w:tcPr>
            <w:tcW w:type="dxa" w:w="9200"/>
            <w:shd w:fill="F7F7F4" w:color="auto" w:val="clear"/>
            <w:tcMar>
              <w:top w:type="dxa" w:w="130"/>
              <w:left w:type="dxa" w:w="160"/>
              <w:bottom w:type="dxa" w:w="130"/>
              <w:right w:type="dxa" w:w="160"/>
            </w:tcMar>
          </w:tcPr>
          <w:p>
            <w:pPr>
              <w:spacing w:after="20"/>
            </w:pPr>
            <w:r>
              <w:rPr>
                <w:rFonts w:ascii="Consolas" w:cs="Consolas" w:eastAsia="Consolas" w:hAnsi="Consolas"/>
                <w:sz w:val="17"/>
                <w:szCs w:val="17"/>
              </w:rPr>
              <w:t xml:space="preserve">CREATE VIEW invoice_stage AS</w:t>
            </w:r>
          </w:p>
          <w:p>
            <w:pPr>
              <w:spacing w:after="20"/>
            </w:pPr>
            <w:r>
              <w:rPr>
                <w:rFonts w:ascii="Consolas" w:cs="Consolas" w:eastAsia="Consolas" w:hAnsi="Consolas"/>
                <w:sz w:val="17"/>
                <w:szCs w:val="17"/>
              </w:rPr>
              <w:t xml:space="preserve">SELECT i.id AS invoice_id,</w:t>
            </w:r>
          </w:p>
          <w:p>
            <w:pPr>
              <w:spacing w:after="20"/>
            </w:pPr>
            <w:r>
              <w:rPr>
                <w:rFonts w:ascii="Consolas" w:cs="Consolas" w:eastAsia="Consolas" w:hAnsi="Consolas"/>
                <w:sz w:val="17"/>
                <w:szCs w:val="17"/>
              </w:rPr>
              <w:t xml:space="preserve">  CASE</w:t>
            </w:r>
          </w:p>
          <w:p>
            <w:pPr>
              <w:spacing w:after="20"/>
            </w:pPr>
            <w:r>
              <w:rPr>
                <w:rFonts w:ascii="Consolas" w:cs="Consolas" w:eastAsia="Consolas" w:hAnsi="Consolas"/>
                <w:sz w:val="17"/>
                <w:szCs w:val="17"/>
              </w:rPr>
              <w:t xml:space="preserve">    WHEN i.closed_at IS NOT NULL                                THEN 9</w:t>
            </w:r>
          </w:p>
          <w:p>
            <w:pPr>
              <w:spacing w:after="20"/>
            </w:pPr>
            <w:r>
              <w:rPr>
                <w:rFonts w:ascii="Consolas" w:cs="Consolas" w:eastAsia="Consolas" w:hAnsi="Consolas"/>
                <w:sz w:val="17"/>
                <w:szCs w:val="17"/>
              </w:rPr>
              <w:t xml:space="preserve">    WHEN EXISTS (SELECT 1 FROM certificates c WHERE c.invoice_id = i.id) THEN 8</w:t>
            </w:r>
          </w:p>
          <w:p>
            <w:pPr>
              <w:spacing w:after="20"/>
            </w:pPr>
            <w:r>
              <w:rPr>
                <w:rFonts w:ascii="Consolas" w:cs="Consolas" w:eastAsia="Consolas" w:hAnsi="Consolas"/>
                <w:sz w:val="17"/>
                <w:szCs w:val="17"/>
              </w:rPr>
              <w:t xml:space="preserve">    WHEN EXISTS (SELECT 1 FROM recycling    r WHERE r.invoice_id = i.id) THEN 7</w:t>
            </w:r>
          </w:p>
          <w:p>
            <w:pPr>
              <w:spacing w:after="20"/>
            </w:pPr>
            <w:r>
              <w:rPr>
                <w:rFonts w:ascii="Consolas" w:cs="Consolas" w:eastAsia="Consolas" w:hAnsi="Consolas"/>
                <w:sz w:val="17"/>
                <w:szCs w:val="17"/>
              </w:rPr>
              <w:t xml:space="preserve">    WHEN EXISTS (SELECT 1 FROM mrns         m WHERE m.invoice_id = i.id) THEN 6</w:t>
            </w:r>
          </w:p>
          <w:p>
            <w:pPr>
              <w:spacing w:after="20"/>
            </w:pPr>
            <w:r>
              <w:rPr>
                <w:rFonts w:ascii="Consolas" w:cs="Consolas" w:eastAsia="Consolas" w:hAnsi="Consolas"/>
                <w:sz w:val="17"/>
                <w:szCs w:val="17"/>
              </w:rPr>
              <w:t xml:space="preserve">    ELSE 5</w:t>
            </w:r>
          </w:p>
          <w:p>
            <w:pPr>
              <w:spacing w:after="20"/>
            </w:pPr>
            <w:r>
              <w:rPr>
                <w:rFonts w:ascii="Consolas" w:cs="Consolas" w:eastAsia="Consolas" w:hAnsi="Consolas"/>
                <w:sz w:val="17"/>
                <w:szCs w:val="17"/>
              </w:rPr>
              <w:t xml:space="preserve">  END AS stage</w:t>
            </w:r>
          </w:p>
          <w:p>
            <w:pPr>
              <w:spacing w:after="20"/>
            </w:pPr>
            <w:r>
              <w:rPr>
                <w:rFonts w:ascii="Consolas" w:cs="Consolas" w:eastAsia="Consolas" w:hAnsi="Consolas"/>
                <w:sz w:val="17"/>
                <w:szCs w:val="17"/>
              </w:rPr>
              <w:t xml:space="preserve">FROM invoices i;</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 A request sits at its least-advanced invoice, because it is only</w:t>
            </w:r>
          </w:p>
          <w:p>
            <w:pPr>
              <w:spacing w:after="20"/>
            </w:pPr>
            <w:r>
              <w:rPr>
                <w:rFonts w:ascii="Consolas" w:cs="Consolas" w:eastAsia="Consolas" w:hAnsi="Consolas"/>
                <w:sz w:val="17"/>
                <w:szCs w:val="17"/>
              </w:rPr>
              <w:t xml:space="preserve">-- as finished as its slowest invoice.</w:t>
            </w:r>
          </w:p>
          <w:p>
            <w:pPr>
              <w:spacing w:after="20"/>
            </w:pPr>
            <w:r>
              <w:rPr>
                <w:rFonts w:ascii="Consolas" w:cs="Consolas" w:eastAsia="Consolas" w:hAnsi="Consolas"/>
                <w:sz w:val="17"/>
                <w:szCs w:val="17"/>
              </w:rPr>
              <w:t xml:space="preserve">CREATE VIEW submission_stage AS</w:t>
            </w:r>
          </w:p>
          <w:p>
            <w:pPr>
              <w:spacing w:after="20"/>
            </w:pPr>
            <w:r>
              <w:rPr>
                <w:rFonts w:ascii="Consolas" w:cs="Consolas" w:eastAsia="Consolas" w:hAnsi="Consolas"/>
                <w:sz w:val="17"/>
                <w:szCs w:val="17"/>
              </w:rPr>
              <w:t xml:space="preserve">SELECT s.id AS submission_id,</w:t>
            </w:r>
          </w:p>
          <w:p>
            <w:pPr>
              <w:spacing w:after="20"/>
            </w:pPr>
            <w:r>
              <w:rPr>
                <w:rFonts w:ascii="Consolas" w:cs="Consolas" w:eastAsia="Consolas" w:hAnsi="Consolas"/>
                <w:sz w:val="17"/>
                <w:szCs w:val="17"/>
              </w:rPr>
              <w:t xml:space="preserve">       COALESCE(MIN(v.stage), s.pre_billing_stage) AS stage</w:t>
            </w:r>
          </w:p>
          <w:p>
            <w:pPr>
              <w:spacing w:after="20"/>
            </w:pPr>
            <w:r>
              <w:rPr>
                <w:rFonts w:ascii="Consolas" w:cs="Consolas" w:eastAsia="Consolas" w:hAnsi="Consolas"/>
                <w:sz w:val="17"/>
                <w:szCs w:val="17"/>
              </w:rPr>
              <w:t xml:space="preserve">FROM submissions s</w:t>
            </w:r>
          </w:p>
          <w:p>
            <w:pPr>
              <w:spacing w:after="20"/>
            </w:pPr>
            <w:r>
              <w:rPr>
                <w:rFonts w:ascii="Consolas" w:cs="Consolas" w:eastAsia="Consolas" w:hAnsi="Consolas"/>
                <w:sz w:val="17"/>
                <w:szCs w:val="17"/>
              </w:rPr>
              <w:t xml:space="preserve">LEFT JOIN invoices i      ON i.submission_id = s.id</w:t>
            </w:r>
          </w:p>
          <w:p>
            <w:pPr>
              <w:spacing w:after="20"/>
            </w:pPr>
            <w:r>
              <w:rPr>
                <w:rFonts w:ascii="Consolas" w:cs="Consolas" w:eastAsia="Consolas" w:hAnsi="Consolas"/>
                <w:sz w:val="17"/>
                <w:szCs w:val="17"/>
              </w:rPr>
              <w:t xml:space="preserve">LEFT JOIN invoice_stage v ON v.invoice_id = i.id</w:t>
            </w:r>
          </w:p>
          <w:p>
            <w:pPr>
              <w:spacing w:after="20"/>
            </w:pPr>
            <w:r>
              <w:rPr>
                <w:rFonts w:ascii="Consolas" w:cs="Consolas" w:eastAsia="Consolas" w:hAnsi="Consolas"/>
                <w:sz w:val="17"/>
                <w:szCs w:val="17"/>
              </w:rPr>
              <w:t xml:space="preserve">GROUP BY s.id, s.pre_billing_stage;</w:t>
            </w:r>
          </w:p>
        </w:tc>
      </w:tr>
    </w:tbl>
    <w:p>
      <w:pPr>
        <w:spacing w:after="110"/>
      </w:pPr>
      <w:r>
        <w:t xml:space="preserve"/>
      </w:r>
    </w:p>
    <w:p>
      <w:pPr>
        <w:spacing w:after="110"/>
        <w:jc w:val="left"/>
      </w:pPr>
      <w:r>
        <w:rPr>
          <w:i/>
          <w:iCs/>
          <w:sz w:val="21"/>
          <w:szCs w:val="21"/>
        </w:rPr>
        <w:t xml:space="preserve">If the team insists on a stored column for query speed, it must be a generated column or maintained by trigger — never written by application code, and never the only source of truth.</w:t>
      </w:r>
    </w:p>
    <w:p>
      <w:pPr>
        <w:pStyle w:val="Heading2"/>
        <w:spacing w:after="110" w:before="260"/>
      </w:pPr>
      <w:r>
        <w:rPr>
          <w:b/>
          <w:bCs/>
          <w:color w:val="2A4D0C"/>
          <w:sz w:val="24"/>
          <w:szCs w:val="24"/>
        </w:rPr>
        <w:t xml:space="preserve">2 · MRN numbering under concurrency</w:t>
      </w:r>
    </w:p>
    <w:p>
      <w:pPr>
        <w:spacing w:after="110"/>
        <w:jc w:val="left"/>
      </w:pPr>
      <w:r>
        <w:rPr>
          <w:sz w:val="21"/>
          <w:szCs w:val="21"/>
        </w:rPr>
        <w:t xml:space="preserve">Two factory managers receiving material in the same second must not produce the same MRN number, and the register must have no gaps. Reading a counter and then writing it back — which is what the prototype does, correctly for a single user — will eventually issue duplicates on a real server.</w:t>
      </w:r>
    </w:p>
    <w:tbl>
      <w:tblPr>
        <w:tblW w:type="dxa" w:w="9200"/>
        <w:tblBorders>
          <w:top w:val="single" w:color="DDDDDD" w:sz="2"/>
          <w:left w:val="single" w:color="3B6D11" w:sz="8"/>
          <w:bottom w:val="single" w:color="DDDDDD" w:sz="2"/>
          <w:right w:val="single" w:color="DDDDDD" w:sz="2"/>
          <w:insideH w:val="none"/>
          <w:insideV w:val="none"/>
        </w:tblBorders>
      </w:tblPr>
      <w:tblGrid>
        <w:gridCol w:w="9200"/>
      </w:tblGrid>
      <w:tr>
        <w:tc>
          <w:tcPr>
            <w:tcW w:type="dxa" w:w="9200"/>
            <w:shd w:fill="F7F7F4" w:color="auto" w:val="clear"/>
            <w:tcMar>
              <w:top w:type="dxa" w:w="130"/>
              <w:left w:type="dxa" w:w="160"/>
              <w:bottom w:type="dxa" w:w="130"/>
              <w:right w:type="dxa" w:w="160"/>
            </w:tcMar>
          </w:tcPr>
          <w:p>
            <w:pPr>
              <w:spacing w:after="20"/>
            </w:pPr>
            <w:r>
              <w:rPr>
                <w:rFonts w:ascii="Consolas" w:cs="Consolas" w:eastAsia="Consolas" w:hAnsi="Consolas"/>
                <w:sz w:val="17"/>
                <w:szCs w:val="17"/>
              </w:rPr>
              <w:t xml:space="preserve">CREATE TABLE mrn_counters (</w:t>
            </w:r>
          </w:p>
          <w:p>
            <w:pPr>
              <w:spacing w:after="20"/>
            </w:pPr>
            <w:r>
              <w:rPr>
                <w:rFonts w:ascii="Consolas" w:cs="Consolas" w:eastAsia="Consolas" w:hAnsi="Consolas"/>
                <w:sz w:val="17"/>
                <w:szCs w:val="17"/>
              </w:rPr>
              <w:t xml:space="preserve">  factory_code TEXT NOT NULL,</w:t>
            </w:r>
          </w:p>
          <w:p>
            <w:pPr>
              <w:spacing w:after="20"/>
            </w:pPr>
            <w:r>
              <w:rPr>
                <w:rFonts w:ascii="Consolas" w:cs="Consolas" w:eastAsia="Consolas" w:hAnsi="Consolas"/>
                <w:sz w:val="17"/>
                <w:szCs w:val="17"/>
              </w:rPr>
              <w:t xml:space="preserve">  fy           TEXT NOT NULL,        -- 2526 for FY 2025-26</w:t>
            </w:r>
          </w:p>
          <w:p>
            <w:pPr>
              <w:spacing w:after="20"/>
            </w:pPr>
            <w:r>
              <w:rPr>
                <w:rFonts w:ascii="Consolas" w:cs="Consolas" w:eastAsia="Consolas" w:hAnsi="Consolas"/>
                <w:sz w:val="17"/>
                <w:szCs w:val="17"/>
              </w:rPr>
              <w:t xml:space="preserve">  last_value   INT  NOT NULL DEFAULT 0,</w:t>
            </w:r>
          </w:p>
          <w:p>
            <w:pPr>
              <w:spacing w:after="20"/>
            </w:pPr>
            <w:r>
              <w:rPr>
                <w:rFonts w:ascii="Consolas" w:cs="Consolas" w:eastAsia="Consolas" w:hAnsi="Consolas"/>
                <w:sz w:val="17"/>
                <w:szCs w:val="17"/>
              </w:rPr>
              <w:t xml:space="preserve">  PRIMARY KEY (factory_code, fy)</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 Allocation is one statement, so concurrent callers queue rather than race.</w:t>
            </w:r>
          </w:p>
          <w:p>
            <w:pPr>
              <w:spacing w:after="20"/>
            </w:pPr>
            <w:r>
              <w:rPr>
                <w:rFonts w:ascii="Consolas" w:cs="Consolas" w:eastAsia="Consolas" w:hAnsi="Consolas"/>
                <w:sz w:val="17"/>
                <w:szCs w:val="17"/>
              </w:rPr>
              <w:t xml:space="preserve">-- Run it inside the same transaction that inserts the MRN row.</w:t>
            </w:r>
          </w:p>
          <w:p>
            <w:pPr>
              <w:spacing w:after="20"/>
            </w:pPr>
            <w:r>
              <w:rPr>
                <w:rFonts w:ascii="Consolas" w:cs="Consolas" w:eastAsia="Consolas" w:hAnsi="Consolas"/>
                <w:sz w:val="17"/>
                <w:szCs w:val="17"/>
              </w:rPr>
              <w:t xml:space="preserve">INSERT INTO mrn_counters AS c (factory_code, fy, last_value)</w:t>
            </w:r>
          </w:p>
          <w:p>
            <w:pPr>
              <w:spacing w:after="20"/>
            </w:pPr>
            <w:r>
              <w:rPr>
                <w:rFonts w:ascii="Consolas" w:cs="Consolas" w:eastAsia="Consolas" w:hAnsi="Consolas"/>
                <w:sz w:val="17"/>
                <w:szCs w:val="17"/>
              </w:rPr>
              <w:t xml:space="preserve">VALUES ($1, $2, 1)</w:t>
            </w:r>
          </w:p>
          <w:p>
            <w:pPr>
              <w:spacing w:after="20"/>
            </w:pPr>
            <w:r>
              <w:rPr>
                <w:rFonts w:ascii="Consolas" w:cs="Consolas" w:eastAsia="Consolas" w:hAnsi="Consolas"/>
                <w:sz w:val="17"/>
                <w:szCs w:val="17"/>
              </w:rPr>
              <w:t xml:space="preserve">ON CONFLICT (factory_code, fy)</w:t>
            </w:r>
          </w:p>
          <w:p>
            <w:pPr>
              <w:spacing w:after="20"/>
            </w:pPr>
            <w:r>
              <w:rPr>
                <w:rFonts w:ascii="Consolas" w:cs="Consolas" w:eastAsia="Consolas" w:hAnsi="Consolas"/>
                <w:sz w:val="17"/>
                <w:szCs w:val="17"/>
              </w:rPr>
              <w:t xml:space="preserve">DO UPDATE SET last_value = c.last_value + 1</w:t>
            </w:r>
          </w:p>
          <w:p>
            <w:pPr>
              <w:spacing w:after="20"/>
            </w:pPr>
            <w:r>
              <w:rPr>
                <w:rFonts w:ascii="Consolas" w:cs="Consolas" w:eastAsia="Consolas" w:hAnsi="Consolas"/>
                <w:sz w:val="17"/>
                <w:szCs w:val="17"/>
              </w:rPr>
              <w:t xml:space="preserve">RETURNING last_value;</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 Second line of defence: the number itself cannot repeat</w:t>
            </w:r>
          </w:p>
          <w:p>
            <w:pPr>
              <w:spacing w:after="20"/>
            </w:pPr>
            <w:r>
              <w:rPr>
                <w:rFonts w:ascii="Consolas" w:cs="Consolas" w:eastAsia="Consolas" w:hAnsi="Consolas"/>
                <w:sz w:val="17"/>
                <w:szCs w:val="17"/>
              </w:rPr>
              <w:t xml:space="preserve">ALTER TABLE mrns ADD CONSTRAINT mrn_no_unique UNIQUE (mrn_no);</w:t>
            </w:r>
          </w:p>
        </w:tc>
      </w:tr>
    </w:tbl>
    <w:p>
      <w:pPr>
        <w:spacing w:after="110"/>
      </w:pPr>
      <w:r>
        <w:t xml:space="preserve"/>
      </w:r>
    </w:p>
    <w:p>
      <w:pPr>
        <w:spacing w:after="110"/>
      </w:pPr>
      <w:r>
        <w:rPr>
          <w:b/>
          <w:bCs/>
          <w:sz w:val="21"/>
          <w:szCs w:val="21"/>
        </w:rPr>
        <w:t xml:space="preserve">Acceptance test: </w:t>
      </w:r>
      <w:r>
        <w:rPr>
          <w:sz w:val="21"/>
          <w:szCs w:val="21"/>
        </w:rPr>
        <w:t xml:space="preserve">fire fifty simultaneous MRN creations at one factory and assert fifty distinct, consecutive numbers with no gaps. Ask to see this run.</w:t>
      </w:r>
    </w:p>
    <w:p>
      <w:pPr>
        <w:pStyle w:val="Heading2"/>
        <w:spacing w:after="110" w:before="260"/>
      </w:pPr>
      <w:r>
        <w:rPr>
          <w:b/>
          <w:bCs/>
          <w:color w:val="2A4D0C"/>
          <w:sz w:val="24"/>
          <w:szCs w:val="24"/>
        </w:rPr>
        <w:t xml:space="preserve">3 · Tenant isolation in the database, not only the application</w:t>
      </w:r>
    </w:p>
    <w:p>
      <w:pPr>
        <w:spacing w:after="110"/>
        <w:jc w:val="left"/>
      </w:pPr>
      <w:r>
        <w:rPr>
          <w:sz w:val="21"/>
          <w:szCs w:val="21"/>
        </w:rPr>
        <w:t xml:space="preserve">If client separation lives only in application code, one forgotten condition in one endpoint exposes another client's data. Row-level security makes that mistake much harder to make and much easier to catch.</w:t>
      </w:r>
    </w:p>
    <w:tbl>
      <w:tblPr>
        <w:tblW w:type="dxa" w:w="9200"/>
        <w:tblBorders>
          <w:top w:val="single" w:color="DDDDDD" w:sz="2"/>
          <w:left w:val="single" w:color="3B6D11" w:sz="8"/>
          <w:bottom w:val="single" w:color="DDDDDD" w:sz="2"/>
          <w:right w:val="single" w:color="DDDDDD" w:sz="2"/>
          <w:insideH w:val="none"/>
          <w:insideV w:val="none"/>
        </w:tblBorders>
      </w:tblPr>
      <w:tblGrid>
        <w:gridCol w:w="9200"/>
      </w:tblGrid>
      <w:tr>
        <w:tc>
          <w:tcPr>
            <w:tcW w:type="dxa" w:w="9200"/>
            <w:shd w:fill="F7F7F4" w:color="auto" w:val="clear"/>
            <w:tcMar>
              <w:top w:type="dxa" w:w="130"/>
              <w:left w:type="dxa" w:w="160"/>
              <w:bottom w:type="dxa" w:w="130"/>
              <w:right w:type="dxa" w:w="160"/>
            </w:tcMar>
          </w:tcPr>
          <w:p>
            <w:pPr>
              <w:spacing w:after="20"/>
            </w:pPr>
            <w:r>
              <w:rPr>
                <w:rFonts w:ascii="Consolas" w:cs="Consolas" w:eastAsia="Consolas" w:hAnsi="Consolas"/>
                <w:sz w:val="17"/>
                <w:szCs w:val="17"/>
              </w:rPr>
              <w:t xml:space="preserve">ALTER TABLE submissions ENABLE ROW LEVEL SECURITY;</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 Staff see everything</w:t>
            </w:r>
          </w:p>
          <w:p>
            <w:pPr>
              <w:spacing w:after="20"/>
            </w:pPr>
            <w:r>
              <w:rPr>
                <w:rFonts w:ascii="Consolas" w:cs="Consolas" w:eastAsia="Consolas" w:hAnsi="Consolas"/>
                <w:sz w:val="17"/>
                <w:szCs w:val="17"/>
              </w:rPr>
              <w:t xml:space="preserve">CREATE POLICY staff_all ON submissions</w:t>
            </w:r>
          </w:p>
          <w:p>
            <w:pPr>
              <w:spacing w:after="20"/>
            </w:pPr>
            <w:r>
              <w:rPr>
                <w:rFonts w:ascii="Consolas" w:cs="Consolas" w:eastAsia="Consolas" w:hAnsi="Consolas"/>
                <w:sz w:val="17"/>
                <w:szCs w:val="17"/>
              </w:rPr>
              <w:t xml:space="preserve">  USING (current_setting('app.role', true) IN ('admin','factory'));</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 Client users see their own organisation, restricted to their sites</w:t>
            </w:r>
          </w:p>
          <w:p>
            <w:pPr>
              <w:spacing w:after="20"/>
            </w:pPr>
            <w:r>
              <w:rPr>
                <w:rFonts w:ascii="Consolas" w:cs="Consolas" w:eastAsia="Consolas" w:hAnsi="Consolas"/>
                <w:sz w:val="17"/>
                <w:szCs w:val="17"/>
              </w:rPr>
              <w:t xml:space="preserve">CREATE POLICY client_own ON submissions</w:t>
            </w:r>
          </w:p>
          <w:p>
            <w:pPr>
              <w:spacing w:after="20"/>
            </w:pPr>
            <w:r>
              <w:rPr>
                <w:rFonts w:ascii="Consolas" w:cs="Consolas" w:eastAsia="Consolas" w:hAnsi="Consolas"/>
                <w:sz w:val="17"/>
                <w:szCs w:val="17"/>
              </w:rPr>
              <w:t xml:space="preserve">  USING (</w:t>
            </w:r>
          </w:p>
          <w:p>
            <w:pPr>
              <w:spacing w:after="20"/>
            </w:pPr>
            <w:r>
              <w:rPr>
                <w:rFonts w:ascii="Consolas" w:cs="Consolas" w:eastAsia="Consolas" w:hAnsi="Consolas"/>
                <w:sz w:val="17"/>
                <w:szCs w:val="17"/>
              </w:rPr>
              <w:t xml:space="preserve">    current_setting('app.role', true) = 'client'</w:t>
            </w:r>
          </w:p>
          <w:p>
            <w:pPr>
              <w:spacing w:after="20"/>
            </w:pPr>
            <w:r>
              <w:rPr>
                <w:rFonts w:ascii="Consolas" w:cs="Consolas" w:eastAsia="Consolas" w:hAnsi="Consolas"/>
                <w:sz w:val="17"/>
                <w:szCs w:val="17"/>
              </w:rPr>
              <w:t xml:space="preserve">    AND client_code = current_setting('app.client_code', true)</w:t>
            </w:r>
          </w:p>
          <w:p>
            <w:pPr>
              <w:spacing w:after="20"/>
            </w:pPr>
            <w:r>
              <w:rPr>
                <w:rFonts w:ascii="Consolas" w:cs="Consolas" w:eastAsia="Consolas" w:hAnsi="Consolas"/>
                <w:sz w:val="17"/>
                <w:szCs w:val="17"/>
              </w:rPr>
              <w:t xml:space="preserve">    AND ( current_setting('app.site_scope', true) = ''</w:t>
            </w:r>
          </w:p>
          <w:p>
            <w:pPr>
              <w:spacing w:after="20"/>
            </w:pPr>
            <w:r>
              <w:rPr>
                <w:rFonts w:ascii="Consolas" w:cs="Consolas" w:eastAsia="Consolas" w:hAnsi="Consolas"/>
                <w:sz w:val="17"/>
                <w:szCs w:val="17"/>
              </w:rPr>
              <w:t xml:space="preserve">          OR site_id = ANY (string_to_array(</w:t>
            </w:r>
          </w:p>
          <w:p>
            <w:pPr>
              <w:spacing w:after="20"/>
            </w:pPr>
            <w:r>
              <w:rPr>
                <w:rFonts w:ascii="Consolas" w:cs="Consolas" w:eastAsia="Consolas" w:hAnsi="Consolas"/>
                <w:sz w:val="17"/>
                <w:szCs w:val="17"/>
              </w:rPr>
              <w:t xml:space="preserve">               current_setting('app.site_scope', true), ','))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 Set once per request, from the verified session — never from user input</w:t>
            </w:r>
          </w:p>
          <w:p>
            <w:pPr>
              <w:spacing w:after="20"/>
            </w:pPr>
            <w:r>
              <w:rPr>
                <w:rFonts w:ascii="Consolas" w:cs="Consolas" w:eastAsia="Consolas" w:hAnsi="Consolas"/>
                <w:sz w:val="17"/>
                <w:szCs w:val="17"/>
              </w:rPr>
              <w:t xml:space="preserve">SET LOCAL app.role        = 'client';</w:t>
            </w:r>
          </w:p>
          <w:p>
            <w:pPr>
              <w:spacing w:after="20"/>
            </w:pPr>
            <w:r>
              <w:rPr>
                <w:rFonts w:ascii="Consolas" w:cs="Consolas" w:eastAsia="Consolas" w:hAnsi="Consolas"/>
                <w:sz w:val="17"/>
                <w:szCs w:val="17"/>
              </w:rPr>
              <w:t xml:space="preserve">SET LOCAL app.client_code = 'TCPL';</w:t>
            </w:r>
          </w:p>
          <w:p>
            <w:pPr>
              <w:spacing w:after="20"/>
            </w:pPr>
            <w:r>
              <w:rPr>
                <w:rFonts w:ascii="Consolas" w:cs="Consolas" w:eastAsia="Consolas" w:hAnsi="Consolas"/>
                <w:sz w:val="17"/>
                <w:szCs w:val="17"/>
              </w:rPr>
              <w:t xml:space="preserve">SET LOCAL app.site_scope  = 'BLR';</w:t>
            </w:r>
          </w:p>
        </w:tc>
      </w:tr>
    </w:tbl>
    <w:p>
      <w:pPr>
        <w:spacing w:after="110"/>
      </w:pPr>
      <w:r>
        <w:t xml:space="preserve"/>
      </w:r>
    </w:p>
    <w:tbl>
      <w:tblPr>
        <w:tblW w:type="dxa" w:w="9200"/>
        <w:tblBorders>
          <w:top w:val="single" w:color="3B6D11" w:sz="6"/>
          <w:left w:val="single" w:color="3B6D11" w:sz="6"/>
          <w:bottom w:val="single" w:color="3B6D11" w:sz="6"/>
          <w:right w:val="single" w:color="3B6D11" w:sz="6"/>
          <w:insideH w:val="none"/>
          <w:insideV w:val="none"/>
        </w:tblBorders>
      </w:tblPr>
      <w:tblGrid>
        <w:gridCol w:w="9200"/>
      </w:tblGrid>
      <w:tr>
        <w:tc>
          <w:tcPr>
            <w:tcW w:type="dxa" w:w="9200"/>
            <w:shd w:fill="F5F5F0" w:color="auto" w:val="clear"/>
            <w:tcMar>
              <w:top w:type="dxa" w:w="170"/>
              <w:left w:type="dxa" w:w="190"/>
              <w:bottom w:type="dxa" w:w="170"/>
              <w:right w:type="dxa" w:w="190"/>
            </w:tcMar>
          </w:tcPr>
          <w:p>
            <w:pPr>
              <w:spacing w:after="70"/>
            </w:pPr>
            <w:r>
              <w:rPr>
                <w:b/>
                <w:bCs/>
                <w:color w:val="2A4D0C"/>
                <w:sz w:val="21"/>
                <w:szCs w:val="21"/>
              </w:rPr>
              <w:t xml:space="preserve">Two smaller things that are cheap now and expensive later</w:t>
            </w:r>
          </w:p>
          <w:p>
            <w:pPr>
              <w:spacing w:after="55"/>
            </w:pPr>
            <w:r>
              <w:rPr>
                <w:sz w:val="19"/>
                <w:szCs w:val="19"/>
              </w:rPr>
              <w:t xml:space="preserve">Money in NUMERIC(14,2), never a floating-point type. Floating point will put invoice totals a paisa out in reports and nobody will find it for months.</w:t>
            </w:r>
          </w:p>
          <w:p>
            <w:pPr>
              <w:spacing w:after="55"/>
            </w:pPr>
            <w:r>
              <w:rPr>
                <w:sz w:val="19"/>
                <w:szCs w:val="19"/>
              </w:rPr>
              <w:t xml:space="preserve">Weights in NUMERIC(12,3) — you weigh to the kilogram but recovery splits carry decimals, and rounding drift breaks the rule that a category split must total the invoice weight exactly.</w:t>
            </w:r>
          </w:p>
        </w:tc>
      </w:tr>
    </w:tbl>
    <w:p>
      <w:pPr>
        <w:spacing w:after="110"/>
      </w:pPr>
      <w:r>
        <w:t xml:space="preserve"/>
      </w:r>
    </w:p>
    <w:p>
      <w:pPr>
        <w:spacing w:after="110"/>
        <w:jc w:val="center"/>
      </w:pPr>
      <w:r>
        <w:rPr>
          <w:i/>
          <w:iCs/>
          <w:color w:val="666666"/>
          <w:sz w:val="21"/>
          <w:szCs w:val="21"/>
        </w:rPr>
        <w:t xml:space="preserve">— End of build plan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Confidential · Urb TecTrack backend build plan v1 · 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6D11" w:sz="4" w:space="4"/>
      </w:pBdr>
      <w:spacing w:after="90"/>
      <w:jc w:val="right"/>
    </w:pPr>
    <w:r>
      <w:rPr>
        <w:color w:val="666666"/>
        <w:sz w:val="16"/>
        <w:szCs w:val="16"/>
      </w:rPr>
      <w:t xml:space="preserve">Urbeno Private Limited · </w:t>
    </w:r>
    <w:r>
      <w:rPr>
        <w:b/>
        <w:bCs/>
        <w:color w:val="2A4D0C"/>
        <w:sz w:val="16"/>
        <w:szCs w:val="16"/>
      </w:rPr>
      <w:t xml:space="preserve">Urb TecTrack — Production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lvl w:ilvl="1" w15:tentative="1">
      <w:start w:val="1"/>
      <w:numFmt w:val="bullet"/>
      <w:lvlText w:val="◦"/>
      <w:lvlJc w:val="left"/>
      <w:pPr>
        <w:ind w:left="88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 TecTrack — Backend Production Build Plan</dc:title>
  <dc:creator>Urbeno Private Limited</dc:creator>
  <cp:lastModifiedBy>Un-named</cp:lastModifiedBy>
  <cp:revision>1</cp:revision>
  <dcterms:created xsi:type="dcterms:W3CDTF">2026-08-15T17:06:45.373Z</dcterms:created>
  <dcterms:modified xsi:type="dcterms:W3CDTF">2026-08-15T17:06:45.373Z</dcterms:modified>
</cp:coreProperties>
</file>

<file path=docProps/custom.xml><?xml version="1.0" encoding="utf-8"?>
<Properties xmlns="http://schemas.openxmlformats.org/officeDocument/2006/custom-properties" xmlns:vt="http://schemas.openxmlformats.org/officeDocument/2006/docPropsVTypes"/>
</file>