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730485" w14:textId="77777777" w:rsidR="006B19C9" w:rsidRPr="00287F6A" w:rsidRDefault="00000000">
      <w:pPr>
        <w:jc w:val="center"/>
        <w:rPr>
          <w:rFonts w:ascii="Times New Roman" w:hAnsi="Times New Roman" w:cs="Times New Roman"/>
        </w:rPr>
      </w:pPr>
      <w:r w:rsidRPr="00287F6A">
        <w:rPr>
          <w:rFonts w:ascii="Times New Roman" w:hAnsi="Times New Roman" w:cs="Times New Roman"/>
          <w:noProof/>
        </w:rPr>
        <w:drawing>
          <wp:inline distT="0" distB="0" distL="0" distR="0" wp14:anchorId="26EF4821" wp14:editId="44AED5C8">
            <wp:extent cx="6035040" cy="285292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6035040" cy="2852928"/>
                    </a:xfrm>
                    <a:prstGeom prst="rect">
                      <a:avLst/>
                    </a:prstGeom>
                  </pic:spPr>
                </pic:pic>
              </a:graphicData>
            </a:graphic>
          </wp:inline>
        </w:drawing>
      </w:r>
    </w:p>
    <w:p w14:paraId="5B813603" w14:textId="77777777" w:rsidR="006B19C9" w:rsidRPr="00287F6A" w:rsidRDefault="006B19C9">
      <w:pPr>
        <w:spacing w:before="220"/>
        <w:rPr>
          <w:rFonts w:ascii="Times New Roman" w:hAnsi="Times New Roman" w:cs="Times New Roman"/>
        </w:rPr>
      </w:pPr>
    </w:p>
    <w:tbl>
      <w:tblPr>
        <w:tblW w:w="9350" w:type="dxa"/>
        <w:tblBorders>
          <w:top w:val="single" w:sz="4" w:space="0" w:color="1E2023"/>
          <w:left w:val="single" w:sz="4" w:space="0" w:color="1E2023"/>
          <w:bottom w:val="single" w:sz="4" w:space="0" w:color="1E2023"/>
          <w:right w:val="single" w:sz="4" w:space="0" w:color="1E2023"/>
          <w:insideH w:val="single" w:sz="2" w:space="0" w:color="D9D2C4"/>
          <w:insideV w:val="single" w:sz="2" w:space="0" w:color="D9D2C4"/>
        </w:tblBorders>
        <w:tblCellMar>
          <w:left w:w="10" w:type="dxa"/>
          <w:right w:w="10" w:type="dxa"/>
        </w:tblCellMar>
        <w:tblLook w:val="0000" w:firstRow="0" w:lastRow="0" w:firstColumn="0" w:lastColumn="0" w:noHBand="0" w:noVBand="0"/>
      </w:tblPr>
      <w:tblGrid>
        <w:gridCol w:w="2800"/>
        <w:gridCol w:w="6550"/>
      </w:tblGrid>
      <w:tr w:rsidR="006B19C9" w:rsidRPr="00287F6A" w14:paraId="7D38F7C0" w14:textId="77777777">
        <w:tblPrEx>
          <w:tblCellMar>
            <w:top w:w="0" w:type="dxa"/>
            <w:bottom w:w="0" w:type="dxa"/>
          </w:tblCellMar>
        </w:tblPrEx>
        <w:tc>
          <w:tcPr>
            <w:tcW w:w="2800" w:type="dxa"/>
            <w:shd w:val="clear" w:color="auto" w:fill="1E2023"/>
            <w:tcMar>
              <w:top w:w="90" w:type="dxa"/>
              <w:left w:w="160" w:type="dxa"/>
              <w:bottom w:w="90" w:type="dxa"/>
              <w:right w:w="100" w:type="dxa"/>
            </w:tcMar>
          </w:tcPr>
          <w:p w14:paraId="0701E6D0" w14:textId="77777777" w:rsidR="006B19C9" w:rsidRPr="00287F6A" w:rsidRDefault="00000000">
            <w:pPr>
              <w:rPr>
                <w:rFonts w:ascii="Times New Roman" w:hAnsi="Times New Roman" w:cs="Times New Roman"/>
              </w:rPr>
            </w:pPr>
            <w:r w:rsidRPr="00287F6A">
              <w:rPr>
                <w:rFonts w:ascii="Times New Roman" w:hAnsi="Times New Roman" w:cs="Times New Roman"/>
                <w:b/>
                <w:bCs/>
                <w:color w:val="FFFFFF"/>
                <w:sz w:val="19"/>
                <w:szCs w:val="19"/>
              </w:rPr>
              <w:t>Student Name</w:t>
            </w:r>
          </w:p>
        </w:tc>
        <w:tc>
          <w:tcPr>
            <w:tcW w:w="6550" w:type="dxa"/>
            <w:shd w:val="clear" w:color="auto" w:fill="F5EEDD"/>
            <w:tcMar>
              <w:top w:w="90" w:type="dxa"/>
              <w:left w:w="160" w:type="dxa"/>
              <w:bottom w:w="90" w:type="dxa"/>
              <w:right w:w="100" w:type="dxa"/>
            </w:tcMar>
          </w:tcPr>
          <w:p w14:paraId="6F00653E" w14:textId="77777777" w:rsidR="006B19C9" w:rsidRPr="00287F6A" w:rsidRDefault="00000000">
            <w:pPr>
              <w:rPr>
                <w:rFonts w:ascii="Times New Roman" w:hAnsi="Times New Roman" w:cs="Times New Roman"/>
              </w:rPr>
            </w:pPr>
            <w:r w:rsidRPr="00287F6A">
              <w:rPr>
                <w:rFonts w:ascii="Times New Roman" w:hAnsi="Times New Roman" w:cs="Times New Roman"/>
                <w:color w:val="1E2023"/>
                <w:sz w:val="19"/>
                <w:szCs w:val="19"/>
              </w:rPr>
              <w:t>Manisha</w:t>
            </w:r>
          </w:p>
        </w:tc>
      </w:tr>
      <w:tr w:rsidR="006B19C9" w:rsidRPr="00287F6A" w14:paraId="2D048F24" w14:textId="77777777">
        <w:tblPrEx>
          <w:tblCellMar>
            <w:top w:w="0" w:type="dxa"/>
            <w:bottom w:w="0" w:type="dxa"/>
          </w:tblCellMar>
        </w:tblPrEx>
        <w:tc>
          <w:tcPr>
            <w:tcW w:w="2800" w:type="dxa"/>
            <w:shd w:val="clear" w:color="auto" w:fill="8C3244"/>
            <w:tcMar>
              <w:top w:w="90" w:type="dxa"/>
              <w:left w:w="160" w:type="dxa"/>
              <w:bottom w:w="90" w:type="dxa"/>
              <w:right w:w="100" w:type="dxa"/>
            </w:tcMar>
          </w:tcPr>
          <w:p w14:paraId="0D858740" w14:textId="77777777" w:rsidR="006B19C9" w:rsidRPr="00287F6A" w:rsidRDefault="00000000">
            <w:pPr>
              <w:rPr>
                <w:rFonts w:ascii="Times New Roman" w:hAnsi="Times New Roman" w:cs="Times New Roman"/>
              </w:rPr>
            </w:pPr>
            <w:r w:rsidRPr="00287F6A">
              <w:rPr>
                <w:rFonts w:ascii="Times New Roman" w:hAnsi="Times New Roman" w:cs="Times New Roman"/>
                <w:b/>
                <w:bCs/>
                <w:color w:val="FFFFFF"/>
                <w:sz w:val="19"/>
                <w:szCs w:val="19"/>
              </w:rPr>
              <w:t>Register Number</w:t>
            </w:r>
          </w:p>
        </w:tc>
        <w:tc>
          <w:tcPr>
            <w:tcW w:w="6550" w:type="dxa"/>
            <w:shd w:val="clear" w:color="auto" w:fill="F3E6E9"/>
            <w:tcMar>
              <w:top w:w="90" w:type="dxa"/>
              <w:left w:w="160" w:type="dxa"/>
              <w:bottom w:w="90" w:type="dxa"/>
              <w:right w:w="100" w:type="dxa"/>
            </w:tcMar>
          </w:tcPr>
          <w:p w14:paraId="56A25786" w14:textId="69D3816E" w:rsidR="006B19C9" w:rsidRPr="00287F6A" w:rsidRDefault="00287F6A">
            <w:pPr>
              <w:rPr>
                <w:rFonts w:ascii="Times New Roman" w:hAnsi="Times New Roman" w:cs="Times New Roman"/>
              </w:rPr>
            </w:pPr>
            <w:r w:rsidRPr="00287F6A">
              <w:rPr>
                <w:rFonts w:ascii="Times New Roman" w:hAnsi="Times New Roman" w:cs="Times New Roman"/>
              </w:rPr>
              <w:t>192424130</w:t>
            </w:r>
          </w:p>
        </w:tc>
      </w:tr>
      <w:tr w:rsidR="006B19C9" w:rsidRPr="00287F6A" w14:paraId="4EAE5268" w14:textId="77777777">
        <w:tblPrEx>
          <w:tblCellMar>
            <w:top w:w="0" w:type="dxa"/>
            <w:bottom w:w="0" w:type="dxa"/>
          </w:tblCellMar>
        </w:tblPrEx>
        <w:tc>
          <w:tcPr>
            <w:tcW w:w="2800" w:type="dxa"/>
            <w:shd w:val="clear" w:color="auto" w:fill="1E2023"/>
            <w:tcMar>
              <w:top w:w="90" w:type="dxa"/>
              <w:left w:w="160" w:type="dxa"/>
              <w:bottom w:w="90" w:type="dxa"/>
              <w:right w:w="100" w:type="dxa"/>
            </w:tcMar>
          </w:tcPr>
          <w:p w14:paraId="22F41B4A" w14:textId="77777777" w:rsidR="006B19C9" w:rsidRPr="00287F6A" w:rsidRDefault="00000000">
            <w:pPr>
              <w:rPr>
                <w:rFonts w:ascii="Times New Roman" w:hAnsi="Times New Roman" w:cs="Times New Roman"/>
              </w:rPr>
            </w:pPr>
            <w:r w:rsidRPr="00287F6A">
              <w:rPr>
                <w:rFonts w:ascii="Times New Roman" w:hAnsi="Times New Roman" w:cs="Times New Roman"/>
                <w:b/>
                <w:bCs/>
                <w:color w:val="FFFFFF"/>
                <w:sz w:val="19"/>
                <w:szCs w:val="19"/>
              </w:rPr>
              <w:t>Course</w:t>
            </w:r>
          </w:p>
        </w:tc>
        <w:tc>
          <w:tcPr>
            <w:tcW w:w="6550" w:type="dxa"/>
            <w:shd w:val="clear" w:color="auto" w:fill="F5EEDD"/>
            <w:tcMar>
              <w:top w:w="90" w:type="dxa"/>
              <w:left w:w="160" w:type="dxa"/>
              <w:bottom w:w="90" w:type="dxa"/>
              <w:right w:w="100" w:type="dxa"/>
            </w:tcMar>
          </w:tcPr>
          <w:p w14:paraId="09C7BD1A" w14:textId="77777777" w:rsidR="006B19C9" w:rsidRPr="00287F6A" w:rsidRDefault="00000000">
            <w:pPr>
              <w:rPr>
                <w:rFonts w:ascii="Times New Roman" w:hAnsi="Times New Roman" w:cs="Times New Roman"/>
              </w:rPr>
            </w:pPr>
            <w:r w:rsidRPr="00287F6A">
              <w:rPr>
                <w:rFonts w:ascii="Times New Roman" w:hAnsi="Times New Roman" w:cs="Times New Roman"/>
                <w:color w:val="1E2023"/>
                <w:sz w:val="19"/>
                <w:szCs w:val="19"/>
              </w:rPr>
              <w:t>CSA10 — Software Engineering</w:t>
            </w:r>
          </w:p>
        </w:tc>
      </w:tr>
      <w:tr w:rsidR="006B19C9" w:rsidRPr="00287F6A" w14:paraId="3E2DD1D2" w14:textId="77777777">
        <w:tblPrEx>
          <w:tblCellMar>
            <w:top w:w="0" w:type="dxa"/>
            <w:bottom w:w="0" w:type="dxa"/>
          </w:tblCellMar>
        </w:tblPrEx>
        <w:tc>
          <w:tcPr>
            <w:tcW w:w="2800" w:type="dxa"/>
            <w:shd w:val="clear" w:color="auto" w:fill="8C3244"/>
            <w:tcMar>
              <w:top w:w="90" w:type="dxa"/>
              <w:left w:w="160" w:type="dxa"/>
              <w:bottom w:w="90" w:type="dxa"/>
              <w:right w:w="100" w:type="dxa"/>
            </w:tcMar>
          </w:tcPr>
          <w:p w14:paraId="109C2FF5" w14:textId="77777777" w:rsidR="006B19C9" w:rsidRPr="00287F6A" w:rsidRDefault="00000000">
            <w:pPr>
              <w:rPr>
                <w:rFonts w:ascii="Times New Roman" w:hAnsi="Times New Roman" w:cs="Times New Roman"/>
              </w:rPr>
            </w:pPr>
            <w:r w:rsidRPr="00287F6A">
              <w:rPr>
                <w:rFonts w:ascii="Times New Roman" w:hAnsi="Times New Roman" w:cs="Times New Roman"/>
                <w:b/>
                <w:bCs/>
                <w:color w:val="FFFFFF"/>
                <w:sz w:val="19"/>
                <w:szCs w:val="19"/>
              </w:rPr>
              <w:t>CO Assessed</w:t>
            </w:r>
          </w:p>
        </w:tc>
        <w:tc>
          <w:tcPr>
            <w:tcW w:w="6550" w:type="dxa"/>
            <w:shd w:val="clear" w:color="auto" w:fill="F3E6E9"/>
            <w:tcMar>
              <w:top w:w="90" w:type="dxa"/>
              <w:left w:w="160" w:type="dxa"/>
              <w:bottom w:w="90" w:type="dxa"/>
              <w:right w:w="100" w:type="dxa"/>
            </w:tcMar>
          </w:tcPr>
          <w:p w14:paraId="52E88B1E" w14:textId="77777777" w:rsidR="006B19C9" w:rsidRPr="00287F6A" w:rsidRDefault="00000000">
            <w:pPr>
              <w:rPr>
                <w:rFonts w:ascii="Times New Roman" w:hAnsi="Times New Roman" w:cs="Times New Roman"/>
              </w:rPr>
            </w:pPr>
            <w:r w:rsidRPr="00287F6A">
              <w:rPr>
                <w:rFonts w:ascii="Times New Roman" w:hAnsi="Times New Roman" w:cs="Times New Roman"/>
                <w:color w:val="1E2023"/>
                <w:sz w:val="19"/>
                <w:szCs w:val="19"/>
              </w:rPr>
              <w:t>CO5 — Evaluate emerging technologies and societal impacts, maintaining and evolving software systems responsibly</w:t>
            </w:r>
          </w:p>
        </w:tc>
      </w:tr>
      <w:tr w:rsidR="006B19C9" w:rsidRPr="00287F6A" w14:paraId="05D85A6D" w14:textId="77777777">
        <w:tblPrEx>
          <w:tblCellMar>
            <w:top w:w="0" w:type="dxa"/>
            <w:bottom w:w="0" w:type="dxa"/>
          </w:tblCellMar>
        </w:tblPrEx>
        <w:tc>
          <w:tcPr>
            <w:tcW w:w="2800" w:type="dxa"/>
            <w:shd w:val="clear" w:color="auto" w:fill="1E2023"/>
            <w:tcMar>
              <w:top w:w="90" w:type="dxa"/>
              <w:left w:w="160" w:type="dxa"/>
              <w:bottom w:w="90" w:type="dxa"/>
              <w:right w:w="100" w:type="dxa"/>
            </w:tcMar>
          </w:tcPr>
          <w:p w14:paraId="7ED7298C" w14:textId="77777777" w:rsidR="006B19C9" w:rsidRPr="00287F6A" w:rsidRDefault="00000000">
            <w:pPr>
              <w:rPr>
                <w:rFonts w:ascii="Times New Roman" w:hAnsi="Times New Roman" w:cs="Times New Roman"/>
              </w:rPr>
            </w:pPr>
            <w:r w:rsidRPr="00287F6A">
              <w:rPr>
                <w:rFonts w:ascii="Times New Roman" w:hAnsi="Times New Roman" w:cs="Times New Roman"/>
                <w:b/>
                <w:bCs/>
                <w:color w:val="FFFFFF"/>
                <w:sz w:val="19"/>
                <w:szCs w:val="19"/>
              </w:rPr>
              <w:t>Assessment</w:t>
            </w:r>
          </w:p>
        </w:tc>
        <w:tc>
          <w:tcPr>
            <w:tcW w:w="6550" w:type="dxa"/>
            <w:shd w:val="clear" w:color="auto" w:fill="F5EEDD"/>
            <w:tcMar>
              <w:top w:w="90" w:type="dxa"/>
              <w:left w:w="160" w:type="dxa"/>
              <w:bottom w:w="90" w:type="dxa"/>
              <w:right w:w="100" w:type="dxa"/>
            </w:tcMar>
          </w:tcPr>
          <w:p w14:paraId="1F61CBE9" w14:textId="77777777" w:rsidR="006B19C9" w:rsidRPr="00287F6A" w:rsidRDefault="00000000">
            <w:pPr>
              <w:rPr>
                <w:rFonts w:ascii="Times New Roman" w:hAnsi="Times New Roman" w:cs="Times New Roman"/>
              </w:rPr>
            </w:pPr>
            <w:r w:rsidRPr="00287F6A">
              <w:rPr>
                <w:rFonts w:ascii="Times New Roman" w:hAnsi="Times New Roman" w:cs="Times New Roman"/>
                <w:color w:val="1E2023"/>
                <w:sz w:val="19"/>
                <w:szCs w:val="19"/>
              </w:rPr>
              <w:t xml:space="preserve">Assessment Tool 1 — Research Paper Review / Literature </w:t>
            </w:r>
            <w:proofErr w:type="gramStart"/>
            <w:r w:rsidRPr="00287F6A">
              <w:rPr>
                <w:rFonts w:ascii="Times New Roman" w:hAnsi="Times New Roman" w:cs="Times New Roman"/>
                <w:color w:val="1E2023"/>
                <w:sz w:val="19"/>
                <w:szCs w:val="19"/>
              </w:rPr>
              <w:t>Survey  (</w:t>
            </w:r>
            <w:proofErr w:type="gramEnd"/>
            <w:r w:rsidRPr="00287F6A">
              <w:rPr>
                <w:rFonts w:ascii="Times New Roman" w:hAnsi="Times New Roman" w:cs="Times New Roman"/>
                <w:color w:val="1E2023"/>
                <w:sz w:val="19"/>
                <w:szCs w:val="19"/>
              </w:rPr>
              <w:t>Weightage 20%, Total Marks 25)</w:t>
            </w:r>
          </w:p>
        </w:tc>
      </w:tr>
      <w:tr w:rsidR="006B19C9" w:rsidRPr="00287F6A" w14:paraId="39F8FDE8" w14:textId="77777777">
        <w:tblPrEx>
          <w:tblCellMar>
            <w:top w:w="0" w:type="dxa"/>
            <w:bottom w:w="0" w:type="dxa"/>
          </w:tblCellMar>
        </w:tblPrEx>
        <w:tc>
          <w:tcPr>
            <w:tcW w:w="2800" w:type="dxa"/>
            <w:shd w:val="clear" w:color="auto" w:fill="8C3244"/>
            <w:tcMar>
              <w:top w:w="90" w:type="dxa"/>
              <w:left w:w="160" w:type="dxa"/>
              <w:bottom w:w="90" w:type="dxa"/>
              <w:right w:w="100" w:type="dxa"/>
            </w:tcMar>
          </w:tcPr>
          <w:p w14:paraId="5811C497" w14:textId="77777777" w:rsidR="006B19C9" w:rsidRPr="00287F6A" w:rsidRDefault="00000000">
            <w:pPr>
              <w:rPr>
                <w:rFonts w:ascii="Times New Roman" w:hAnsi="Times New Roman" w:cs="Times New Roman"/>
              </w:rPr>
            </w:pPr>
            <w:r w:rsidRPr="00287F6A">
              <w:rPr>
                <w:rFonts w:ascii="Times New Roman" w:hAnsi="Times New Roman" w:cs="Times New Roman"/>
                <w:b/>
                <w:bCs/>
                <w:color w:val="FFFFFF"/>
                <w:sz w:val="19"/>
                <w:szCs w:val="19"/>
              </w:rPr>
              <w:t>Assigned System</w:t>
            </w:r>
          </w:p>
        </w:tc>
        <w:tc>
          <w:tcPr>
            <w:tcW w:w="6550" w:type="dxa"/>
            <w:shd w:val="clear" w:color="auto" w:fill="F3E6E9"/>
            <w:tcMar>
              <w:top w:w="90" w:type="dxa"/>
              <w:left w:w="160" w:type="dxa"/>
              <w:bottom w:w="90" w:type="dxa"/>
              <w:right w:w="100" w:type="dxa"/>
            </w:tcMar>
          </w:tcPr>
          <w:p w14:paraId="3CAFA926" w14:textId="77777777" w:rsidR="006B19C9" w:rsidRPr="00287F6A" w:rsidRDefault="00000000">
            <w:pPr>
              <w:rPr>
                <w:rFonts w:ascii="Times New Roman" w:hAnsi="Times New Roman" w:cs="Times New Roman"/>
              </w:rPr>
            </w:pPr>
            <w:r w:rsidRPr="00287F6A">
              <w:rPr>
                <w:rFonts w:ascii="Times New Roman" w:hAnsi="Times New Roman" w:cs="Times New Roman"/>
                <w:color w:val="1E2023"/>
                <w:sz w:val="19"/>
                <w:szCs w:val="19"/>
              </w:rPr>
              <w:t>AI-Based Smart Cold Chain Logistics Monitoring and Optimization Platform</w:t>
            </w:r>
          </w:p>
        </w:tc>
      </w:tr>
    </w:tbl>
    <w:p w14:paraId="50731DF5" w14:textId="77777777" w:rsidR="00287F6A" w:rsidRPr="00287F6A" w:rsidRDefault="00287F6A">
      <w:pPr>
        <w:pStyle w:val="Heading1"/>
        <w:pBdr>
          <w:bottom w:val="single" w:sz="6" w:space="4" w:color="B58B46"/>
        </w:pBdr>
        <w:spacing w:before="320" w:after="160"/>
        <w:rPr>
          <w:rFonts w:ascii="Times New Roman" w:hAnsi="Times New Roman" w:cs="Times New Roman"/>
          <w:b/>
          <w:bCs/>
          <w:color w:val="8C3244"/>
          <w:sz w:val="30"/>
          <w:szCs w:val="30"/>
        </w:rPr>
      </w:pPr>
    </w:p>
    <w:p w14:paraId="213C8670" w14:textId="77777777" w:rsidR="00287F6A" w:rsidRPr="00287F6A" w:rsidRDefault="00287F6A">
      <w:pPr>
        <w:pStyle w:val="Heading1"/>
        <w:pBdr>
          <w:bottom w:val="single" w:sz="6" w:space="4" w:color="B58B46"/>
        </w:pBdr>
        <w:spacing w:before="320" w:after="160"/>
        <w:rPr>
          <w:rFonts w:ascii="Times New Roman" w:hAnsi="Times New Roman" w:cs="Times New Roman"/>
          <w:b/>
          <w:bCs/>
          <w:color w:val="8C3244"/>
          <w:sz w:val="30"/>
          <w:szCs w:val="30"/>
        </w:rPr>
      </w:pPr>
    </w:p>
    <w:p w14:paraId="17005ACB" w14:textId="77777777" w:rsidR="00287F6A" w:rsidRPr="00287F6A" w:rsidRDefault="00287F6A">
      <w:pPr>
        <w:pStyle w:val="Heading1"/>
        <w:pBdr>
          <w:bottom w:val="single" w:sz="6" w:space="4" w:color="B58B46"/>
        </w:pBdr>
        <w:spacing w:before="320" w:after="160"/>
        <w:rPr>
          <w:rFonts w:ascii="Times New Roman" w:hAnsi="Times New Roman" w:cs="Times New Roman"/>
          <w:b/>
          <w:bCs/>
          <w:color w:val="8C3244"/>
          <w:sz w:val="30"/>
          <w:szCs w:val="30"/>
        </w:rPr>
      </w:pPr>
    </w:p>
    <w:p w14:paraId="5B3CE4E8" w14:textId="77777777" w:rsidR="00287F6A" w:rsidRPr="00287F6A" w:rsidRDefault="00287F6A">
      <w:pPr>
        <w:pStyle w:val="Heading1"/>
        <w:pBdr>
          <w:bottom w:val="single" w:sz="6" w:space="4" w:color="B58B46"/>
        </w:pBdr>
        <w:spacing w:before="320" w:after="160"/>
        <w:rPr>
          <w:rFonts w:ascii="Times New Roman" w:hAnsi="Times New Roman" w:cs="Times New Roman"/>
          <w:b/>
          <w:bCs/>
          <w:color w:val="8C3244"/>
          <w:sz w:val="30"/>
          <w:szCs w:val="30"/>
        </w:rPr>
      </w:pPr>
    </w:p>
    <w:p w14:paraId="43F432E5" w14:textId="77777777" w:rsidR="00287F6A" w:rsidRPr="00287F6A" w:rsidRDefault="00287F6A">
      <w:pPr>
        <w:pStyle w:val="Heading1"/>
        <w:pBdr>
          <w:bottom w:val="single" w:sz="6" w:space="4" w:color="B58B46"/>
        </w:pBdr>
        <w:spacing w:before="320" w:after="160"/>
        <w:rPr>
          <w:rFonts w:ascii="Times New Roman" w:hAnsi="Times New Roman" w:cs="Times New Roman"/>
          <w:b/>
          <w:bCs/>
          <w:color w:val="8C3244"/>
          <w:sz w:val="30"/>
          <w:szCs w:val="30"/>
        </w:rPr>
      </w:pPr>
    </w:p>
    <w:p w14:paraId="6BC23663" w14:textId="77777777" w:rsidR="00287F6A" w:rsidRPr="00287F6A" w:rsidRDefault="00287F6A">
      <w:pPr>
        <w:pStyle w:val="Heading1"/>
        <w:pBdr>
          <w:bottom w:val="single" w:sz="6" w:space="4" w:color="B58B46"/>
        </w:pBdr>
        <w:spacing w:before="320" w:after="160"/>
        <w:rPr>
          <w:rFonts w:ascii="Times New Roman" w:hAnsi="Times New Roman" w:cs="Times New Roman"/>
          <w:b/>
          <w:bCs/>
          <w:color w:val="8C3244"/>
          <w:sz w:val="30"/>
          <w:szCs w:val="30"/>
        </w:rPr>
      </w:pPr>
    </w:p>
    <w:p w14:paraId="5D096A78" w14:textId="77777777" w:rsidR="00287F6A" w:rsidRPr="00287F6A" w:rsidRDefault="00287F6A">
      <w:pPr>
        <w:pStyle w:val="Heading1"/>
        <w:pBdr>
          <w:bottom w:val="single" w:sz="6" w:space="4" w:color="B58B46"/>
        </w:pBdr>
        <w:spacing w:before="320" w:after="160"/>
        <w:rPr>
          <w:rFonts w:ascii="Times New Roman" w:hAnsi="Times New Roman" w:cs="Times New Roman"/>
          <w:b/>
          <w:bCs/>
          <w:color w:val="8C3244"/>
          <w:sz w:val="30"/>
          <w:szCs w:val="30"/>
        </w:rPr>
      </w:pPr>
    </w:p>
    <w:p w14:paraId="22E1FD77" w14:textId="77777777" w:rsidR="00287F6A" w:rsidRPr="00287F6A" w:rsidRDefault="00287F6A">
      <w:pPr>
        <w:pStyle w:val="Heading1"/>
        <w:pBdr>
          <w:bottom w:val="single" w:sz="6" w:space="4" w:color="B58B46"/>
        </w:pBdr>
        <w:spacing w:before="320" w:after="160"/>
        <w:rPr>
          <w:rFonts w:ascii="Times New Roman" w:hAnsi="Times New Roman" w:cs="Times New Roman"/>
          <w:b/>
          <w:bCs/>
          <w:color w:val="8C3244"/>
          <w:sz w:val="30"/>
          <w:szCs w:val="30"/>
        </w:rPr>
      </w:pPr>
    </w:p>
    <w:p w14:paraId="6E1D000F" w14:textId="4D467421" w:rsidR="006B19C9" w:rsidRPr="00287F6A" w:rsidRDefault="00000000">
      <w:pPr>
        <w:pStyle w:val="Heading1"/>
        <w:pBdr>
          <w:bottom w:val="single" w:sz="6" w:space="4" w:color="B58B46"/>
        </w:pBdr>
        <w:spacing w:before="320" w:after="160"/>
        <w:rPr>
          <w:rFonts w:ascii="Times New Roman" w:hAnsi="Times New Roman" w:cs="Times New Roman"/>
        </w:rPr>
      </w:pPr>
      <w:r w:rsidRPr="00287F6A">
        <w:rPr>
          <w:rFonts w:ascii="Times New Roman" w:hAnsi="Times New Roman" w:cs="Times New Roman"/>
          <w:b/>
          <w:bCs/>
          <w:color w:val="8C3244"/>
          <w:sz w:val="30"/>
          <w:szCs w:val="30"/>
        </w:rPr>
        <w:lastRenderedPageBreak/>
        <w:t xml:space="preserve">1.  </w:t>
      </w:r>
      <w:r w:rsidRPr="00287F6A">
        <w:rPr>
          <w:rFonts w:ascii="Times New Roman" w:hAnsi="Times New Roman" w:cs="Times New Roman"/>
          <w:b/>
          <w:bCs/>
          <w:color w:val="1E2023"/>
          <w:sz w:val="30"/>
          <w:szCs w:val="30"/>
        </w:rPr>
        <w:t>Introduction &amp; Problem Context</w:t>
      </w:r>
    </w:p>
    <w:p w14:paraId="69983935" w14:textId="77777777" w:rsidR="006B19C9" w:rsidRPr="00287F6A" w:rsidRDefault="00000000">
      <w:pPr>
        <w:spacing w:after="160" w:line="288" w:lineRule="auto"/>
        <w:jc w:val="both"/>
        <w:rPr>
          <w:rFonts w:ascii="Times New Roman" w:hAnsi="Times New Roman" w:cs="Times New Roman"/>
          <w:sz w:val="24"/>
          <w:szCs w:val="24"/>
        </w:rPr>
      </w:pPr>
      <w:r w:rsidRPr="00287F6A">
        <w:rPr>
          <w:rFonts w:ascii="Times New Roman" w:hAnsi="Times New Roman" w:cs="Times New Roman"/>
          <w:color w:val="2A2A2A"/>
          <w:sz w:val="24"/>
          <w:szCs w:val="24"/>
        </w:rPr>
        <w:t>The AI-Based Smart Cold Chain Logistics Monitoring and Optimization Platform depends on four capabilities working together: continuous IoT sensing of temperature and humidity, machine-learning prediction of refrigeration equipment failure, route optimization for delivery, and secure, traceable alerting. Each of these capabilities is an active research area in its own right. This literature survey reviews six recent, credible research papers spanning these areas, compares their methodologies and results, identifies where existing research falls short, and proposes future directions that are directly relevant to the assigned platform.</w:t>
      </w:r>
    </w:p>
    <w:p w14:paraId="0FD7868A" w14:textId="77777777" w:rsidR="006B19C9" w:rsidRPr="00287F6A" w:rsidRDefault="00000000">
      <w:pPr>
        <w:spacing w:before="200" w:after="100"/>
        <w:rPr>
          <w:rFonts w:ascii="Times New Roman" w:hAnsi="Times New Roman" w:cs="Times New Roman"/>
          <w:sz w:val="24"/>
          <w:szCs w:val="24"/>
        </w:rPr>
      </w:pPr>
      <w:r w:rsidRPr="00287F6A">
        <w:rPr>
          <w:rFonts w:ascii="Times New Roman" w:hAnsi="Times New Roman" w:cs="Times New Roman"/>
          <w:b/>
          <w:bCs/>
          <w:color w:val="8C3244"/>
          <w:sz w:val="24"/>
          <w:szCs w:val="24"/>
        </w:rPr>
        <w:t>Scope of the Survey</w:t>
      </w:r>
    </w:p>
    <w:p w14:paraId="5A511F44" w14:textId="77777777" w:rsidR="006B19C9" w:rsidRPr="00287F6A" w:rsidRDefault="00000000">
      <w:pPr>
        <w:pStyle w:val="ListParagraph"/>
        <w:numPr>
          <w:ilvl w:val="0"/>
          <w:numId w:val="2"/>
        </w:numPr>
        <w:spacing w:after="80"/>
        <w:rPr>
          <w:rFonts w:ascii="Times New Roman" w:hAnsi="Times New Roman" w:cs="Times New Roman"/>
          <w:sz w:val="24"/>
          <w:szCs w:val="24"/>
        </w:rPr>
      </w:pPr>
      <w:r w:rsidRPr="00287F6A">
        <w:rPr>
          <w:rFonts w:ascii="Times New Roman" w:hAnsi="Times New Roman" w:cs="Times New Roman"/>
          <w:color w:val="2A2A2A"/>
          <w:sz w:val="24"/>
          <w:szCs w:val="24"/>
        </w:rPr>
        <w:t>IoT-based real-time environmental monitoring and energy-aware cold chain sensing.</w:t>
      </w:r>
    </w:p>
    <w:p w14:paraId="75296A50" w14:textId="77777777" w:rsidR="006B19C9" w:rsidRPr="00287F6A" w:rsidRDefault="00000000">
      <w:pPr>
        <w:pStyle w:val="ListParagraph"/>
        <w:numPr>
          <w:ilvl w:val="0"/>
          <w:numId w:val="2"/>
        </w:numPr>
        <w:spacing w:after="80"/>
        <w:rPr>
          <w:rFonts w:ascii="Times New Roman" w:hAnsi="Times New Roman" w:cs="Times New Roman"/>
          <w:sz w:val="24"/>
          <w:szCs w:val="24"/>
        </w:rPr>
      </w:pPr>
      <w:r w:rsidRPr="00287F6A">
        <w:rPr>
          <w:rFonts w:ascii="Times New Roman" w:hAnsi="Times New Roman" w:cs="Times New Roman"/>
          <w:color w:val="2A2A2A"/>
          <w:sz w:val="24"/>
          <w:szCs w:val="24"/>
        </w:rPr>
        <w:t>Deep learning and ensemble models for cold chain temperature/loading-environment forecasting.</w:t>
      </w:r>
    </w:p>
    <w:p w14:paraId="50E06D82" w14:textId="77777777" w:rsidR="006B19C9" w:rsidRPr="00287F6A" w:rsidRDefault="00000000">
      <w:pPr>
        <w:pStyle w:val="ListParagraph"/>
        <w:numPr>
          <w:ilvl w:val="0"/>
          <w:numId w:val="2"/>
        </w:numPr>
        <w:spacing w:after="80"/>
        <w:rPr>
          <w:rFonts w:ascii="Times New Roman" w:hAnsi="Times New Roman" w:cs="Times New Roman"/>
          <w:sz w:val="24"/>
          <w:szCs w:val="24"/>
        </w:rPr>
      </w:pPr>
      <w:r w:rsidRPr="00287F6A">
        <w:rPr>
          <w:rFonts w:ascii="Times New Roman" w:hAnsi="Times New Roman" w:cs="Times New Roman"/>
          <w:color w:val="2A2A2A"/>
          <w:sz w:val="24"/>
          <w:szCs w:val="24"/>
        </w:rPr>
        <w:t>Machine learning for predictive maintenance and equipment failure prediction.</w:t>
      </w:r>
    </w:p>
    <w:p w14:paraId="4CD5E42D" w14:textId="77777777" w:rsidR="006B19C9" w:rsidRPr="00287F6A" w:rsidRDefault="00000000">
      <w:pPr>
        <w:pStyle w:val="ListParagraph"/>
        <w:numPr>
          <w:ilvl w:val="0"/>
          <w:numId w:val="2"/>
        </w:numPr>
        <w:spacing w:after="80"/>
        <w:rPr>
          <w:rFonts w:ascii="Times New Roman" w:hAnsi="Times New Roman" w:cs="Times New Roman"/>
          <w:sz w:val="24"/>
          <w:szCs w:val="24"/>
        </w:rPr>
      </w:pPr>
      <w:r w:rsidRPr="00287F6A">
        <w:rPr>
          <w:rFonts w:ascii="Times New Roman" w:hAnsi="Times New Roman" w:cs="Times New Roman"/>
          <w:color w:val="2A2A2A"/>
          <w:sz w:val="24"/>
          <w:szCs w:val="24"/>
        </w:rPr>
        <w:t>Vehicle routing and route optimization for cold chain distribution.</w:t>
      </w:r>
    </w:p>
    <w:p w14:paraId="77D4EF53" w14:textId="77777777" w:rsidR="00287F6A" w:rsidRPr="00287F6A" w:rsidRDefault="00000000">
      <w:pPr>
        <w:pStyle w:val="ListParagraph"/>
        <w:numPr>
          <w:ilvl w:val="0"/>
          <w:numId w:val="2"/>
        </w:numPr>
        <w:spacing w:after="80"/>
        <w:rPr>
          <w:rFonts w:ascii="Times New Roman" w:hAnsi="Times New Roman" w:cs="Times New Roman"/>
        </w:rPr>
      </w:pPr>
      <w:r w:rsidRPr="00287F6A">
        <w:rPr>
          <w:rFonts w:ascii="Times New Roman" w:hAnsi="Times New Roman" w:cs="Times New Roman"/>
          <w:color w:val="2A2A2A"/>
          <w:sz w:val="24"/>
          <w:szCs w:val="24"/>
        </w:rPr>
        <w:t>AI, IoT and blockchain integration for security and traceability in perishable logistics</w:t>
      </w:r>
    </w:p>
    <w:p w14:paraId="449F64EB" w14:textId="2B1C4D79" w:rsidR="006B19C9" w:rsidRPr="00287F6A" w:rsidRDefault="00000000">
      <w:pPr>
        <w:pStyle w:val="ListParagraph"/>
        <w:numPr>
          <w:ilvl w:val="0"/>
          <w:numId w:val="2"/>
        </w:numPr>
        <w:spacing w:after="80"/>
        <w:rPr>
          <w:rFonts w:ascii="Times New Roman" w:hAnsi="Times New Roman" w:cs="Times New Roman"/>
        </w:rPr>
      </w:pPr>
      <w:r w:rsidRPr="00287F6A">
        <w:rPr>
          <w:rFonts w:ascii="Times New Roman" w:hAnsi="Times New Roman" w:cs="Times New Roman"/>
          <w:color w:val="2A2A2A"/>
        </w:rPr>
        <w:t>.</w:t>
      </w:r>
    </w:p>
    <w:p w14:paraId="31EF6BA8" w14:textId="77777777" w:rsidR="006B19C9" w:rsidRPr="00287F6A" w:rsidRDefault="00000000">
      <w:pPr>
        <w:pStyle w:val="Heading1"/>
        <w:pBdr>
          <w:bottom w:val="single" w:sz="6" w:space="4" w:color="B58B46"/>
        </w:pBdr>
        <w:spacing w:before="320" w:after="160"/>
        <w:rPr>
          <w:rFonts w:ascii="Times New Roman" w:hAnsi="Times New Roman" w:cs="Times New Roman"/>
        </w:rPr>
      </w:pPr>
      <w:r w:rsidRPr="00287F6A">
        <w:rPr>
          <w:rFonts w:ascii="Times New Roman" w:hAnsi="Times New Roman" w:cs="Times New Roman"/>
          <w:b/>
          <w:bCs/>
          <w:color w:val="8C3244"/>
          <w:sz w:val="30"/>
          <w:szCs w:val="30"/>
        </w:rPr>
        <w:t xml:space="preserve">2.  </w:t>
      </w:r>
      <w:r w:rsidRPr="00287F6A">
        <w:rPr>
          <w:rFonts w:ascii="Times New Roman" w:hAnsi="Times New Roman" w:cs="Times New Roman"/>
          <w:b/>
          <w:bCs/>
          <w:color w:val="1E2023"/>
          <w:sz w:val="30"/>
          <w:szCs w:val="30"/>
        </w:rPr>
        <w:t>Literature Survey Methodology</w:t>
      </w:r>
    </w:p>
    <w:p w14:paraId="4901CF2B" w14:textId="77777777" w:rsidR="006B19C9" w:rsidRPr="00287F6A" w:rsidRDefault="00000000">
      <w:pPr>
        <w:spacing w:after="160" w:line="288" w:lineRule="auto"/>
        <w:jc w:val="both"/>
        <w:rPr>
          <w:rFonts w:ascii="Times New Roman" w:hAnsi="Times New Roman" w:cs="Times New Roman"/>
          <w:sz w:val="24"/>
          <w:szCs w:val="24"/>
        </w:rPr>
      </w:pPr>
      <w:r w:rsidRPr="00287F6A">
        <w:rPr>
          <w:rFonts w:ascii="Times New Roman" w:hAnsi="Times New Roman" w:cs="Times New Roman"/>
          <w:color w:val="2A2A2A"/>
          <w:sz w:val="24"/>
          <w:szCs w:val="24"/>
        </w:rPr>
        <w:t xml:space="preserve">Papers were selected from peer-reviewed journals (Sensors, Entropy, </w:t>
      </w:r>
      <w:proofErr w:type="spellStart"/>
      <w:r w:rsidRPr="00287F6A">
        <w:rPr>
          <w:rFonts w:ascii="Times New Roman" w:hAnsi="Times New Roman" w:cs="Times New Roman"/>
          <w:color w:val="2A2A2A"/>
          <w:sz w:val="24"/>
          <w:szCs w:val="24"/>
        </w:rPr>
        <w:t>PeerJ</w:t>
      </w:r>
      <w:proofErr w:type="spellEnd"/>
      <w:r w:rsidRPr="00287F6A">
        <w:rPr>
          <w:rFonts w:ascii="Times New Roman" w:hAnsi="Times New Roman" w:cs="Times New Roman"/>
          <w:color w:val="2A2A2A"/>
          <w:sz w:val="24"/>
          <w:szCs w:val="24"/>
        </w:rPr>
        <w:t xml:space="preserve"> Computer Science, Energy Informatics, International Journal of Environmental Research and Public Health, Emerging Science Journal) published between 2019 and 2025, prioritizing recent, credible sources with clearly reported methodology and quantitative results. The survey then followed a consistent six-step process from selection through to future directions.</w:t>
      </w:r>
    </w:p>
    <w:p w14:paraId="657574DE" w14:textId="77777777" w:rsidR="006B19C9" w:rsidRPr="00287F6A" w:rsidRDefault="00000000">
      <w:pPr>
        <w:spacing w:before="120" w:after="40"/>
        <w:jc w:val="center"/>
        <w:rPr>
          <w:rFonts w:ascii="Times New Roman" w:hAnsi="Times New Roman" w:cs="Times New Roman"/>
          <w:sz w:val="24"/>
          <w:szCs w:val="24"/>
        </w:rPr>
      </w:pPr>
      <w:r w:rsidRPr="00287F6A">
        <w:rPr>
          <w:rFonts w:ascii="Times New Roman" w:hAnsi="Times New Roman" w:cs="Times New Roman"/>
          <w:noProof/>
          <w:sz w:val="24"/>
          <w:szCs w:val="24"/>
        </w:rPr>
        <w:drawing>
          <wp:inline distT="0" distB="0" distL="0" distR="0" wp14:anchorId="024C318D" wp14:editId="4015A42C">
            <wp:extent cx="6309360" cy="1463040"/>
            <wp:effectExtent l="0" t="0" r="0" b="0"/>
            <wp:docPr id="1176884001" name="Picture 1176884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6309360" cy="1463040"/>
                    </a:xfrm>
                    <a:prstGeom prst="rect">
                      <a:avLst/>
                    </a:prstGeom>
                  </pic:spPr>
                </pic:pic>
              </a:graphicData>
            </a:graphic>
          </wp:inline>
        </w:drawing>
      </w:r>
    </w:p>
    <w:p w14:paraId="66115717" w14:textId="77777777" w:rsidR="006B19C9" w:rsidRPr="00287F6A" w:rsidRDefault="00000000">
      <w:pPr>
        <w:spacing w:before="80" w:after="260"/>
        <w:jc w:val="center"/>
        <w:rPr>
          <w:rFonts w:ascii="Times New Roman" w:hAnsi="Times New Roman" w:cs="Times New Roman"/>
          <w:sz w:val="24"/>
          <w:szCs w:val="24"/>
        </w:rPr>
      </w:pPr>
      <w:r w:rsidRPr="00287F6A">
        <w:rPr>
          <w:rFonts w:ascii="Times New Roman" w:hAnsi="Times New Roman" w:cs="Times New Roman"/>
          <w:i/>
          <w:iCs/>
          <w:color w:val="6E6A63"/>
          <w:sz w:val="24"/>
          <w:szCs w:val="24"/>
        </w:rPr>
        <w:t>Figure 2.1 — Methodology followed for this literature survey</w:t>
      </w:r>
    </w:p>
    <w:p w14:paraId="42470384" w14:textId="77777777" w:rsidR="006B19C9" w:rsidRPr="00287F6A" w:rsidRDefault="00000000">
      <w:pPr>
        <w:pStyle w:val="Heading1"/>
        <w:pBdr>
          <w:bottom w:val="single" w:sz="6" w:space="4" w:color="B58B46"/>
        </w:pBdr>
        <w:spacing w:before="320" w:after="160"/>
        <w:rPr>
          <w:rFonts w:ascii="Times New Roman" w:hAnsi="Times New Roman" w:cs="Times New Roman"/>
        </w:rPr>
      </w:pPr>
      <w:r w:rsidRPr="00287F6A">
        <w:rPr>
          <w:rFonts w:ascii="Times New Roman" w:hAnsi="Times New Roman" w:cs="Times New Roman"/>
          <w:b/>
          <w:bCs/>
          <w:color w:val="8C3244"/>
          <w:sz w:val="30"/>
          <w:szCs w:val="30"/>
        </w:rPr>
        <w:t xml:space="preserve">3.  </w:t>
      </w:r>
      <w:r w:rsidRPr="00287F6A">
        <w:rPr>
          <w:rFonts w:ascii="Times New Roman" w:hAnsi="Times New Roman" w:cs="Times New Roman"/>
          <w:b/>
          <w:bCs/>
          <w:color w:val="1E2023"/>
          <w:sz w:val="30"/>
          <w:szCs w:val="30"/>
        </w:rPr>
        <w:t>Individual Paper Reviews</w:t>
      </w:r>
    </w:p>
    <w:p w14:paraId="395EC9F4" w14:textId="77777777" w:rsidR="006B19C9" w:rsidRPr="00287F6A" w:rsidRDefault="00000000">
      <w:pPr>
        <w:spacing w:before="220" w:after="60"/>
        <w:rPr>
          <w:rFonts w:ascii="Times New Roman" w:hAnsi="Times New Roman" w:cs="Times New Roman"/>
          <w:sz w:val="24"/>
          <w:szCs w:val="24"/>
        </w:rPr>
      </w:pPr>
      <w:r w:rsidRPr="00287F6A">
        <w:rPr>
          <w:rFonts w:ascii="Times New Roman" w:hAnsi="Times New Roman" w:cs="Times New Roman"/>
          <w:b/>
          <w:bCs/>
          <w:color w:val="4C6B5E"/>
          <w:sz w:val="24"/>
          <w:szCs w:val="24"/>
        </w:rPr>
        <w:t>P</w:t>
      </w:r>
      <w:proofErr w:type="gramStart"/>
      <w:r w:rsidRPr="00287F6A">
        <w:rPr>
          <w:rFonts w:ascii="Times New Roman" w:hAnsi="Times New Roman" w:cs="Times New Roman"/>
          <w:b/>
          <w:bCs/>
          <w:color w:val="4C6B5E"/>
          <w:sz w:val="24"/>
          <w:szCs w:val="24"/>
        </w:rPr>
        <w:t xml:space="preserve">1  </w:t>
      </w:r>
      <w:r w:rsidRPr="00287F6A">
        <w:rPr>
          <w:rFonts w:ascii="Times New Roman" w:hAnsi="Times New Roman" w:cs="Times New Roman"/>
          <w:b/>
          <w:bCs/>
          <w:color w:val="1E2023"/>
          <w:sz w:val="24"/>
          <w:szCs w:val="24"/>
        </w:rPr>
        <w:t>Real</w:t>
      </w:r>
      <w:proofErr w:type="gramEnd"/>
      <w:r w:rsidRPr="00287F6A">
        <w:rPr>
          <w:rFonts w:ascii="Times New Roman" w:hAnsi="Times New Roman" w:cs="Times New Roman"/>
          <w:b/>
          <w:bCs/>
          <w:color w:val="1E2023"/>
          <w:sz w:val="24"/>
          <w:szCs w:val="24"/>
        </w:rPr>
        <w:t>-Time IoT Monitoring with LSTM-PSO Energy Management for Cold Chain Logistics</w:t>
      </w:r>
    </w:p>
    <w:p w14:paraId="047657CE" w14:textId="77777777" w:rsidR="006B19C9" w:rsidRPr="00287F6A" w:rsidRDefault="00000000">
      <w:pPr>
        <w:spacing w:after="100"/>
        <w:rPr>
          <w:rFonts w:ascii="Times New Roman" w:hAnsi="Times New Roman" w:cs="Times New Roman"/>
          <w:sz w:val="24"/>
          <w:szCs w:val="24"/>
        </w:rPr>
      </w:pPr>
      <w:r w:rsidRPr="00287F6A">
        <w:rPr>
          <w:rFonts w:ascii="Times New Roman" w:hAnsi="Times New Roman" w:cs="Times New Roman"/>
          <w:i/>
          <w:iCs/>
          <w:color w:val="4A4640"/>
          <w:sz w:val="24"/>
          <w:szCs w:val="24"/>
        </w:rPr>
        <w:t>Wang, K., &amp; Du, N. (2025). Real-time monitoring and energy consumption management strategy of cold chain logistics based on the internet of things. Energy Informatics, 8(1).</w:t>
      </w:r>
    </w:p>
    <w:p w14:paraId="4B133C39" w14:textId="77777777" w:rsidR="006B19C9" w:rsidRPr="00287F6A" w:rsidRDefault="00000000">
      <w:pPr>
        <w:spacing w:after="160" w:line="288" w:lineRule="auto"/>
        <w:jc w:val="both"/>
        <w:rPr>
          <w:rFonts w:ascii="Times New Roman" w:hAnsi="Times New Roman" w:cs="Times New Roman"/>
          <w:sz w:val="24"/>
          <w:szCs w:val="24"/>
        </w:rPr>
      </w:pPr>
      <w:r w:rsidRPr="00287F6A">
        <w:rPr>
          <w:rFonts w:ascii="Times New Roman" w:hAnsi="Times New Roman" w:cs="Times New Roman"/>
          <w:color w:val="2A2A2A"/>
          <w:sz w:val="24"/>
          <w:szCs w:val="24"/>
        </w:rPr>
        <w:t xml:space="preserve">Objective &amp; Methodology: The study addresses the high energy consumption and low operational efficiency of conventional cold chain monitoring by combining a distributed IoT sensor architecture with a data-driven energy management strategy. A distributed system of sensor nodes and communication modules (NB-IoT, </w:t>
      </w:r>
      <w:r w:rsidRPr="00287F6A">
        <w:rPr>
          <w:rFonts w:ascii="Times New Roman" w:hAnsi="Times New Roman" w:cs="Times New Roman"/>
          <w:color w:val="2A2A2A"/>
          <w:sz w:val="24"/>
          <w:szCs w:val="24"/>
        </w:rPr>
        <w:lastRenderedPageBreak/>
        <w:t>LoRa) collects temperature, humidity and equipment data in real time; a Long Short-Term Memory (LSTM) network forecasts energy demand while a Particle Swarm Optimization (PSO) algorithm schedules equipment operation, tested in a simulated cold chain scenario.</w:t>
      </w:r>
    </w:p>
    <w:p w14:paraId="3BFA2E00" w14:textId="77777777" w:rsidR="006B19C9" w:rsidRPr="00287F6A" w:rsidRDefault="00000000">
      <w:pPr>
        <w:spacing w:after="160" w:line="288" w:lineRule="auto"/>
        <w:jc w:val="both"/>
        <w:rPr>
          <w:rFonts w:ascii="Times New Roman" w:hAnsi="Times New Roman" w:cs="Times New Roman"/>
          <w:sz w:val="24"/>
          <w:szCs w:val="24"/>
        </w:rPr>
      </w:pPr>
      <w:r w:rsidRPr="00287F6A">
        <w:rPr>
          <w:rFonts w:ascii="Times New Roman" w:hAnsi="Times New Roman" w:cs="Times New Roman"/>
          <w:color w:val="2A2A2A"/>
          <w:sz w:val="24"/>
          <w:szCs w:val="24"/>
        </w:rPr>
        <w:t>Key Findings: Compared to a traditional system, energy consumption fell by about 20%, temperature/humidity control accuracy reached 94%, and transport time shortened by 8.33%, demonstrating that combining forecasting with optimization improves both efficiency and environmental control simultaneously.</w:t>
      </w:r>
    </w:p>
    <w:p w14:paraId="07C380EF" w14:textId="77777777" w:rsidR="006B19C9" w:rsidRPr="00287F6A" w:rsidRDefault="00000000">
      <w:pPr>
        <w:spacing w:before="220" w:after="60"/>
        <w:rPr>
          <w:rFonts w:ascii="Times New Roman" w:hAnsi="Times New Roman" w:cs="Times New Roman"/>
          <w:sz w:val="24"/>
          <w:szCs w:val="24"/>
        </w:rPr>
      </w:pPr>
      <w:r w:rsidRPr="00287F6A">
        <w:rPr>
          <w:rFonts w:ascii="Times New Roman" w:hAnsi="Times New Roman" w:cs="Times New Roman"/>
          <w:b/>
          <w:bCs/>
          <w:color w:val="4C6B5E"/>
          <w:sz w:val="24"/>
          <w:szCs w:val="24"/>
        </w:rPr>
        <w:t>P</w:t>
      </w:r>
      <w:proofErr w:type="gramStart"/>
      <w:r w:rsidRPr="00287F6A">
        <w:rPr>
          <w:rFonts w:ascii="Times New Roman" w:hAnsi="Times New Roman" w:cs="Times New Roman"/>
          <w:b/>
          <w:bCs/>
          <w:color w:val="4C6B5E"/>
          <w:sz w:val="24"/>
          <w:szCs w:val="24"/>
        </w:rPr>
        <w:t xml:space="preserve">2  </w:t>
      </w:r>
      <w:r w:rsidRPr="00287F6A">
        <w:rPr>
          <w:rFonts w:ascii="Times New Roman" w:hAnsi="Times New Roman" w:cs="Times New Roman"/>
          <w:b/>
          <w:bCs/>
          <w:color w:val="1E2023"/>
          <w:sz w:val="24"/>
          <w:szCs w:val="24"/>
        </w:rPr>
        <w:t>K</w:t>
      </w:r>
      <w:proofErr w:type="gramEnd"/>
      <w:r w:rsidRPr="00287F6A">
        <w:rPr>
          <w:rFonts w:ascii="Times New Roman" w:hAnsi="Times New Roman" w:cs="Times New Roman"/>
          <w:b/>
          <w:bCs/>
          <w:color w:val="1E2023"/>
          <w:sz w:val="24"/>
          <w:szCs w:val="24"/>
        </w:rPr>
        <w:t>-medoids-LSTM-</w:t>
      </w:r>
      <w:proofErr w:type="spellStart"/>
      <w:r w:rsidRPr="00287F6A">
        <w:rPr>
          <w:rFonts w:ascii="Times New Roman" w:hAnsi="Times New Roman" w:cs="Times New Roman"/>
          <w:b/>
          <w:bCs/>
          <w:color w:val="1E2023"/>
          <w:sz w:val="24"/>
          <w:szCs w:val="24"/>
        </w:rPr>
        <w:t>XGBoost</w:t>
      </w:r>
      <w:proofErr w:type="spellEnd"/>
      <w:r w:rsidRPr="00287F6A">
        <w:rPr>
          <w:rFonts w:ascii="Times New Roman" w:hAnsi="Times New Roman" w:cs="Times New Roman"/>
          <w:b/>
          <w:bCs/>
          <w:color w:val="1E2023"/>
          <w:sz w:val="24"/>
          <w:szCs w:val="24"/>
        </w:rPr>
        <w:t xml:space="preserve"> Ensemble for Cold Chain Loading Environment Prediction</w:t>
      </w:r>
    </w:p>
    <w:p w14:paraId="7235F683" w14:textId="77777777" w:rsidR="006B19C9" w:rsidRPr="00287F6A" w:rsidRDefault="00000000">
      <w:pPr>
        <w:spacing w:after="100"/>
        <w:rPr>
          <w:rFonts w:ascii="Times New Roman" w:hAnsi="Times New Roman" w:cs="Times New Roman"/>
          <w:sz w:val="24"/>
          <w:szCs w:val="24"/>
        </w:rPr>
      </w:pPr>
      <w:r w:rsidRPr="00287F6A">
        <w:rPr>
          <w:rFonts w:ascii="Times New Roman" w:hAnsi="Times New Roman" w:cs="Times New Roman"/>
          <w:i/>
          <w:iCs/>
          <w:color w:val="4A4640"/>
          <w:sz w:val="24"/>
          <w:szCs w:val="24"/>
        </w:rPr>
        <w:t>Luo, Z., Liu, W., Wu, J., Aiqing, H., &amp; Guo, J. (2024). Prediction of cold chain loading environment for agricultural products based on K-medoids-LSTM-</w:t>
      </w:r>
      <w:proofErr w:type="spellStart"/>
      <w:r w:rsidRPr="00287F6A">
        <w:rPr>
          <w:rFonts w:ascii="Times New Roman" w:hAnsi="Times New Roman" w:cs="Times New Roman"/>
          <w:i/>
          <w:iCs/>
          <w:color w:val="4A4640"/>
          <w:sz w:val="24"/>
          <w:szCs w:val="24"/>
        </w:rPr>
        <w:t>XGBoost</w:t>
      </w:r>
      <w:proofErr w:type="spellEnd"/>
      <w:r w:rsidRPr="00287F6A">
        <w:rPr>
          <w:rFonts w:ascii="Times New Roman" w:hAnsi="Times New Roman" w:cs="Times New Roman"/>
          <w:i/>
          <w:iCs/>
          <w:color w:val="4A4640"/>
          <w:sz w:val="24"/>
          <w:szCs w:val="24"/>
        </w:rPr>
        <w:t xml:space="preserve"> ensemble model. </w:t>
      </w:r>
      <w:proofErr w:type="spellStart"/>
      <w:r w:rsidRPr="00287F6A">
        <w:rPr>
          <w:rFonts w:ascii="Times New Roman" w:hAnsi="Times New Roman" w:cs="Times New Roman"/>
          <w:i/>
          <w:iCs/>
          <w:color w:val="4A4640"/>
          <w:sz w:val="24"/>
          <w:szCs w:val="24"/>
        </w:rPr>
        <w:t>PeerJ</w:t>
      </w:r>
      <w:proofErr w:type="spellEnd"/>
      <w:r w:rsidRPr="00287F6A">
        <w:rPr>
          <w:rFonts w:ascii="Times New Roman" w:hAnsi="Times New Roman" w:cs="Times New Roman"/>
          <w:i/>
          <w:iCs/>
          <w:color w:val="4A4640"/>
          <w:sz w:val="24"/>
          <w:szCs w:val="24"/>
        </w:rPr>
        <w:t xml:space="preserve"> Computer Science, 10, e2510.</w:t>
      </w:r>
    </w:p>
    <w:p w14:paraId="1B3EE771" w14:textId="77777777" w:rsidR="006B19C9" w:rsidRPr="00287F6A" w:rsidRDefault="00000000">
      <w:pPr>
        <w:spacing w:after="160" w:line="288" w:lineRule="auto"/>
        <w:jc w:val="both"/>
        <w:rPr>
          <w:rFonts w:ascii="Times New Roman" w:hAnsi="Times New Roman" w:cs="Times New Roman"/>
          <w:sz w:val="24"/>
          <w:szCs w:val="24"/>
        </w:rPr>
      </w:pPr>
      <w:r w:rsidRPr="00287F6A">
        <w:rPr>
          <w:rFonts w:ascii="Times New Roman" w:hAnsi="Times New Roman" w:cs="Times New Roman"/>
          <w:color w:val="2A2A2A"/>
          <w:sz w:val="24"/>
          <w:szCs w:val="24"/>
        </w:rPr>
        <w:t>Objective &amp; Methodology: The paper targets the difficulty of maintaining an appropriate temperature during cold chain loading, where a delay between activating refrigeration and reaching target temperature wastes energy and risks product quality. Historical loading-environment temperature data is first clustered and fused using the K-medoids algorithm, then fed into a combined LSTM-</w:t>
      </w:r>
      <w:proofErr w:type="spellStart"/>
      <w:r w:rsidRPr="00287F6A">
        <w:rPr>
          <w:rFonts w:ascii="Times New Roman" w:hAnsi="Times New Roman" w:cs="Times New Roman"/>
          <w:color w:val="2A2A2A"/>
          <w:sz w:val="24"/>
          <w:szCs w:val="24"/>
        </w:rPr>
        <w:t>XGBoost</w:t>
      </w:r>
      <w:proofErr w:type="spellEnd"/>
      <w:r w:rsidRPr="00287F6A">
        <w:rPr>
          <w:rFonts w:ascii="Times New Roman" w:hAnsi="Times New Roman" w:cs="Times New Roman"/>
          <w:color w:val="2A2A2A"/>
          <w:sz w:val="24"/>
          <w:szCs w:val="24"/>
        </w:rPr>
        <w:t xml:space="preserve"> ensemble that predicts future temperature over a defined horizon, benchmarked against individual LSTM, </w:t>
      </w:r>
      <w:proofErr w:type="spellStart"/>
      <w:r w:rsidRPr="00287F6A">
        <w:rPr>
          <w:rFonts w:ascii="Times New Roman" w:hAnsi="Times New Roman" w:cs="Times New Roman"/>
          <w:color w:val="2A2A2A"/>
          <w:sz w:val="24"/>
          <w:szCs w:val="24"/>
        </w:rPr>
        <w:t>XGBoost</w:t>
      </w:r>
      <w:proofErr w:type="spellEnd"/>
      <w:r w:rsidRPr="00287F6A">
        <w:rPr>
          <w:rFonts w:ascii="Times New Roman" w:hAnsi="Times New Roman" w:cs="Times New Roman"/>
          <w:color w:val="2A2A2A"/>
          <w:sz w:val="24"/>
          <w:szCs w:val="24"/>
        </w:rPr>
        <w:t xml:space="preserve"> and other ensemble baselines.</w:t>
      </w:r>
    </w:p>
    <w:p w14:paraId="5741AA99" w14:textId="77777777" w:rsidR="006B19C9" w:rsidRPr="00287F6A" w:rsidRDefault="00000000">
      <w:pPr>
        <w:spacing w:after="160" w:line="288" w:lineRule="auto"/>
        <w:jc w:val="both"/>
        <w:rPr>
          <w:rFonts w:ascii="Times New Roman" w:hAnsi="Times New Roman" w:cs="Times New Roman"/>
          <w:sz w:val="24"/>
          <w:szCs w:val="24"/>
        </w:rPr>
      </w:pPr>
      <w:r w:rsidRPr="00287F6A">
        <w:rPr>
          <w:rFonts w:ascii="Times New Roman" w:hAnsi="Times New Roman" w:cs="Times New Roman"/>
          <w:color w:val="2A2A2A"/>
          <w:sz w:val="24"/>
          <w:szCs w:val="24"/>
        </w:rPr>
        <w:t>Key Findings: The ensemble model achieved a mean absolute error of 2.5343, outperforming individual and comparable ensemble models, showing that combining clustering-based data fusion with hybrid deep learning improves short-term cold chain temperature forecasting accuracy.</w:t>
      </w:r>
    </w:p>
    <w:p w14:paraId="0D3A938A" w14:textId="77777777" w:rsidR="006B19C9" w:rsidRPr="00287F6A" w:rsidRDefault="00000000">
      <w:pPr>
        <w:spacing w:before="220" w:after="60"/>
        <w:rPr>
          <w:rFonts w:ascii="Times New Roman" w:hAnsi="Times New Roman" w:cs="Times New Roman"/>
          <w:sz w:val="24"/>
          <w:szCs w:val="24"/>
        </w:rPr>
      </w:pPr>
      <w:r w:rsidRPr="00287F6A">
        <w:rPr>
          <w:rFonts w:ascii="Times New Roman" w:hAnsi="Times New Roman" w:cs="Times New Roman"/>
          <w:b/>
          <w:bCs/>
          <w:color w:val="B58B46"/>
          <w:sz w:val="24"/>
          <w:szCs w:val="24"/>
        </w:rPr>
        <w:t>P</w:t>
      </w:r>
      <w:proofErr w:type="gramStart"/>
      <w:r w:rsidRPr="00287F6A">
        <w:rPr>
          <w:rFonts w:ascii="Times New Roman" w:hAnsi="Times New Roman" w:cs="Times New Roman"/>
          <w:b/>
          <w:bCs/>
          <w:color w:val="B58B46"/>
          <w:sz w:val="24"/>
          <w:szCs w:val="24"/>
        </w:rPr>
        <w:t xml:space="preserve">3  </w:t>
      </w:r>
      <w:r w:rsidRPr="00287F6A">
        <w:rPr>
          <w:rFonts w:ascii="Times New Roman" w:hAnsi="Times New Roman" w:cs="Times New Roman"/>
          <w:b/>
          <w:bCs/>
          <w:color w:val="1E2023"/>
          <w:sz w:val="24"/>
          <w:szCs w:val="24"/>
        </w:rPr>
        <w:t>Machine</w:t>
      </w:r>
      <w:proofErr w:type="gramEnd"/>
      <w:r w:rsidRPr="00287F6A">
        <w:rPr>
          <w:rFonts w:ascii="Times New Roman" w:hAnsi="Times New Roman" w:cs="Times New Roman"/>
          <w:b/>
          <w:bCs/>
          <w:color w:val="1E2023"/>
          <w:sz w:val="24"/>
          <w:szCs w:val="24"/>
        </w:rPr>
        <w:t xml:space="preserve"> Learning Predictive Maintenance for Refrigeration-Adjacent Industrial Equipment</w:t>
      </w:r>
    </w:p>
    <w:p w14:paraId="1B3AD473" w14:textId="77777777" w:rsidR="006B19C9" w:rsidRPr="00287F6A" w:rsidRDefault="00000000">
      <w:pPr>
        <w:spacing w:after="100"/>
        <w:rPr>
          <w:rFonts w:ascii="Times New Roman" w:hAnsi="Times New Roman" w:cs="Times New Roman"/>
          <w:sz w:val="24"/>
          <w:szCs w:val="24"/>
        </w:rPr>
      </w:pPr>
      <w:r w:rsidRPr="00287F6A">
        <w:rPr>
          <w:rFonts w:ascii="Times New Roman" w:hAnsi="Times New Roman" w:cs="Times New Roman"/>
          <w:i/>
          <w:iCs/>
          <w:color w:val="4A4640"/>
          <w:sz w:val="24"/>
          <w:szCs w:val="24"/>
        </w:rPr>
        <w:t xml:space="preserve">Aminzadeh, A., </w:t>
      </w:r>
      <w:proofErr w:type="spellStart"/>
      <w:r w:rsidRPr="00287F6A">
        <w:rPr>
          <w:rFonts w:ascii="Times New Roman" w:hAnsi="Times New Roman" w:cs="Times New Roman"/>
          <w:i/>
          <w:iCs/>
          <w:color w:val="4A4640"/>
          <w:sz w:val="24"/>
          <w:szCs w:val="24"/>
        </w:rPr>
        <w:t>Sattarpanah</w:t>
      </w:r>
      <w:proofErr w:type="spellEnd"/>
      <w:r w:rsidRPr="00287F6A">
        <w:rPr>
          <w:rFonts w:ascii="Times New Roman" w:hAnsi="Times New Roman" w:cs="Times New Roman"/>
          <w:i/>
          <w:iCs/>
          <w:color w:val="4A4640"/>
          <w:sz w:val="24"/>
          <w:szCs w:val="24"/>
        </w:rPr>
        <w:t xml:space="preserve"> </w:t>
      </w:r>
      <w:proofErr w:type="spellStart"/>
      <w:r w:rsidRPr="00287F6A">
        <w:rPr>
          <w:rFonts w:ascii="Times New Roman" w:hAnsi="Times New Roman" w:cs="Times New Roman"/>
          <w:i/>
          <w:iCs/>
          <w:color w:val="4A4640"/>
          <w:sz w:val="24"/>
          <w:szCs w:val="24"/>
        </w:rPr>
        <w:t>Karganroudi</w:t>
      </w:r>
      <w:proofErr w:type="spellEnd"/>
      <w:r w:rsidRPr="00287F6A">
        <w:rPr>
          <w:rFonts w:ascii="Times New Roman" w:hAnsi="Times New Roman" w:cs="Times New Roman"/>
          <w:i/>
          <w:iCs/>
          <w:color w:val="4A4640"/>
          <w:sz w:val="24"/>
          <w:szCs w:val="24"/>
        </w:rPr>
        <w:t xml:space="preserve">, S., Majidi, S., </w:t>
      </w:r>
      <w:proofErr w:type="spellStart"/>
      <w:r w:rsidRPr="00287F6A">
        <w:rPr>
          <w:rFonts w:ascii="Times New Roman" w:hAnsi="Times New Roman" w:cs="Times New Roman"/>
          <w:i/>
          <w:iCs/>
          <w:color w:val="4A4640"/>
          <w:sz w:val="24"/>
          <w:szCs w:val="24"/>
        </w:rPr>
        <w:t>Dabompre</w:t>
      </w:r>
      <w:proofErr w:type="spellEnd"/>
      <w:r w:rsidRPr="00287F6A">
        <w:rPr>
          <w:rFonts w:ascii="Times New Roman" w:hAnsi="Times New Roman" w:cs="Times New Roman"/>
          <w:i/>
          <w:iCs/>
          <w:color w:val="4A4640"/>
          <w:sz w:val="24"/>
          <w:szCs w:val="24"/>
        </w:rPr>
        <w:t xml:space="preserve">, C., </w:t>
      </w:r>
      <w:proofErr w:type="spellStart"/>
      <w:r w:rsidRPr="00287F6A">
        <w:rPr>
          <w:rFonts w:ascii="Times New Roman" w:hAnsi="Times New Roman" w:cs="Times New Roman"/>
          <w:i/>
          <w:iCs/>
          <w:color w:val="4A4640"/>
          <w:sz w:val="24"/>
          <w:szCs w:val="24"/>
        </w:rPr>
        <w:t>Azaiez</w:t>
      </w:r>
      <w:proofErr w:type="spellEnd"/>
      <w:r w:rsidRPr="00287F6A">
        <w:rPr>
          <w:rFonts w:ascii="Times New Roman" w:hAnsi="Times New Roman" w:cs="Times New Roman"/>
          <w:i/>
          <w:iCs/>
          <w:color w:val="4A4640"/>
          <w:sz w:val="24"/>
          <w:szCs w:val="24"/>
        </w:rPr>
        <w:t xml:space="preserve">, K., </w:t>
      </w:r>
      <w:proofErr w:type="spellStart"/>
      <w:r w:rsidRPr="00287F6A">
        <w:rPr>
          <w:rFonts w:ascii="Times New Roman" w:hAnsi="Times New Roman" w:cs="Times New Roman"/>
          <w:i/>
          <w:iCs/>
          <w:color w:val="4A4640"/>
          <w:sz w:val="24"/>
          <w:szCs w:val="24"/>
        </w:rPr>
        <w:t>Mitride</w:t>
      </w:r>
      <w:proofErr w:type="spellEnd"/>
      <w:r w:rsidRPr="00287F6A">
        <w:rPr>
          <w:rFonts w:ascii="Times New Roman" w:hAnsi="Times New Roman" w:cs="Times New Roman"/>
          <w:i/>
          <w:iCs/>
          <w:color w:val="4A4640"/>
          <w:sz w:val="24"/>
          <w:szCs w:val="24"/>
        </w:rPr>
        <w:t xml:space="preserve">, C., &amp; </w:t>
      </w:r>
      <w:proofErr w:type="spellStart"/>
      <w:r w:rsidRPr="00287F6A">
        <w:rPr>
          <w:rFonts w:ascii="Times New Roman" w:hAnsi="Times New Roman" w:cs="Times New Roman"/>
          <w:i/>
          <w:iCs/>
          <w:color w:val="4A4640"/>
          <w:sz w:val="24"/>
          <w:szCs w:val="24"/>
        </w:rPr>
        <w:t>Sénéchal</w:t>
      </w:r>
      <w:proofErr w:type="spellEnd"/>
      <w:r w:rsidRPr="00287F6A">
        <w:rPr>
          <w:rFonts w:ascii="Times New Roman" w:hAnsi="Times New Roman" w:cs="Times New Roman"/>
          <w:i/>
          <w:iCs/>
          <w:color w:val="4A4640"/>
          <w:sz w:val="24"/>
          <w:szCs w:val="24"/>
        </w:rPr>
        <w:t>, E. (2025). A Machine Learning Implementation to Predictive Maintenance and Monitoring of Industrial Compressors. Sensors, 25(4), 1006.</w:t>
      </w:r>
    </w:p>
    <w:p w14:paraId="3AF505E9" w14:textId="77777777" w:rsidR="006B19C9" w:rsidRPr="00287F6A" w:rsidRDefault="00000000">
      <w:pPr>
        <w:spacing w:after="160" w:line="288" w:lineRule="auto"/>
        <w:jc w:val="both"/>
        <w:rPr>
          <w:rFonts w:ascii="Times New Roman" w:hAnsi="Times New Roman" w:cs="Times New Roman"/>
          <w:sz w:val="24"/>
          <w:szCs w:val="24"/>
        </w:rPr>
      </w:pPr>
      <w:r w:rsidRPr="00287F6A">
        <w:rPr>
          <w:rFonts w:ascii="Times New Roman" w:hAnsi="Times New Roman" w:cs="Times New Roman"/>
          <w:color w:val="2A2A2A"/>
          <w:sz w:val="24"/>
          <w:szCs w:val="24"/>
        </w:rPr>
        <w:t>Objective &amp; Methodology: The study aims to shift industrial compressor maintenance from reactive to proactive by predicting failures before they occur, directly analogous to predicting refrigeration-unit failure in a cold chain fleet. Temperature, pressure and flow-rate sensors feed a cloud-connected SQL database; a Linear Regression model is trained on this multi-sensor data and deployed for real-time inference, triggering an automated warning email when readings exceed a learned threshold.</w:t>
      </w:r>
    </w:p>
    <w:p w14:paraId="64F09615" w14:textId="77777777" w:rsidR="006B19C9" w:rsidRPr="00287F6A" w:rsidRDefault="00000000">
      <w:pPr>
        <w:spacing w:after="160" w:line="288" w:lineRule="auto"/>
        <w:jc w:val="both"/>
        <w:rPr>
          <w:rFonts w:ascii="Times New Roman" w:hAnsi="Times New Roman" w:cs="Times New Roman"/>
          <w:sz w:val="24"/>
          <w:szCs w:val="24"/>
        </w:rPr>
      </w:pPr>
      <w:r w:rsidRPr="00287F6A">
        <w:rPr>
          <w:rFonts w:ascii="Times New Roman" w:hAnsi="Times New Roman" w:cs="Times New Roman"/>
          <w:color w:val="2A2A2A"/>
          <w:sz w:val="24"/>
          <w:szCs w:val="24"/>
        </w:rPr>
        <w:t>Key Findings: The deployed model reached 98% accuracy (Mean Squared Error metric) in anticipating equipment issues, confirming that even a comparatively simple regression model can deliver strong predictive-maintenance results when paired with well-instrumented multi-sensor data.</w:t>
      </w:r>
    </w:p>
    <w:p w14:paraId="7CBA86AE" w14:textId="77777777" w:rsidR="006B19C9" w:rsidRPr="00287F6A" w:rsidRDefault="00000000">
      <w:pPr>
        <w:spacing w:before="220" w:after="60"/>
        <w:rPr>
          <w:rFonts w:ascii="Times New Roman" w:hAnsi="Times New Roman" w:cs="Times New Roman"/>
          <w:sz w:val="24"/>
          <w:szCs w:val="24"/>
        </w:rPr>
      </w:pPr>
      <w:r w:rsidRPr="00287F6A">
        <w:rPr>
          <w:rFonts w:ascii="Times New Roman" w:hAnsi="Times New Roman" w:cs="Times New Roman"/>
          <w:b/>
          <w:bCs/>
          <w:color w:val="8C3244"/>
          <w:sz w:val="24"/>
          <w:szCs w:val="24"/>
        </w:rPr>
        <w:t>P</w:t>
      </w:r>
      <w:proofErr w:type="gramStart"/>
      <w:r w:rsidRPr="00287F6A">
        <w:rPr>
          <w:rFonts w:ascii="Times New Roman" w:hAnsi="Times New Roman" w:cs="Times New Roman"/>
          <w:b/>
          <w:bCs/>
          <w:color w:val="8C3244"/>
          <w:sz w:val="24"/>
          <w:szCs w:val="24"/>
        </w:rPr>
        <w:t xml:space="preserve">4  </w:t>
      </w:r>
      <w:r w:rsidRPr="00287F6A">
        <w:rPr>
          <w:rFonts w:ascii="Times New Roman" w:hAnsi="Times New Roman" w:cs="Times New Roman"/>
          <w:b/>
          <w:bCs/>
          <w:color w:val="1E2023"/>
          <w:sz w:val="24"/>
          <w:szCs w:val="24"/>
        </w:rPr>
        <w:t>Genetic</w:t>
      </w:r>
      <w:proofErr w:type="gramEnd"/>
      <w:r w:rsidRPr="00287F6A">
        <w:rPr>
          <w:rFonts w:ascii="Times New Roman" w:hAnsi="Times New Roman" w:cs="Times New Roman"/>
          <w:b/>
          <w:bCs/>
          <w:color w:val="1E2023"/>
          <w:sz w:val="24"/>
          <w:szCs w:val="24"/>
        </w:rPr>
        <w:t xml:space="preserve"> Algorithm Route Optimization Under Traffic Uncertainty for Cold Chain Joint Distribution</w:t>
      </w:r>
    </w:p>
    <w:p w14:paraId="1ACDC65C" w14:textId="77777777" w:rsidR="006B19C9" w:rsidRPr="00287F6A" w:rsidRDefault="00000000">
      <w:pPr>
        <w:spacing w:after="100"/>
        <w:rPr>
          <w:rFonts w:ascii="Times New Roman" w:hAnsi="Times New Roman" w:cs="Times New Roman"/>
          <w:sz w:val="24"/>
          <w:szCs w:val="24"/>
        </w:rPr>
      </w:pPr>
      <w:r w:rsidRPr="00287F6A">
        <w:rPr>
          <w:rFonts w:ascii="Times New Roman" w:hAnsi="Times New Roman" w:cs="Times New Roman"/>
          <w:i/>
          <w:iCs/>
          <w:color w:val="4A4640"/>
          <w:sz w:val="24"/>
          <w:szCs w:val="24"/>
        </w:rPr>
        <w:t>Shi, H., Hong, Y., Zhang, Q., &amp; Qin, J. (2025). Research on Cold Chain Logistics Joint Distribution Vehicle Routing Optimization Based on Uncertainty Entropy and Time-Varying Network. Entropy, 27(5), 540.</w:t>
      </w:r>
    </w:p>
    <w:p w14:paraId="633F88B8" w14:textId="77777777" w:rsidR="006B19C9" w:rsidRPr="00287F6A" w:rsidRDefault="00000000">
      <w:pPr>
        <w:spacing w:after="160" w:line="288" w:lineRule="auto"/>
        <w:jc w:val="both"/>
        <w:rPr>
          <w:rFonts w:ascii="Times New Roman" w:hAnsi="Times New Roman" w:cs="Times New Roman"/>
          <w:sz w:val="24"/>
          <w:szCs w:val="24"/>
        </w:rPr>
      </w:pPr>
      <w:r w:rsidRPr="00287F6A">
        <w:rPr>
          <w:rFonts w:ascii="Times New Roman" w:hAnsi="Times New Roman" w:cs="Times New Roman"/>
          <w:color w:val="2A2A2A"/>
          <w:sz w:val="24"/>
          <w:szCs w:val="24"/>
        </w:rPr>
        <w:t xml:space="preserve">Objective &amp; Methodology: The paper addresses route planning for multiple cold chain distribution </w:t>
      </w:r>
      <w:proofErr w:type="spellStart"/>
      <w:r w:rsidRPr="00287F6A">
        <w:rPr>
          <w:rFonts w:ascii="Times New Roman" w:hAnsi="Times New Roman" w:cs="Times New Roman"/>
          <w:color w:val="2A2A2A"/>
          <w:sz w:val="24"/>
          <w:szCs w:val="24"/>
        </w:rPr>
        <w:t>centers</w:t>
      </w:r>
      <w:proofErr w:type="spellEnd"/>
      <w:r w:rsidRPr="00287F6A">
        <w:rPr>
          <w:rFonts w:ascii="Times New Roman" w:hAnsi="Times New Roman" w:cs="Times New Roman"/>
          <w:color w:val="2A2A2A"/>
          <w:sz w:val="24"/>
          <w:szCs w:val="24"/>
        </w:rPr>
        <w:t xml:space="preserve"> sharing vehicles and storage (joint distribution), while accounting for traffic congestion uncertainty that </w:t>
      </w:r>
      <w:r w:rsidRPr="00287F6A">
        <w:rPr>
          <w:rFonts w:ascii="Times New Roman" w:hAnsi="Times New Roman" w:cs="Times New Roman"/>
          <w:color w:val="2A2A2A"/>
          <w:sz w:val="24"/>
          <w:szCs w:val="24"/>
        </w:rPr>
        <w:lastRenderedPageBreak/>
        <w:t>earlier joint-distribution studies overlooked. A Cold Chain Logistics Joint Distribution Vehicle Routing Problem with Time-Varying Network (CCLJDVRP-TVN) model is solved using simulated annealing combined with a genetic algorithm, with an entropy mechanism specifically added to manage traffic-congestion uncertainty; validated on real data from three cold chain companies in Beijing.</w:t>
      </w:r>
    </w:p>
    <w:p w14:paraId="176CD7C2" w14:textId="77777777" w:rsidR="006B19C9" w:rsidRPr="00287F6A" w:rsidRDefault="00000000">
      <w:pPr>
        <w:spacing w:after="160" w:line="288" w:lineRule="auto"/>
        <w:jc w:val="both"/>
        <w:rPr>
          <w:rFonts w:ascii="Times New Roman" w:hAnsi="Times New Roman" w:cs="Times New Roman"/>
          <w:sz w:val="24"/>
          <w:szCs w:val="24"/>
        </w:rPr>
      </w:pPr>
      <w:r w:rsidRPr="00287F6A">
        <w:rPr>
          <w:rFonts w:ascii="Times New Roman" w:hAnsi="Times New Roman" w:cs="Times New Roman"/>
          <w:color w:val="2A2A2A"/>
          <w:sz w:val="24"/>
          <w:szCs w:val="24"/>
        </w:rPr>
        <w:t>Key Findings: The approach reduced total logistics cost by 18.3%, carbon emissions by 15.8%, and required fleet size by 12.5% versus the baseline, showing that modelling uncertainty explicitly (not just distance and time windows) meaningfully improves route optimization outcomes.</w:t>
      </w:r>
    </w:p>
    <w:p w14:paraId="459DE9F2" w14:textId="77777777" w:rsidR="006B19C9" w:rsidRPr="00287F6A" w:rsidRDefault="00000000">
      <w:pPr>
        <w:spacing w:before="220" w:after="60"/>
        <w:rPr>
          <w:rFonts w:ascii="Times New Roman" w:hAnsi="Times New Roman" w:cs="Times New Roman"/>
          <w:sz w:val="24"/>
          <w:szCs w:val="24"/>
        </w:rPr>
      </w:pPr>
      <w:r w:rsidRPr="00287F6A">
        <w:rPr>
          <w:rFonts w:ascii="Times New Roman" w:hAnsi="Times New Roman" w:cs="Times New Roman"/>
          <w:b/>
          <w:bCs/>
          <w:color w:val="8C3244"/>
          <w:sz w:val="24"/>
          <w:szCs w:val="24"/>
        </w:rPr>
        <w:t>P</w:t>
      </w:r>
      <w:proofErr w:type="gramStart"/>
      <w:r w:rsidRPr="00287F6A">
        <w:rPr>
          <w:rFonts w:ascii="Times New Roman" w:hAnsi="Times New Roman" w:cs="Times New Roman"/>
          <w:b/>
          <w:bCs/>
          <w:color w:val="8C3244"/>
          <w:sz w:val="24"/>
          <w:szCs w:val="24"/>
        </w:rPr>
        <w:t xml:space="preserve">5  </w:t>
      </w:r>
      <w:r w:rsidRPr="00287F6A">
        <w:rPr>
          <w:rFonts w:ascii="Times New Roman" w:hAnsi="Times New Roman" w:cs="Times New Roman"/>
          <w:b/>
          <w:bCs/>
          <w:color w:val="1E2023"/>
          <w:sz w:val="24"/>
          <w:szCs w:val="24"/>
        </w:rPr>
        <w:t>Vehicle</w:t>
      </w:r>
      <w:proofErr w:type="gramEnd"/>
      <w:r w:rsidRPr="00287F6A">
        <w:rPr>
          <w:rFonts w:ascii="Times New Roman" w:hAnsi="Times New Roman" w:cs="Times New Roman"/>
          <w:b/>
          <w:bCs/>
          <w:color w:val="1E2023"/>
          <w:sz w:val="24"/>
          <w:szCs w:val="24"/>
        </w:rPr>
        <w:t xml:space="preserve"> Routing Balancing Cost, Customer Satisfaction and Carbon Emissions</w:t>
      </w:r>
    </w:p>
    <w:p w14:paraId="5624B2CB" w14:textId="77777777" w:rsidR="006B19C9" w:rsidRPr="00287F6A" w:rsidRDefault="00000000">
      <w:pPr>
        <w:spacing w:after="100"/>
        <w:rPr>
          <w:rFonts w:ascii="Times New Roman" w:hAnsi="Times New Roman" w:cs="Times New Roman"/>
          <w:sz w:val="24"/>
          <w:szCs w:val="24"/>
        </w:rPr>
      </w:pPr>
      <w:r w:rsidRPr="00287F6A">
        <w:rPr>
          <w:rFonts w:ascii="Times New Roman" w:hAnsi="Times New Roman" w:cs="Times New Roman"/>
          <w:i/>
          <w:iCs/>
          <w:color w:val="4A4640"/>
          <w:sz w:val="24"/>
          <w:szCs w:val="24"/>
        </w:rPr>
        <w:t>Qin, G., Tao, F., &amp; Li, L. (2019). A Vehicle Routing Optimization Problem for Cold Chain Logistics Considering Customer Satisfaction and Carbon Emissions. International Journal of Environmental Research and Public Health, 16(4), 576.</w:t>
      </w:r>
    </w:p>
    <w:p w14:paraId="58EBF355" w14:textId="77777777" w:rsidR="006B19C9" w:rsidRPr="00287F6A" w:rsidRDefault="00000000">
      <w:pPr>
        <w:spacing w:after="160" w:line="288" w:lineRule="auto"/>
        <w:jc w:val="both"/>
        <w:rPr>
          <w:rFonts w:ascii="Times New Roman" w:hAnsi="Times New Roman" w:cs="Times New Roman"/>
          <w:sz w:val="24"/>
          <w:szCs w:val="24"/>
        </w:rPr>
      </w:pPr>
      <w:r w:rsidRPr="00287F6A">
        <w:rPr>
          <w:rFonts w:ascii="Times New Roman" w:hAnsi="Times New Roman" w:cs="Times New Roman"/>
          <w:color w:val="2A2A2A"/>
          <w:sz w:val="24"/>
          <w:szCs w:val="24"/>
        </w:rPr>
        <w:t>Objective &amp; Methodology: The study argues that optimizing cold chain routes for cost alone ignores two factors that matter commercially and environmentally: on-time delivery (customer satisfaction) and carbon cost under carbon-trading schemes. A vehicle routing model is formulated with the objective of minimizing cost per satisfied customer, combining delivery punctuality as the satisfaction metric with a carbon-trading cost term; solved with a cycle evolutionary genetic algorithm and validated against real case data.</w:t>
      </w:r>
    </w:p>
    <w:p w14:paraId="6EE2D8B2" w14:textId="77777777" w:rsidR="006B19C9" w:rsidRPr="00287F6A" w:rsidRDefault="00000000">
      <w:pPr>
        <w:spacing w:after="160" w:line="288" w:lineRule="auto"/>
        <w:jc w:val="both"/>
        <w:rPr>
          <w:rFonts w:ascii="Times New Roman" w:hAnsi="Times New Roman" w:cs="Times New Roman"/>
          <w:sz w:val="24"/>
          <w:szCs w:val="24"/>
        </w:rPr>
      </w:pPr>
      <w:r w:rsidRPr="00287F6A">
        <w:rPr>
          <w:rFonts w:ascii="Times New Roman" w:hAnsi="Times New Roman" w:cs="Times New Roman"/>
          <w:color w:val="2A2A2A"/>
          <w:sz w:val="24"/>
          <w:szCs w:val="24"/>
        </w:rPr>
        <w:t>Key Findings: Results show a small increase in total cost can substantially raise average customer satisfaction, and that carbon price has competing effects — reducing emissions but also reducing satisfaction beyond a certain point — highlighting a genuine cost/satisfaction/emissions trade-off that single-objective models miss.</w:t>
      </w:r>
    </w:p>
    <w:p w14:paraId="0FA0162F" w14:textId="77777777" w:rsidR="006B19C9" w:rsidRPr="00287F6A" w:rsidRDefault="00000000">
      <w:pPr>
        <w:spacing w:before="220" w:after="60"/>
        <w:rPr>
          <w:rFonts w:ascii="Times New Roman" w:hAnsi="Times New Roman" w:cs="Times New Roman"/>
          <w:sz w:val="24"/>
          <w:szCs w:val="24"/>
        </w:rPr>
      </w:pPr>
      <w:r w:rsidRPr="00287F6A">
        <w:rPr>
          <w:rFonts w:ascii="Times New Roman" w:hAnsi="Times New Roman" w:cs="Times New Roman"/>
          <w:b/>
          <w:bCs/>
          <w:color w:val="B58B46"/>
          <w:sz w:val="24"/>
          <w:szCs w:val="24"/>
        </w:rPr>
        <w:t>P</w:t>
      </w:r>
      <w:proofErr w:type="gramStart"/>
      <w:r w:rsidRPr="00287F6A">
        <w:rPr>
          <w:rFonts w:ascii="Times New Roman" w:hAnsi="Times New Roman" w:cs="Times New Roman"/>
          <w:b/>
          <w:bCs/>
          <w:color w:val="B58B46"/>
          <w:sz w:val="24"/>
          <w:szCs w:val="24"/>
        </w:rPr>
        <w:t xml:space="preserve">6  </w:t>
      </w:r>
      <w:r w:rsidRPr="00287F6A">
        <w:rPr>
          <w:rFonts w:ascii="Times New Roman" w:hAnsi="Times New Roman" w:cs="Times New Roman"/>
          <w:b/>
          <w:bCs/>
          <w:color w:val="1E2023"/>
          <w:sz w:val="24"/>
          <w:szCs w:val="24"/>
        </w:rPr>
        <w:t>Integrated</w:t>
      </w:r>
      <w:proofErr w:type="gramEnd"/>
      <w:r w:rsidRPr="00287F6A">
        <w:rPr>
          <w:rFonts w:ascii="Times New Roman" w:hAnsi="Times New Roman" w:cs="Times New Roman"/>
          <w:b/>
          <w:bCs/>
          <w:color w:val="1E2023"/>
          <w:sz w:val="24"/>
          <w:szCs w:val="24"/>
        </w:rPr>
        <w:t xml:space="preserve"> AI, IoT and Blockchain for Security and Traceability in Perishable Logistics</w:t>
      </w:r>
    </w:p>
    <w:p w14:paraId="0B7FC3BF" w14:textId="77777777" w:rsidR="006B19C9" w:rsidRPr="00287F6A" w:rsidRDefault="00000000">
      <w:pPr>
        <w:spacing w:after="100"/>
        <w:rPr>
          <w:rFonts w:ascii="Times New Roman" w:hAnsi="Times New Roman" w:cs="Times New Roman"/>
          <w:sz w:val="24"/>
          <w:szCs w:val="24"/>
        </w:rPr>
      </w:pPr>
      <w:r w:rsidRPr="00287F6A">
        <w:rPr>
          <w:rFonts w:ascii="Times New Roman" w:hAnsi="Times New Roman" w:cs="Times New Roman"/>
          <w:i/>
          <w:iCs/>
          <w:color w:val="4A4640"/>
          <w:sz w:val="24"/>
          <w:szCs w:val="24"/>
        </w:rPr>
        <w:t>Villegas-Ch, W., Gutierrez, R., Govea, J., &amp; García-Ortiz, J. (2025). Integrated AI, IoT, and Blockchain for Enhancing Security and Traceability in Perishable Logistics. Emerging Science Journal, 9(5).</w:t>
      </w:r>
    </w:p>
    <w:p w14:paraId="3F85327B" w14:textId="77777777" w:rsidR="006B19C9" w:rsidRPr="00287F6A" w:rsidRDefault="00000000">
      <w:pPr>
        <w:spacing w:after="160" w:line="288" w:lineRule="auto"/>
        <w:jc w:val="both"/>
        <w:rPr>
          <w:rFonts w:ascii="Times New Roman" w:hAnsi="Times New Roman" w:cs="Times New Roman"/>
          <w:sz w:val="24"/>
          <w:szCs w:val="24"/>
        </w:rPr>
      </w:pPr>
      <w:r w:rsidRPr="00287F6A">
        <w:rPr>
          <w:rFonts w:ascii="Times New Roman" w:hAnsi="Times New Roman" w:cs="Times New Roman"/>
          <w:color w:val="2A2A2A"/>
          <w:sz w:val="24"/>
          <w:szCs w:val="24"/>
        </w:rPr>
        <w:t>Objective &amp; Methodology: The paper responds to the risk that perishable-goods supply chains face from both quality degradation and data tampering, arguing that monitoring alone is insufficient without verifiable, tamper-resistant traceability. An architecture combining IoT-based cold chain sensing, AI-driven anomaly detection on the resulting sensor streams, and blockchain-based ledger recording is proposed so that every monitored event is both intelligently flagged and immutably logged.</w:t>
      </w:r>
    </w:p>
    <w:p w14:paraId="73EE6615" w14:textId="77777777" w:rsidR="006B19C9" w:rsidRPr="00287F6A" w:rsidRDefault="00000000">
      <w:pPr>
        <w:spacing w:after="160" w:line="288" w:lineRule="auto"/>
        <w:jc w:val="both"/>
        <w:rPr>
          <w:rFonts w:ascii="Times New Roman" w:hAnsi="Times New Roman" w:cs="Times New Roman"/>
          <w:sz w:val="24"/>
          <w:szCs w:val="24"/>
        </w:rPr>
      </w:pPr>
      <w:r w:rsidRPr="00287F6A">
        <w:rPr>
          <w:rFonts w:ascii="Times New Roman" w:hAnsi="Times New Roman" w:cs="Times New Roman"/>
          <w:color w:val="2A2A2A"/>
          <w:sz w:val="24"/>
          <w:szCs w:val="24"/>
        </w:rPr>
        <w:t>Key Findings: The integrated design demonstrates that anomaly detection and blockchain traceability are complementary rather than redundant: AI catches quality-threatening events in real time, while blockchain ensures the record of those events cannot be altered after the fact, strengthening both safety and auditability.</w:t>
      </w:r>
    </w:p>
    <w:p w14:paraId="1BCF25D2" w14:textId="77777777" w:rsidR="006B19C9" w:rsidRPr="00287F6A" w:rsidRDefault="006B19C9">
      <w:pPr>
        <w:rPr>
          <w:rFonts w:ascii="Times New Roman" w:hAnsi="Times New Roman" w:cs="Times New Roman"/>
        </w:rPr>
        <w:sectPr w:rsidR="006B19C9" w:rsidRPr="00287F6A">
          <w:pgSz w:w="12240" w:h="15840"/>
          <w:pgMar w:top="1000" w:right="1000" w:bottom="1000" w:left="1000" w:header="708" w:footer="708" w:gutter="0"/>
          <w:cols w:space="720"/>
          <w:docGrid w:linePitch="360"/>
        </w:sectPr>
      </w:pPr>
    </w:p>
    <w:p w14:paraId="74EABC3B" w14:textId="77777777" w:rsidR="006B19C9" w:rsidRPr="00287F6A" w:rsidRDefault="00000000">
      <w:pPr>
        <w:pStyle w:val="Heading1"/>
        <w:pBdr>
          <w:bottom w:val="single" w:sz="6" w:space="4" w:color="B58B46"/>
        </w:pBdr>
        <w:spacing w:before="320" w:after="160"/>
        <w:rPr>
          <w:rFonts w:ascii="Times New Roman" w:hAnsi="Times New Roman" w:cs="Times New Roman"/>
        </w:rPr>
      </w:pPr>
      <w:r w:rsidRPr="00287F6A">
        <w:rPr>
          <w:rFonts w:ascii="Times New Roman" w:hAnsi="Times New Roman" w:cs="Times New Roman"/>
          <w:b/>
          <w:bCs/>
          <w:color w:val="8C3244"/>
          <w:sz w:val="30"/>
          <w:szCs w:val="30"/>
        </w:rPr>
        <w:lastRenderedPageBreak/>
        <w:t xml:space="preserve">4.  </w:t>
      </w:r>
      <w:r w:rsidRPr="00287F6A">
        <w:rPr>
          <w:rFonts w:ascii="Times New Roman" w:hAnsi="Times New Roman" w:cs="Times New Roman"/>
          <w:b/>
          <w:bCs/>
          <w:color w:val="1E2023"/>
          <w:sz w:val="30"/>
          <w:szCs w:val="30"/>
        </w:rPr>
        <w:t>Comparative Literature Survey Table</w:t>
      </w:r>
    </w:p>
    <w:p w14:paraId="6C44268E" w14:textId="77777777" w:rsidR="006B19C9" w:rsidRPr="00287F6A" w:rsidRDefault="00000000">
      <w:pPr>
        <w:spacing w:after="160" w:line="288" w:lineRule="auto"/>
        <w:jc w:val="both"/>
        <w:rPr>
          <w:rFonts w:ascii="Times New Roman" w:hAnsi="Times New Roman" w:cs="Times New Roman"/>
          <w:sz w:val="24"/>
          <w:szCs w:val="24"/>
        </w:rPr>
      </w:pPr>
      <w:r w:rsidRPr="00287F6A">
        <w:rPr>
          <w:rFonts w:ascii="Times New Roman" w:hAnsi="Times New Roman" w:cs="Times New Roman"/>
          <w:color w:val="2A2A2A"/>
          <w:sz w:val="24"/>
          <w:szCs w:val="24"/>
        </w:rPr>
        <w:t xml:space="preserve">The table below compares all six reviewed papers across author/year, research problem, methodology, dataset/tools, key findings, limitations, and the research gap each </w:t>
      </w:r>
      <w:proofErr w:type="gramStart"/>
      <w:r w:rsidRPr="00287F6A">
        <w:rPr>
          <w:rFonts w:ascii="Times New Roman" w:hAnsi="Times New Roman" w:cs="Times New Roman"/>
          <w:color w:val="2A2A2A"/>
          <w:sz w:val="24"/>
          <w:szCs w:val="24"/>
        </w:rPr>
        <w:t>leaves</w:t>
      </w:r>
      <w:proofErr w:type="gramEnd"/>
      <w:r w:rsidRPr="00287F6A">
        <w:rPr>
          <w:rFonts w:ascii="Times New Roman" w:hAnsi="Times New Roman" w:cs="Times New Roman"/>
          <w:color w:val="2A2A2A"/>
          <w:sz w:val="24"/>
          <w:szCs w:val="24"/>
        </w:rPr>
        <w:t xml:space="preserve"> open.</w:t>
      </w:r>
    </w:p>
    <w:tbl>
      <w:tblPr>
        <w:tblW w:w="14400" w:type="dxa"/>
        <w:tblBorders>
          <w:top w:val="single" w:sz="2" w:space="0" w:color="C9C2B3"/>
          <w:left w:val="single" w:sz="2" w:space="0" w:color="C9C2B3"/>
          <w:bottom w:val="single" w:sz="2" w:space="0" w:color="C9C2B3"/>
          <w:right w:val="single" w:sz="2" w:space="0" w:color="C9C2B3"/>
          <w:insideH w:val="single" w:sz="2" w:space="0" w:color="C9C2B3"/>
          <w:insideV w:val="single" w:sz="2" w:space="0" w:color="C9C2B3"/>
        </w:tblBorders>
        <w:tblCellMar>
          <w:left w:w="10" w:type="dxa"/>
          <w:right w:w="10" w:type="dxa"/>
        </w:tblCellMar>
        <w:tblLook w:val="0000" w:firstRow="0" w:lastRow="0" w:firstColumn="0" w:lastColumn="0" w:noHBand="0" w:noVBand="0"/>
      </w:tblPr>
      <w:tblGrid>
        <w:gridCol w:w="1566"/>
        <w:gridCol w:w="2061"/>
        <w:gridCol w:w="2100"/>
        <w:gridCol w:w="2173"/>
        <w:gridCol w:w="2231"/>
        <w:gridCol w:w="2416"/>
        <w:gridCol w:w="1853"/>
      </w:tblGrid>
      <w:tr w:rsidR="006B19C9" w:rsidRPr="00287F6A" w14:paraId="6AFCD20D" w14:textId="77777777">
        <w:tblPrEx>
          <w:tblCellMar>
            <w:top w:w="0" w:type="dxa"/>
            <w:bottom w:w="0" w:type="dxa"/>
          </w:tblCellMar>
        </w:tblPrEx>
        <w:trPr>
          <w:tblHeader/>
        </w:trPr>
        <w:tc>
          <w:tcPr>
            <w:tcW w:w="1584" w:type="dxa"/>
            <w:shd w:val="clear" w:color="auto" w:fill="1E2023"/>
            <w:tcMar>
              <w:top w:w="70" w:type="dxa"/>
              <w:left w:w="90" w:type="dxa"/>
              <w:bottom w:w="70" w:type="dxa"/>
              <w:right w:w="90" w:type="dxa"/>
            </w:tcMar>
            <w:vAlign w:val="center"/>
          </w:tcPr>
          <w:p w14:paraId="0D8810FF" w14:textId="77777777" w:rsidR="006B19C9" w:rsidRPr="00287F6A" w:rsidRDefault="00000000">
            <w:pPr>
              <w:rPr>
                <w:rFonts w:ascii="Times New Roman" w:hAnsi="Times New Roman" w:cs="Times New Roman"/>
                <w:sz w:val="24"/>
                <w:szCs w:val="24"/>
              </w:rPr>
            </w:pPr>
            <w:r w:rsidRPr="00287F6A">
              <w:rPr>
                <w:rFonts w:ascii="Times New Roman" w:hAnsi="Times New Roman" w:cs="Times New Roman"/>
                <w:b/>
                <w:bCs/>
                <w:color w:val="FFFFFF"/>
                <w:sz w:val="24"/>
                <w:szCs w:val="24"/>
              </w:rPr>
              <w:t>Author/Year</w:t>
            </w:r>
          </w:p>
        </w:tc>
        <w:tc>
          <w:tcPr>
            <w:tcW w:w="2256" w:type="dxa"/>
            <w:shd w:val="clear" w:color="auto" w:fill="8C3244"/>
            <w:tcMar>
              <w:top w:w="70" w:type="dxa"/>
              <w:left w:w="90" w:type="dxa"/>
              <w:bottom w:w="70" w:type="dxa"/>
              <w:right w:w="90" w:type="dxa"/>
            </w:tcMar>
            <w:vAlign w:val="center"/>
          </w:tcPr>
          <w:p w14:paraId="3800C068" w14:textId="77777777" w:rsidR="006B19C9" w:rsidRPr="00287F6A" w:rsidRDefault="00000000">
            <w:pPr>
              <w:rPr>
                <w:rFonts w:ascii="Times New Roman" w:hAnsi="Times New Roman" w:cs="Times New Roman"/>
                <w:sz w:val="24"/>
                <w:szCs w:val="24"/>
              </w:rPr>
            </w:pPr>
            <w:r w:rsidRPr="00287F6A">
              <w:rPr>
                <w:rFonts w:ascii="Times New Roman" w:hAnsi="Times New Roman" w:cs="Times New Roman"/>
                <w:b/>
                <w:bCs/>
                <w:color w:val="FFFFFF"/>
                <w:sz w:val="24"/>
                <w:szCs w:val="24"/>
              </w:rPr>
              <w:t>Research Problem</w:t>
            </w:r>
          </w:p>
        </w:tc>
        <w:tc>
          <w:tcPr>
            <w:tcW w:w="2256" w:type="dxa"/>
            <w:shd w:val="clear" w:color="auto" w:fill="B58B46"/>
            <w:tcMar>
              <w:top w:w="70" w:type="dxa"/>
              <w:left w:w="90" w:type="dxa"/>
              <w:bottom w:w="70" w:type="dxa"/>
              <w:right w:w="90" w:type="dxa"/>
            </w:tcMar>
            <w:vAlign w:val="center"/>
          </w:tcPr>
          <w:p w14:paraId="0FE23159" w14:textId="77777777" w:rsidR="006B19C9" w:rsidRPr="00287F6A" w:rsidRDefault="00000000">
            <w:pPr>
              <w:rPr>
                <w:rFonts w:ascii="Times New Roman" w:hAnsi="Times New Roman" w:cs="Times New Roman"/>
                <w:sz w:val="24"/>
                <w:szCs w:val="24"/>
              </w:rPr>
            </w:pPr>
            <w:r w:rsidRPr="00287F6A">
              <w:rPr>
                <w:rFonts w:ascii="Times New Roman" w:hAnsi="Times New Roman" w:cs="Times New Roman"/>
                <w:b/>
                <w:bCs/>
                <w:color w:val="FFFFFF"/>
                <w:sz w:val="24"/>
                <w:szCs w:val="24"/>
              </w:rPr>
              <w:t>Methodology</w:t>
            </w:r>
          </w:p>
        </w:tc>
        <w:tc>
          <w:tcPr>
            <w:tcW w:w="1920" w:type="dxa"/>
            <w:shd w:val="clear" w:color="auto" w:fill="4C6B5E"/>
            <w:tcMar>
              <w:top w:w="70" w:type="dxa"/>
              <w:left w:w="90" w:type="dxa"/>
              <w:bottom w:w="70" w:type="dxa"/>
              <w:right w:w="90" w:type="dxa"/>
            </w:tcMar>
            <w:vAlign w:val="center"/>
          </w:tcPr>
          <w:p w14:paraId="738BD575" w14:textId="77777777" w:rsidR="006B19C9" w:rsidRPr="00287F6A" w:rsidRDefault="00000000">
            <w:pPr>
              <w:rPr>
                <w:rFonts w:ascii="Times New Roman" w:hAnsi="Times New Roman" w:cs="Times New Roman"/>
                <w:sz w:val="24"/>
                <w:szCs w:val="24"/>
              </w:rPr>
            </w:pPr>
            <w:r w:rsidRPr="00287F6A">
              <w:rPr>
                <w:rFonts w:ascii="Times New Roman" w:hAnsi="Times New Roman" w:cs="Times New Roman"/>
                <w:b/>
                <w:bCs/>
                <w:color w:val="FFFFFF"/>
                <w:sz w:val="24"/>
                <w:szCs w:val="24"/>
              </w:rPr>
              <w:t>Dataset/Tools</w:t>
            </w:r>
          </w:p>
        </w:tc>
        <w:tc>
          <w:tcPr>
            <w:tcW w:w="2400" w:type="dxa"/>
            <w:shd w:val="clear" w:color="auto" w:fill="8C3244"/>
            <w:tcMar>
              <w:top w:w="70" w:type="dxa"/>
              <w:left w:w="90" w:type="dxa"/>
              <w:bottom w:w="70" w:type="dxa"/>
              <w:right w:w="90" w:type="dxa"/>
            </w:tcMar>
            <w:vAlign w:val="center"/>
          </w:tcPr>
          <w:p w14:paraId="5688D733" w14:textId="77777777" w:rsidR="006B19C9" w:rsidRPr="00287F6A" w:rsidRDefault="00000000">
            <w:pPr>
              <w:rPr>
                <w:rFonts w:ascii="Times New Roman" w:hAnsi="Times New Roman" w:cs="Times New Roman"/>
                <w:sz w:val="24"/>
                <w:szCs w:val="24"/>
              </w:rPr>
            </w:pPr>
            <w:r w:rsidRPr="00287F6A">
              <w:rPr>
                <w:rFonts w:ascii="Times New Roman" w:hAnsi="Times New Roman" w:cs="Times New Roman"/>
                <w:b/>
                <w:bCs/>
                <w:color w:val="FFFFFF"/>
                <w:sz w:val="24"/>
                <w:szCs w:val="24"/>
              </w:rPr>
              <w:t>Key Findings</w:t>
            </w:r>
          </w:p>
        </w:tc>
        <w:tc>
          <w:tcPr>
            <w:tcW w:w="2016" w:type="dxa"/>
            <w:shd w:val="clear" w:color="auto" w:fill="1E2023"/>
            <w:tcMar>
              <w:top w:w="70" w:type="dxa"/>
              <w:left w:w="90" w:type="dxa"/>
              <w:bottom w:w="70" w:type="dxa"/>
              <w:right w:w="90" w:type="dxa"/>
            </w:tcMar>
            <w:vAlign w:val="center"/>
          </w:tcPr>
          <w:p w14:paraId="5AB4965E" w14:textId="77777777" w:rsidR="006B19C9" w:rsidRPr="00287F6A" w:rsidRDefault="00000000">
            <w:pPr>
              <w:rPr>
                <w:rFonts w:ascii="Times New Roman" w:hAnsi="Times New Roman" w:cs="Times New Roman"/>
                <w:sz w:val="24"/>
                <w:szCs w:val="24"/>
              </w:rPr>
            </w:pPr>
            <w:r w:rsidRPr="00287F6A">
              <w:rPr>
                <w:rFonts w:ascii="Times New Roman" w:hAnsi="Times New Roman" w:cs="Times New Roman"/>
                <w:b/>
                <w:bCs/>
                <w:color w:val="FFFFFF"/>
                <w:sz w:val="24"/>
                <w:szCs w:val="24"/>
              </w:rPr>
              <w:t>Limitations</w:t>
            </w:r>
          </w:p>
        </w:tc>
        <w:tc>
          <w:tcPr>
            <w:tcW w:w="1968" w:type="dxa"/>
            <w:shd w:val="clear" w:color="auto" w:fill="B58B46"/>
            <w:tcMar>
              <w:top w:w="70" w:type="dxa"/>
              <w:left w:w="90" w:type="dxa"/>
              <w:bottom w:w="70" w:type="dxa"/>
              <w:right w:w="90" w:type="dxa"/>
            </w:tcMar>
            <w:vAlign w:val="center"/>
          </w:tcPr>
          <w:p w14:paraId="5CF981FE" w14:textId="77777777" w:rsidR="006B19C9" w:rsidRPr="00287F6A" w:rsidRDefault="00000000">
            <w:pPr>
              <w:rPr>
                <w:rFonts w:ascii="Times New Roman" w:hAnsi="Times New Roman" w:cs="Times New Roman"/>
                <w:sz w:val="24"/>
                <w:szCs w:val="24"/>
              </w:rPr>
            </w:pPr>
            <w:r w:rsidRPr="00287F6A">
              <w:rPr>
                <w:rFonts w:ascii="Times New Roman" w:hAnsi="Times New Roman" w:cs="Times New Roman"/>
                <w:b/>
                <w:bCs/>
                <w:color w:val="FFFFFF"/>
                <w:sz w:val="24"/>
                <w:szCs w:val="24"/>
              </w:rPr>
              <w:t>Research Gap</w:t>
            </w:r>
          </w:p>
        </w:tc>
      </w:tr>
      <w:tr w:rsidR="006B19C9" w:rsidRPr="00287F6A" w14:paraId="63AF500B" w14:textId="77777777">
        <w:tblPrEx>
          <w:tblCellMar>
            <w:top w:w="0" w:type="dxa"/>
            <w:bottom w:w="0" w:type="dxa"/>
          </w:tblCellMar>
        </w:tblPrEx>
        <w:tc>
          <w:tcPr>
            <w:tcW w:w="1584" w:type="dxa"/>
            <w:shd w:val="clear" w:color="auto" w:fill="FFFFFF"/>
            <w:tcMar>
              <w:top w:w="70" w:type="dxa"/>
              <w:left w:w="90" w:type="dxa"/>
              <w:bottom w:w="70" w:type="dxa"/>
              <w:right w:w="90" w:type="dxa"/>
            </w:tcMar>
            <w:vAlign w:val="center"/>
          </w:tcPr>
          <w:p w14:paraId="00132254" w14:textId="77777777" w:rsidR="006B19C9" w:rsidRPr="00287F6A" w:rsidRDefault="00000000">
            <w:pPr>
              <w:rPr>
                <w:rFonts w:ascii="Times New Roman" w:hAnsi="Times New Roman" w:cs="Times New Roman"/>
                <w:sz w:val="23"/>
                <w:szCs w:val="23"/>
              </w:rPr>
            </w:pPr>
            <w:r w:rsidRPr="00287F6A">
              <w:rPr>
                <w:rFonts w:ascii="Times New Roman" w:eastAsia="Consolas" w:hAnsi="Times New Roman" w:cs="Times New Roman"/>
                <w:color w:val="2A2A2A"/>
                <w:sz w:val="23"/>
                <w:szCs w:val="23"/>
              </w:rPr>
              <w:t>Wang &amp; Du (2025)</w:t>
            </w:r>
          </w:p>
        </w:tc>
        <w:tc>
          <w:tcPr>
            <w:tcW w:w="2256" w:type="dxa"/>
            <w:shd w:val="clear" w:color="auto" w:fill="FFFFFF"/>
            <w:tcMar>
              <w:top w:w="70" w:type="dxa"/>
              <w:left w:w="90" w:type="dxa"/>
              <w:bottom w:w="70" w:type="dxa"/>
              <w:right w:w="90" w:type="dxa"/>
            </w:tcMar>
            <w:vAlign w:val="center"/>
          </w:tcPr>
          <w:p w14:paraId="7918AFAD" w14:textId="77777777" w:rsidR="006B19C9" w:rsidRPr="00287F6A" w:rsidRDefault="00000000">
            <w:pPr>
              <w:rPr>
                <w:rFonts w:ascii="Times New Roman" w:hAnsi="Times New Roman" w:cs="Times New Roman"/>
                <w:sz w:val="23"/>
                <w:szCs w:val="23"/>
              </w:rPr>
            </w:pPr>
            <w:r w:rsidRPr="00287F6A">
              <w:rPr>
                <w:rFonts w:ascii="Times New Roman" w:hAnsi="Times New Roman" w:cs="Times New Roman"/>
                <w:color w:val="2A2A2A"/>
                <w:sz w:val="23"/>
                <w:szCs w:val="23"/>
              </w:rPr>
              <w:t>High energy use &amp; low efficiency in cold chain monitoring</w:t>
            </w:r>
          </w:p>
        </w:tc>
        <w:tc>
          <w:tcPr>
            <w:tcW w:w="2256" w:type="dxa"/>
            <w:shd w:val="clear" w:color="auto" w:fill="FFFFFF"/>
            <w:tcMar>
              <w:top w:w="70" w:type="dxa"/>
              <w:left w:w="90" w:type="dxa"/>
              <w:bottom w:w="70" w:type="dxa"/>
              <w:right w:w="90" w:type="dxa"/>
            </w:tcMar>
            <w:vAlign w:val="center"/>
          </w:tcPr>
          <w:p w14:paraId="431884C6" w14:textId="77777777" w:rsidR="006B19C9" w:rsidRPr="00287F6A" w:rsidRDefault="00000000">
            <w:pPr>
              <w:rPr>
                <w:rFonts w:ascii="Times New Roman" w:hAnsi="Times New Roman" w:cs="Times New Roman"/>
                <w:sz w:val="23"/>
                <w:szCs w:val="23"/>
              </w:rPr>
            </w:pPr>
            <w:r w:rsidRPr="00287F6A">
              <w:rPr>
                <w:rFonts w:ascii="Times New Roman" w:hAnsi="Times New Roman" w:cs="Times New Roman"/>
                <w:color w:val="2A2A2A"/>
                <w:sz w:val="23"/>
                <w:szCs w:val="23"/>
              </w:rPr>
              <w:t>IoT sensor network + LSTM forecasting + PSO scheduling</w:t>
            </w:r>
          </w:p>
        </w:tc>
        <w:tc>
          <w:tcPr>
            <w:tcW w:w="1920" w:type="dxa"/>
            <w:shd w:val="clear" w:color="auto" w:fill="FFFFFF"/>
            <w:tcMar>
              <w:top w:w="70" w:type="dxa"/>
              <w:left w:w="90" w:type="dxa"/>
              <w:bottom w:w="70" w:type="dxa"/>
              <w:right w:w="90" w:type="dxa"/>
            </w:tcMar>
            <w:vAlign w:val="center"/>
          </w:tcPr>
          <w:p w14:paraId="1EAA6A09" w14:textId="77777777" w:rsidR="006B19C9" w:rsidRPr="00287F6A" w:rsidRDefault="00000000">
            <w:pPr>
              <w:rPr>
                <w:rFonts w:ascii="Times New Roman" w:hAnsi="Times New Roman" w:cs="Times New Roman"/>
                <w:sz w:val="23"/>
                <w:szCs w:val="23"/>
              </w:rPr>
            </w:pPr>
            <w:r w:rsidRPr="00287F6A">
              <w:rPr>
                <w:rFonts w:ascii="Times New Roman" w:hAnsi="Times New Roman" w:cs="Times New Roman"/>
                <w:color w:val="2A2A2A"/>
                <w:sz w:val="23"/>
                <w:szCs w:val="23"/>
              </w:rPr>
              <w:t>Simulated cold chain scenario; NB-IoT/LoRa sensors</w:t>
            </w:r>
          </w:p>
        </w:tc>
        <w:tc>
          <w:tcPr>
            <w:tcW w:w="2400" w:type="dxa"/>
            <w:shd w:val="clear" w:color="auto" w:fill="FFFFFF"/>
            <w:tcMar>
              <w:top w:w="70" w:type="dxa"/>
              <w:left w:w="90" w:type="dxa"/>
              <w:bottom w:w="70" w:type="dxa"/>
              <w:right w:w="90" w:type="dxa"/>
            </w:tcMar>
            <w:vAlign w:val="center"/>
          </w:tcPr>
          <w:p w14:paraId="0AB2A766" w14:textId="77777777" w:rsidR="006B19C9" w:rsidRPr="00287F6A" w:rsidRDefault="00000000">
            <w:pPr>
              <w:rPr>
                <w:rFonts w:ascii="Times New Roman" w:hAnsi="Times New Roman" w:cs="Times New Roman"/>
                <w:sz w:val="23"/>
                <w:szCs w:val="23"/>
              </w:rPr>
            </w:pPr>
            <w:r w:rsidRPr="00287F6A">
              <w:rPr>
                <w:rFonts w:ascii="Times New Roman" w:hAnsi="Times New Roman" w:cs="Times New Roman"/>
                <w:color w:val="2A2A2A"/>
                <w:sz w:val="23"/>
                <w:szCs w:val="23"/>
              </w:rPr>
              <w:t>20% energy cut; 94% temp/humidity accuracy; 8.33% faster transport</w:t>
            </w:r>
          </w:p>
        </w:tc>
        <w:tc>
          <w:tcPr>
            <w:tcW w:w="2016" w:type="dxa"/>
            <w:shd w:val="clear" w:color="auto" w:fill="FFFFFF"/>
            <w:tcMar>
              <w:top w:w="70" w:type="dxa"/>
              <w:left w:w="90" w:type="dxa"/>
              <w:bottom w:w="70" w:type="dxa"/>
              <w:right w:w="90" w:type="dxa"/>
            </w:tcMar>
            <w:vAlign w:val="center"/>
          </w:tcPr>
          <w:p w14:paraId="02CCBC84" w14:textId="77777777" w:rsidR="006B19C9" w:rsidRPr="00287F6A" w:rsidRDefault="00000000">
            <w:pPr>
              <w:rPr>
                <w:rFonts w:ascii="Times New Roman" w:hAnsi="Times New Roman" w:cs="Times New Roman"/>
                <w:sz w:val="23"/>
                <w:szCs w:val="23"/>
              </w:rPr>
            </w:pPr>
            <w:r w:rsidRPr="00287F6A">
              <w:rPr>
                <w:rFonts w:ascii="Times New Roman" w:hAnsi="Times New Roman" w:cs="Times New Roman"/>
                <w:color w:val="2A2A2A"/>
                <w:sz w:val="23"/>
                <w:szCs w:val="23"/>
              </w:rPr>
              <w:t>Simulated, not field-deployed; single-fleet scope</w:t>
            </w:r>
          </w:p>
        </w:tc>
        <w:tc>
          <w:tcPr>
            <w:tcW w:w="1968" w:type="dxa"/>
            <w:shd w:val="clear" w:color="auto" w:fill="FFFFFF"/>
            <w:tcMar>
              <w:top w:w="70" w:type="dxa"/>
              <w:left w:w="90" w:type="dxa"/>
              <w:bottom w:w="70" w:type="dxa"/>
              <w:right w:w="90" w:type="dxa"/>
            </w:tcMar>
            <w:vAlign w:val="center"/>
          </w:tcPr>
          <w:p w14:paraId="0368B9DF" w14:textId="77777777" w:rsidR="006B19C9" w:rsidRPr="00287F6A" w:rsidRDefault="00000000">
            <w:pPr>
              <w:rPr>
                <w:rFonts w:ascii="Times New Roman" w:hAnsi="Times New Roman" w:cs="Times New Roman"/>
                <w:sz w:val="23"/>
                <w:szCs w:val="23"/>
              </w:rPr>
            </w:pPr>
            <w:r w:rsidRPr="00287F6A">
              <w:rPr>
                <w:rFonts w:ascii="Times New Roman" w:hAnsi="Times New Roman" w:cs="Times New Roman"/>
                <w:color w:val="2A2A2A"/>
                <w:sz w:val="23"/>
                <w:szCs w:val="23"/>
              </w:rPr>
              <w:t>No validation at multi-region, real-traffic scale</w:t>
            </w:r>
          </w:p>
        </w:tc>
      </w:tr>
      <w:tr w:rsidR="006B19C9" w:rsidRPr="00287F6A" w14:paraId="7967036D" w14:textId="77777777">
        <w:tblPrEx>
          <w:tblCellMar>
            <w:top w:w="0" w:type="dxa"/>
            <w:bottom w:w="0" w:type="dxa"/>
          </w:tblCellMar>
        </w:tblPrEx>
        <w:tc>
          <w:tcPr>
            <w:tcW w:w="1584" w:type="dxa"/>
            <w:shd w:val="clear" w:color="auto" w:fill="F5F2EC"/>
            <w:tcMar>
              <w:top w:w="70" w:type="dxa"/>
              <w:left w:w="90" w:type="dxa"/>
              <w:bottom w:w="70" w:type="dxa"/>
              <w:right w:w="90" w:type="dxa"/>
            </w:tcMar>
            <w:vAlign w:val="center"/>
          </w:tcPr>
          <w:p w14:paraId="579E9106" w14:textId="77777777" w:rsidR="006B19C9" w:rsidRPr="00287F6A" w:rsidRDefault="00000000">
            <w:pPr>
              <w:rPr>
                <w:rFonts w:ascii="Times New Roman" w:hAnsi="Times New Roman" w:cs="Times New Roman"/>
                <w:sz w:val="23"/>
                <w:szCs w:val="23"/>
              </w:rPr>
            </w:pPr>
            <w:r w:rsidRPr="00287F6A">
              <w:rPr>
                <w:rFonts w:ascii="Times New Roman" w:eastAsia="Consolas" w:hAnsi="Times New Roman" w:cs="Times New Roman"/>
                <w:color w:val="2A2A2A"/>
                <w:sz w:val="23"/>
                <w:szCs w:val="23"/>
              </w:rPr>
              <w:t>Luo et al. (2024)</w:t>
            </w:r>
          </w:p>
        </w:tc>
        <w:tc>
          <w:tcPr>
            <w:tcW w:w="2256" w:type="dxa"/>
            <w:shd w:val="clear" w:color="auto" w:fill="F5F2EC"/>
            <w:tcMar>
              <w:top w:w="70" w:type="dxa"/>
              <w:left w:w="90" w:type="dxa"/>
              <w:bottom w:w="70" w:type="dxa"/>
              <w:right w:w="90" w:type="dxa"/>
            </w:tcMar>
            <w:vAlign w:val="center"/>
          </w:tcPr>
          <w:p w14:paraId="792E7854" w14:textId="77777777" w:rsidR="006B19C9" w:rsidRPr="00287F6A" w:rsidRDefault="00000000">
            <w:pPr>
              <w:rPr>
                <w:rFonts w:ascii="Times New Roman" w:hAnsi="Times New Roman" w:cs="Times New Roman"/>
                <w:sz w:val="23"/>
                <w:szCs w:val="23"/>
              </w:rPr>
            </w:pPr>
            <w:r w:rsidRPr="00287F6A">
              <w:rPr>
                <w:rFonts w:ascii="Times New Roman" w:hAnsi="Times New Roman" w:cs="Times New Roman"/>
                <w:color w:val="2A2A2A"/>
                <w:sz w:val="23"/>
                <w:szCs w:val="23"/>
              </w:rPr>
              <w:t>Inaccurate short-term cold chain loading temperature prediction</w:t>
            </w:r>
          </w:p>
        </w:tc>
        <w:tc>
          <w:tcPr>
            <w:tcW w:w="2256" w:type="dxa"/>
            <w:shd w:val="clear" w:color="auto" w:fill="F5F2EC"/>
            <w:tcMar>
              <w:top w:w="70" w:type="dxa"/>
              <w:left w:w="90" w:type="dxa"/>
              <w:bottom w:w="70" w:type="dxa"/>
              <w:right w:w="90" w:type="dxa"/>
            </w:tcMar>
            <w:vAlign w:val="center"/>
          </w:tcPr>
          <w:p w14:paraId="06CB36F7" w14:textId="77777777" w:rsidR="006B19C9" w:rsidRPr="00287F6A" w:rsidRDefault="00000000">
            <w:pPr>
              <w:rPr>
                <w:rFonts w:ascii="Times New Roman" w:hAnsi="Times New Roman" w:cs="Times New Roman"/>
                <w:sz w:val="23"/>
                <w:szCs w:val="23"/>
              </w:rPr>
            </w:pPr>
            <w:r w:rsidRPr="00287F6A">
              <w:rPr>
                <w:rFonts w:ascii="Times New Roman" w:hAnsi="Times New Roman" w:cs="Times New Roman"/>
                <w:color w:val="2A2A2A"/>
                <w:sz w:val="23"/>
                <w:szCs w:val="23"/>
              </w:rPr>
              <w:t>K-medoids clustering + LSTM-</w:t>
            </w:r>
            <w:proofErr w:type="spellStart"/>
            <w:r w:rsidRPr="00287F6A">
              <w:rPr>
                <w:rFonts w:ascii="Times New Roman" w:hAnsi="Times New Roman" w:cs="Times New Roman"/>
                <w:color w:val="2A2A2A"/>
                <w:sz w:val="23"/>
                <w:szCs w:val="23"/>
              </w:rPr>
              <w:t>XGBoost</w:t>
            </w:r>
            <w:proofErr w:type="spellEnd"/>
            <w:r w:rsidRPr="00287F6A">
              <w:rPr>
                <w:rFonts w:ascii="Times New Roman" w:hAnsi="Times New Roman" w:cs="Times New Roman"/>
                <w:color w:val="2A2A2A"/>
                <w:sz w:val="23"/>
                <w:szCs w:val="23"/>
              </w:rPr>
              <w:t xml:space="preserve"> ensemble</w:t>
            </w:r>
          </w:p>
        </w:tc>
        <w:tc>
          <w:tcPr>
            <w:tcW w:w="1920" w:type="dxa"/>
            <w:shd w:val="clear" w:color="auto" w:fill="F5F2EC"/>
            <w:tcMar>
              <w:top w:w="70" w:type="dxa"/>
              <w:left w:w="90" w:type="dxa"/>
              <w:bottom w:w="70" w:type="dxa"/>
              <w:right w:w="90" w:type="dxa"/>
            </w:tcMar>
            <w:vAlign w:val="center"/>
          </w:tcPr>
          <w:p w14:paraId="3D084C5D" w14:textId="77777777" w:rsidR="006B19C9" w:rsidRPr="00287F6A" w:rsidRDefault="00000000">
            <w:pPr>
              <w:rPr>
                <w:rFonts w:ascii="Times New Roman" w:hAnsi="Times New Roman" w:cs="Times New Roman"/>
                <w:sz w:val="23"/>
                <w:szCs w:val="23"/>
              </w:rPr>
            </w:pPr>
            <w:r w:rsidRPr="00287F6A">
              <w:rPr>
                <w:rFonts w:ascii="Times New Roman" w:hAnsi="Times New Roman" w:cs="Times New Roman"/>
                <w:color w:val="2A2A2A"/>
                <w:sz w:val="23"/>
                <w:szCs w:val="23"/>
              </w:rPr>
              <w:t>Agricultural product loading-environment temperature dataset</w:t>
            </w:r>
          </w:p>
        </w:tc>
        <w:tc>
          <w:tcPr>
            <w:tcW w:w="2400" w:type="dxa"/>
            <w:shd w:val="clear" w:color="auto" w:fill="F5F2EC"/>
            <w:tcMar>
              <w:top w:w="70" w:type="dxa"/>
              <w:left w:w="90" w:type="dxa"/>
              <w:bottom w:w="70" w:type="dxa"/>
              <w:right w:w="90" w:type="dxa"/>
            </w:tcMar>
            <w:vAlign w:val="center"/>
          </w:tcPr>
          <w:p w14:paraId="02667331" w14:textId="77777777" w:rsidR="006B19C9" w:rsidRPr="00287F6A" w:rsidRDefault="00000000">
            <w:pPr>
              <w:rPr>
                <w:rFonts w:ascii="Times New Roman" w:hAnsi="Times New Roman" w:cs="Times New Roman"/>
                <w:sz w:val="23"/>
                <w:szCs w:val="23"/>
              </w:rPr>
            </w:pPr>
            <w:r w:rsidRPr="00287F6A">
              <w:rPr>
                <w:rFonts w:ascii="Times New Roman" w:hAnsi="Times New Roman" w:cs="Times New Roman"/>
                <w:color w:val="2A2A2A"/>
                <w:sz w:val="23"/>
                <w:szCs w:val="23"/>
              </w:rPr>
              <w:t>MAE 2.5343; outperforms individual &amp; other ensemble models</w:t>
            </w:r>
          </w:p>
        </w:tc>
        <w:tc>
          <w:tcPr>
            <w:tcW w:w="2016" w:type="dxa"/>
            <w:shd w:val="clear" w:color="auto" w:fill="F5F2EC"/>
            <w:tcMar>
              <w:top w:w="70" w:type="dxa"/>
              <w:left w:w="90" w:type="dxa"/>
              <w:bottom w:w="70" w:type="dxa"/>
              <w:right w:w="90" w:type="dxa"/>
            </w:tcMar>
            <w:vAlign w:val="center"/>
          </w:tcPr>
          <w:p w14:paraId="2F5DC564" w14:textId="77777777" w:rsidR="006B19C9" w:rsidRPr="00287F6A" w:rsidRDefault="00000000">
            <w:pPr>
              <w:rPr>
                <w:rFonts w:ascii="Times New Roman" w:hAnsi="Times New Roman" w:cs="Times New Roman"/>
                <w:sz w:val="23"/>
                <w:szCs w:val="23"/>
              </w:rPr>
            </w:pPr>
            <w:r w:rsidRPr="00287F6A">
              <w:rPr>
                <w:rFonts w:ascii="Times New Roman" w:hAnsi="Times New Roman" w:cs="Times New Roman"/>
                <w:color w:val="2A2A2A"/>
                <w:sz w:val="23"/>
                <w:szCs w:val="23"/>
              </w:rPr>
              <w:t>Focused on loading phase only, not full transit</w:t>
            </w:r>
          </w:p>
        </w:tc>
        <w:tc>
          <w:tcPr>
            <w:tcW w:w="1968" w:type="dxa"/>
            <w:shd w:val="clear" w:color="auto" w:fill="F5F2EC"/>
            <w:tcMar>
              <w:top w:w="70" w:type="dxa"/>
              <w:left w:w="90" w:type="dxa"/>
              <w:bottom w:w="70" w:type="dxa"/>
              <w:right w:w="90" w:type="dxa"/>
            </w:tcMar>
            <w:vAlign w:val="center"/>
          </w:tcPr>
          <w:p w14:paraId="3B6A55B6" w14:textId="77777777" w:rsidR="006B19C9" w:rsidRPr="00287F6A" w:rsidRDefault="00000000">
            <w:pPr>
              <w:rPr>
                <w:rFonts w:ascii="Times New Roman" w:hAnsi="Times New Roman" w:cs="Times New Roman"/>
                <w:sz w:val="23"/>
                <w:szCs w:val="23"/>
              </w:rPr>
            </w:pPr>
            <w:r w:rsidRPr="00287F6A">
              <w:rPr>
                <w:rFonts w:ascii="Times New Roman" w:hAnsi="Times New Roman" w:cs="Times New Roman"/>
                <w:color w:val="2A2A2A"/>
                <w:sz w:val="23"/>
                <w:szCs w:val="23"/>
              </w:rPr>
              <w:t>No integration with route or failure-prediction models</w:t>
            </w:r>
          </w:p>
        </w:tc>
      </w:tr>
      <w:tr w:rsidR="006B19C9" w:rsidRPr="00287F6A" w14:paraId="1842B8E6" w14:textId="77777777">
        <w:tblPrEx>
          <w:tblCellMar>
            <w:top w:w="0" w:type="dxa"/>
            <w:bottom w:w="0" w:type="dxa"/>
          </w:tblCellMar>
        </w:tblPrEx>
        <w:tc>
          <w:tcPr>
            <w:tcW w:w="1584" w:type="dxa"/>
            <w:shd w:val="clear" w:color="auto" w:fill="FFFFFF"/>
            <w:tcMar>
              <w:top w:w="70" w:type="dxa"/>
              <w:left w:w="90" w:type="dxa"/>
              <w:bottom w:w="70" w:type="dxa"/>
              <w:right w:w="90" w:type="dxa"/>
            </w:tcMar>
            <w:vAlign w:val="center"/>
          </w:tcPr>
          <w:p w14:paraId="7FFB6468" w14:textId="77777777" w:rsidR="006B19C9" w:rsidRPr="00287F6A" w:rsidRDefault="00000000">
            <w:pPr>
              <w:rPr>
                <w:rFonts w:ascii="Times New Roman" w:hAnsi="Times New Roman" w:cs="Times New Roman"/>
                <w:sz w:val="23"/>
                <w:szCs w:val="23"/>
              </w:rPr>
            </w:pPr>
            <w:r w:rsidRPr="00287F6A">
              <w:rPr>
                <w:rFonts w:ascii="Times New Roman" w:eastAsia="Consolas" w:hAnsi="Times New Roman" w:cs="Times New Roman"/>
                <w:color w:val="2A2A2A"/>
                <w:sz w:val="23"/>
                <w:szCs w:val="23"/>
              </w:rPr>
              <w:t>Aminzadeh et al. (2025)</w:t>
            </w:r>
          </w:p>
        </w:tc>
        <w:tc>
          <w:tcPr>
            <w:tcW w:w="2256" w:type="dxa"/>
            <w:shd w:val="clear" w:color="auto" w:fill="FFFFFF"/>
            <w:tcMar>
              <w:top w:w="70" w:type="dxa"/>
              <w:left w:w="90" w:type="dxa"/>
              <w:bottom w:w="70" w:type="dxa"/>
              <w:right w:w="90" w:type="dxa"/>
            </w:tcMar>
            <w:vAlign w:val="center"/>
          </w:tcPr>
          <w:p w14:paraId="6A47D4B4" w14:textId="77777777" w:rsidR="006B19C9" w:rsidRPr="00287F6A" w:rsidRDefault="00000000">
            <w:pPr>
              <w:rPr>
                <w:rFonts w:ascii="Times New Roman" w:hAnsi="Times New Roman" w:cs="Times New Roman"/>
                <w:sz w:val="23"/>
                <w:szCs w:val="23"/>
              </w:rPr>
            </w:pPr>
            <w:r w:rsidRPr="00287F6A">
              <w:rPr>
                <w:rFonts w:ascii="Times New Roman" w:hAnsi="Times New Roman" w:cs="Times New Roman"/>
                <w:color w:val="2A2A2A"/>
                <w:sz w:val="23"/>
                <w:szCs w:val="23"/>
              </w:rPr>
              <w:t>Reactive maintenance causes unplanned compressor downtime</w:t>
            </w:r>
          </w:p>
        </w:tc>
        <w:tc>
          <w:tcPr>
            <w:tcW w:w="2256" w:type="dxa"/>
            <w:shd w:val="clear" w:color="auto" w:fill="FFFFFF"/>
            <w:tcMar>
              <w:top w:w="70" w:type="dxa"/>
              <w:left w:w="90" w:type="dxa"/>
              <w:bottom w:w="70" w:type="dxa"/>
              <w:right w:w="90" w:type="dxa"/>
            </w:tcMar>
            <w:vAlign w:val="center"/>
          </w:tcPr>
          <w:p w14:paraId="60B7DF05" w14:textId="77777777" w:rsidR="006B19C9" w:rsidRPr="00287F6A" w:rsidRDefault="00000000">
            <w:pPr>
              <w:rPr>
                <w:rFonts w:ascii="Times New Roman" w:hAnsi="Times New Roman" w:cs="Times New Roman"/>
                <w:sz w:val="23"/>
                <w:szCs w:val="23"/>
              </w:rPr>
            </w:pPr>
            <w:r w:rsidRPr="00287F6A">
              <w:rPr>
                <w:rFonts w:ascii="Times New Roman" w:hAnsi="Times New Roman" w:cs="Times New Roman"/>
                <w:color w:val="2A2A2A"/>
                <w:sz w:val="23"/>
                <w:szCs w:val="23"/>
              </w:rPr>
              <w:t>IoT sensor fusion + Linear Regression + SQL pipeline</w:t>
            </w:r>
          </w:p>
        </w:tc>
        <w:tc>
          <w:tcPr>
            <w:tcW w:w="1920" w:type="dxa"/>
            <w:shd w:val="clear" w:color="auto" w:fill="FFFFFF"/>
            <w:tcMar>
              <w:top w:w="70" w:type="dxa"/>
              <w:left w:w="90" w:type="dxa"/>
              <w:bottom w:w="70" w:type="dxa"/>
              <w:right w:w="90" w:type="dxa"/>
            </w:tcMar>
            <w:vAlign w:val="center"/>
          </w:tcPr>
          <w:p w14:paraId="08F3B6A9" w14:textId="77777777" w:rsidR="006B19C9" w:rsidRPr="00287F6A" w:rsidRDefault="00000000">
            <w:pPr>
              <w:rPr>
                <w:rFonts w:ascii="Times New Roman" w:hAnsi="Times New Roman" w:cs="Times New Roman"/>
                <w:sz w:val="23"/>
                <w:szCs w:val="23"/>
              </w:rPr>
            </w:pPr>
            <w:r w:rsidRPr="00287F6A">
              <w:rPr>
                <w:rFonts w:ascii="Times New Roman" w:hAnsi="Times New Roman" w:cs="Times New Roman"/>
                <w:color w:val="2A2A2A"/>
                <w:sz w:val="23"/>
                <w:szCs w:val="23"/>
              </w:rPr>
              <w:t>Temperature, pressure, flow-rate sensor data; industrial compressor</w:t>
            </w:r>
          </w:p>
        </w:tc>
        <w:tc>
          <w:tcPr>
            <w:tcW w:w="2400" w:type="dxa"/>
            <w:shd w:val="clear" w:color="auto" w:fill="FFFFFF"/>
            <w:tcMar>
              <w:top w:w="70" w:type="dxa"/>
              <w:left w:w="90" w:type="dxa"/>
              <w:bottom w:w="70" w:type="dxa"/>
              <w:right w:w="90" w:type="dxa"/>
            </w:tcMar>
            <w:vAlign w:val="center"/>
          </w:tcPr>
          <w:p w14:paraId="08B31DD5" w14:textId="77777777" w:rsidR="006B19C9" w:rsidRPr="00287F6A" w:rsidRDefault="00000000">
            <w:pPr>
              <w:rPr>
                <w:rFonts w:ascii="Times New Roman" w:hAnsi="Times New Roman" w:cs="Times New Roman"/>
                <w:sz w:val="23"/>
                <w:szCs w:val="23"/>
              </w:rPr>
            </w:pPr>
            <w:r w:rsidRPr="00287F6A">
              <w:rPr>
                <w:rFonts w:ascii="Times New Roman" w:hAnsi="Times New Roman" w:cs="Times New Roman"/>
                <w:color w:val="2A2A2A"/>
                <w:sz w:val="23"/>
                <w:szCs w:val="23"/>
              </w:rPr>
              <w:t>98% accuracy (MSE); automated threshold-based alerting</w:t>
            </w:r>
          </w:p>
        </w:tc>
        <w:tc>
          <w:tcPr>
            <w:tcW w:w="2016" w:type="dxa"/>
            <w:shd w:val="clear" w:color="auto" w:fill="FFFFFF"/>
            <w:tcMar>
              <w:top w:w="70" w:type="dxa"/>
              <w:left w:w="90" w:type="dxa"/>
              <w:bottom w:w="70" w:type="dxa"/>
              <w:right w:w="90" w:type="dxa"/>
            </w:tcMar>
            <w:vAlign w:val="center"/>
          </w:tcPr>
          <w:p w14:paraId="5A8C1CD7" w14:textId="77777777" w:rsidR="006B19C9" w:rsidRPr="00287F6A" w:rsidRDefault="00000000">
            <w:pPr>
              <w:rPr>
                <w:rFonts w:ascii="Times New Roman" w:hAnsi="Times New Roman" w:cs="Times New Roman"/>
                <w:sz w:val="23"/>
                <w:szCs w:val="23"/>
              </w:rPr>
            </w:pPr>
            <w:r w:rsidRPr="00287F6A">
              <w:rPr>
                <w:rFonts w:ascii="Times New Roman" w:hAnsi="Times New Roman" w:cs="Times New Roman"/>
                <w:color w:val="2A2A2A"/>
                <w:sz w:val="23"/>
                <w:szCs w:val="23"/>
              </w:rPr>
              <w:t>Simple model may not capture complex nonlinear faults</w:t>
            </w:r>
          </w:p>
        </w:tc>
        <w:tc>
          <w:tcPr>
            <w:tcW w:w="1968" w:type="dxa"/>
            <w:shd w:val="clear" w:color="auto" w:fill="FFFFFF"/>
            <w:tcMar>
              <w:top w:w="70" w:type="dxa"/>
              <w:left w:w="90" w:type="dxa"/>
              <w:bottom w:w="70" w:type="dxa"/>
              <w:right w:w="90" w:type="dxa"/>
            </w:tcMar>
            <w:vAlign w:val="center"/>
          </w:tcPr>
          <w:p w14:paraId="4C3B413E" w14:textId="77777777" w:rsidR="006B19C9" w:rsidRPr="00287F6A" w:rsidRDefault="00000000">
            <w:pPr>
              <w:rPr>
                <w:rFonts w:ascii="Times New Roman" w:hAnsi="Times New Roman" w:cs="Times New Roman"/>
                <w:sz w:val="23"/>
                <w:szCs w:val="23"/>
              </w:rPr>
            </w:pPr>
            <w:r w:rsidRPr="00287F6A">
              <w:rPr>
                <w:rFonts w:ascii="Times New Roman" w:hAnsi="Times New Roman" w:cs="Times New Roman"/>
                <w:color w:val="2A2A2A"/>
                <w:sz w:val="23"/>
                <w:szCs w:val="23"/>
              </w:rPr>
              <w:t>No comparison against deep learning failure-prediction models</w:t>
            </w:r>
          </w:p>
        </w:tc>
      </w:tr>
      <w:tr w:rsidR="006B19C9" w:rsidRPr="00287F6A" w14:paraId="2CC9B285" w14:textId="77777777">
        <w:tblPrEx>
          <w:tblCellMar>
            <w:top w:w="0" w:type="dxa"/>
            <w:bottom w:w="0" w:type="dxa"/>
          </w:tblCellMar>
        </w:tblPrEx>
        <w:tc>
          <w:tcPr>
            <w:tcW w:w="1584" w:type="dxa"/>
            <w:shd w:val="clear" w:color="auto" w:fill="F5F2EC"/>
            <w:tcMar>
              <w:top w:w="70" w:type="dxa"/>
              <w:left w:w="90" w:type="dxa"/>
              <w:bottom w:w="70" w:type="dxa"/>
              <w:right w:w="90" w:type="dxa"/>
            </w:tcMar>
            <w:vAlign w:val="center"/>
          </w:tcPr>
          <w:p w14:paraId="52BC0D12" w14:textId="77777777" w:rsidR="006B19C9" w:rsidRPr="00287F6A" w:rsidRDefault="00000000">
            <w:pPr>
              <w:rPr>
                <w:rFonts w:ascii="Times New Roman" w:hAnsi="Times New Roman" w:cs="Times New Roman"/>
                <w:sz w:val="23"/>
                <w:szCs w:val="23"/>
              </w:rPr>
            </w:pPr>
            <w:r w:rsidRPr="00287F6A">
              <w:rPr>
                <w:rFonts w:ascii="Times New Roman" w:eastAsia="Consolas" w:hAnsi="Times New Roman" w:cs="Times New Roman"/>
                <w:color w:val="2A2A2A"/>
                <w:sz w:val="23"/>
                <w:szCs w:val="23"/>
              </w:rPr>
              <w:t>Shi et al. (2025)</w:t>
            </w:r>
          </w:p>
        </w:tc>
        <w:tc>
          <w:tcPr>
            <w:tcW w:w="2256" w:type="dxa"/>
            <w:shd w:val="clear" w:color="auto" w:fill="F5F2EC"/>
            <w:tcMar>
              <w:top w:w="70" w:type="dxa"/>
              <w:left w:w="90" w:type="dxa"/>
              <w:bottom w:w="70" w:type="dxa"/>
              <w:right w:w="90" w:type="dxa"/>
            </w:tcMar>
            <w:vAlign w:val="center"/>
          </w:tcPr>
          <w:p w14:paraId="134E4A40" w14:textId="77777777" w:rsidR="006B19C9" w:rsidRPr="00287F6A" w:rsidRDefault="00000000">
            <w:pPr>
              <w:rPr>
                <w:rFonts w:ascii="Times New Roman" w:hAnsi="Times New Roman" w:cs="Times New Roman"/>
                <w:sz w:val="23"/>
                <w:szCs w:val="23"/>
              </w:rPr>
            </w:pPr>
            <w:r w:rsidRPr="00287F6A">
              <w:rPr>
                <w:rFonts w:ascii="Times New Roman" w:hAnsi="Times New Roman" w:cs="Times New Roman"/>
                <w:color w:val="2A2A2A"/>
                <w:sz w:val="23"/>
                <w:szCs w:val="23"/>
              </w:rPr>
              <w:t>Joint distribution routing ignores traffic uncertainty</w:t>
            </w:r>
          </w:p>
        </w:tc>
        <w:tc>
          <w:tcPr>
            <w:tcW w:w="2256" w:type="dxa"/>
            <w:shd w:val="clear" w:color="auto" w:fill="F5F2EC"/>
            <w:tcMar>
              <w:top w:w="70" w:type="dxa"/>
              <w:left w:w="90" w:type="dxa"/>
              <w:bottom w:w="70" w:type="dxa"/>
              <w:right w:w="90" w:type="dxa"/>
            </w:tcMar>
            <w:vAlign w:val="center"/>
          </w:tcPr>
          <w:p w14:paraId="3D834381" w14:textId="77777777" w:rsidR="006B19C9" w:rsidRPr="00287F6A" w:rsidRDefault="00000000">
            <w:pPr>
              <w:rPr>
                <w:rFonts w:ascii="Times New Roman" w:hAnsi="Times New Roman" w:cs="Times New Roman"/>
                <w:sz w:val="23"/>
                <w:szCs w:val="23"/>
              </w:rPr>
            </w:pPr>
            <w:r w:rsidRPr="00287F6A">
              <w:rPr>
                <w:rFonts w:ascii="Times New Roman" w:hAnsi="Times New Roman" w:cs="Times New Roman"/>
                <w:color w:val="2A2A2A"/>
                <w:sz w:val="23"/>
                <w:szCs w:val="23"/>
              </w:rPr>
              <w:t>Genetic algorithm + simulated annealing + entropy mechanism</w:t>
            </w:r>
          </w:p>
        </w:tc>
        <w:tc>
          <w:tcPr>
            <w:tcW w:w="1920" w:type="dxa"/>
            <w:shd w:val="clear" w:color="auto" w:fill="F5F2EC"/>
            <w:tcMar>
              <w:top w:w="70" w:type="dxa"/>
              <w:left w:w="90" w:type="dxa"/>
              <w:bottom w:w="70" w:type="dxa"/>
              <w:right w:w="90" w:type="dxa"/>
            </w:tcMar>
            <w:vAlign w:val="center"/>
          </w:tcPr>
          <w:p w14:paraId="6FC185ED" w14:textId="77777777" w:rsidR="006B19C9" w:rsidRPr="00287F6A" w:rsidRDefault="00000000">
            <w:pPr>
              <w:rPr>
                <w:rFonts w:ascii="Times New Roman" w:hAnsi="Times New Roman" w:cs="Times New Roman"/>
                <w:sz w:val="23"/>
                <w:szCs w:val="23"/>
              </w:rPr>
            </w:pPr>
            <w:r w:rsidRPr="00287F6A">
              <w:rPr>
                <w:rFonts w:ascii="Times New Roman" w:hAnsi="Times New Roman" w:cs="Times New Roman"/>
                <w:color w:val="2A2A2A"/>
                <w:sz w:val="23"/>
                <w:szCs w:val="23"/>
              </w:rPr>
              <w:t>Real operational data, 3 cold chain firms, Beijing</w:t>
            </w:r>
          </w:p>
        </w:tc>
        <w:tc>
          <w:tcPr>
            <w:tcW w:w="2400" w:type="dxa"/>
            <w:shd w:val="clear" w:color="auto" w:fill="F5F2EC"/>
            <w:tcMar>
              <w:top w:w="70" w:type="dxa"/>
              <w:left w:w="90" w:type="dxa"/>
              <w:bottom w:w="70" w:type="dxa"/>
              <w:right w:w="90" w:type="dxa"/>
            </w:tcMar>
            <w:vAlign w:val="center"/>
          </w:tcPr>
          <w:p w14:paraId="6E3BBBAC" w14:textId="77777777" w:rsidR="006B19C9" w:rsidRPr="00287F6A" w:rsidRDefault="00000000">
            <w:pPr>
              <w:rPr>
                <w:rFonts w:ascii="Times New Roman" w:hAnsi="Times New Roman" w:cs="Times New Roman"/>
                <w:sz w:val="23"/>
                <w:szCs w:val="23"/>
              </w:rPr>
            </w:pPr>
            <w:r w:rsidRPr="00287F6A">
              <w:rPr>
                <w:rFonts w:ascii="Times New Roman" w:hAnsi="Times New Roman" w:cs="Times New Roman"/>
                <w:color w:val="2A2A2A"/>
                <w:sz w:val="23"/>
                <w:szCs w:val="23"/>
              </w:rPr>
              <w:t>18.3% cost cut; 15.8% carbon cut; 12.5% fleet cut</w:t>
            </w:r>
          </w:p>
        </w:tc>
        <w:tc>
          <w:tcPr>
            <w:tcW w:w="2016" w:type="dxa"/>
            <w:shd w:val="clear" w:color="auto" w:fill="F5F2EC"/>
            <w:tcMar>
              <w:top w:w="70" w:type="dxa"/>
              <w:left w:w="90" w:type="dxa"/>
              <w:bottom w:w="70" w:type="dxa"/>
              <w:right w:w="90" w:type="dxa"/>
            </w:tcMar>
            <w:vAlign w:val="center"/>
          </w:tcPr>
          <w:p w14:paraId="049BA8F4" w14:textId="77777777" w:rsidR="006B19C9" w:rsidRPr="00287F6A" w:rsidRDefault="00000000">
            <w:pPr>
              <w:rPr>
                <w:rFonts w:ascii="Times New Roman" w:hAnsi="Times New Roman" w:cs="Times New Roman"/>
                <w:sz w:val="23"/>
                <w:szCs w:val="23"/>
              </w:rPr>
            </w:pPr>
            <w:r w:rsidRPr="00287F6A">
              <w:rPr>
                <w:rFonts w:ascii="Times New Roman" w:hAnsi="Times New Roman" w:cs="Times New Roman"/>
                <w:color w:val="2A2A2A"/>
                <w:sz w:val="23"/>
                <w:szCs w:val="23"/>
              </w:rPr>
              <w:t>City-specific validation; heuristic, not guaranteed optimal</w:t>
            </w:r>
          </w:p>
        </w:tc>
        <w:tc>
          <w:tcPr>
            <w:tcW w:w="1968" w:type="dxa"/>
            <w:shd w:val="clear" w:color="auto" w:fill="F5F2EC"/>
            <w:tcMar>
              <w:top w:w="70" w:type="dxa"/>
              <w:left w:w="90" w:type="dxa"/>
              <w:bottom w:w="70" w:type="dxa"/>
              <w:right w:w="90" w:type="dxa"/>
            </w:tcMar>
            <w:vAlign w:val="center"/>
          </w:tcPr>
          <w:p w14:paraId="62AD48AB" w14:textId="77777777" w:rsidR="006B19C9" w:rsidRPr="00287F6A" w:rsidRDefault="00000000">
            <w:pPr>
              <w:rPr>
                <w:rFonts w:ascii="Times New Roman" w:hAnsi="Times New Roman" w:cs="Times New Roman"/>
                <w:sz w:val="23"/>
                <w:szCs w:val="23"/>
              </w:rPr>
            </w:pPr>
            <w:r w:rsidRPr="00287F6A">
              <w:rPr>
                <w:rFonts w:ascii="Times New Roman" w:hAnsi="Times New Roman" w:cs="Times New Roman"/>
                <w:color w:val="2A2A2A"/>
                <w:sz w:val="23"/>
                <w:szCs w:val="23"/>
              </w:rPr>
              <w:t>No coupling with real-time sensor/failure data during routing</w:t>
            </w:r>
          </w:p>
        </w:tc>
      </w:tr>
      <w:tr w:rsidR="006B19C9" w:rsidRPr="00287F6A" w14:paraId="5A3F5132" w14:textId="77777777">
        <w:tblPrEx>
          <w:tblCellMar>
            <w:top w:w="0" w:type="dxa"/>
            <w:bottom w:w="0" w:type="dxa"/>
          </w:tblCellMar>
        </w:tblPrEx>
        <w:tc>
          <w:tcPr>
            <w:tcW w:w="1584" w:type="dxa"/>
            <w:shd w:val="clear" w:color="auto" w:fill="FFFFFF"/>
            <w:tcMar>
              <w:top w:w="70" w:type="dxa"/>
              <w:left w:w="90" w:type="dxa"/>
              <w:bottom w:w="70" w:type="dxa"/>
              <w:right w:w="90" w:type="dxa"/>
            </w:tcMar>
            <w:vAlign w:val="center"/>
          </w:tcPr>
          <w:p w14:paraId="50D26F75" w14:textId="77777777" w:rsidR="006B19C9" w:rsidRPr="00287F6A" w:rsidRDefault="00000000">
            <w:pPr>
              <w:rPr>
                <w:rFonts w:ascii="Times New Roman" w:hAnsi="Times New Roman" w:cs="Times New Roman"/>
                <w:sz w:val="23"/>
                <w:szCs w:val="23"/>
              </w:rPr>
            </w:pPr>
            <w:r w:rsidRPr="00287F6A">
              <w:rPr>
                <w:rFonts w:ascii="Times New Roman" w:eastAsia="Consolas" w:hAnsi="Times New Roman" w:cs="Times New Roman"/>
                <w:color w:val="2A2A2A"/>
                <w:sz w:val="23"/>
                <w:szCs w:val="23"/>
              </w:rPr>
              <w:t>Qin et al. (2019)</w:t>
            </w:r>
          </w:p>
        </w:tc>
        <w:tc>
          <w:tcPr>
            <w:tcW w:w="2256" w:type="dxa"/>
            <w:shd w:val="clear" w:color="auto" w:fill="FFFFFF"/>
            <w:tcMar>
              <w:top w:w="70" w:type="dxa"/>
              <w:left w:w="90" w:type="dxa"/>
              <w:bottom w:w="70" w:type="dxa"/>
              <w:right w:w="90" w:type="dxa"/>
            </w:tcMar>
            <w:vAlign w:val="center"/>
          </w:tcPr>
          <w:p w14:paraId="340ABEDC" w14:textId="77777777" w:rsidR="006B19C9" w:rsidRPr="00287F6A" w:rsidRDefault="00000000">
            <w:pPr>
              <w:rPr>
                <w:rFonts w:ascii="Times New Roman" w:hAnsi="Times New Roman" w:cs="Times New Roman"/>
                <w:sz w:val="23"/>
                <w:szCs w:val="23"/>
              </w:rPr>
            </w:pPr>
            <w:r w:rsidRPr="00287F6A">
              <w:rPr>
                <w:rFonts w:ascii="Times New Roman" w:hAnsi="Times New Roman" w:cs="Times New Roman"/>
                <w:color w:val="2A2A2A"/>
                <w:sz w:val="23"/>
                <w:szCs w:val="23"/>
              </w:rPr>
              <w:t>Cost-only routing ignores satisfaction &amp; carbon trade-offs</w:t>
            </w:r>
          </w:p>
        </w:tc>
        <w:tc>
          <w:tcPr>
            <w:tcW w:w="2256" w:type="dxa"/>
            <w:shd w:val="clear" w:color="auto" w:fill="FFFFFF"/>
            <w:tcMar>
              <w:top w:w="70" w:type="dxa"/>
              <w:left w:w="90" w:type="dxa"/>
              <w:bottom w:w="70" w:type="dxa"/>
              <w:right w:w="90" w:type="dxa"/>
            </w:tcMar>
            <w:vAlign w:val="center"/>
          </w:tcPr>
          <w:p w14:paraId="1B48D238" w14:textId="77777777" w:rsidR="006B19C9" w:rsidRPr="00287F6A" w:rsidRDefault="00000000">
            <w:pPr>
              <w:rPr>
                <w:rFonts w:ascii="Times New Roman" w:hAnsi="Times New Roman" w:cs="Times New Roman"/>
                <w:sz w:val="23"/>
                <w:szCs w:val="23"/>
              </w:rPr>
            </w:pPr>
            <w:r w:rsidRPr="00287F6A">
              <w:rPr>
                <w:rFonts w:ascii="Times New Roman" w:hAnsi="Times New Roman" w:cs="Times New Roman"/>
                <w:color w:val="2A2A2A"/>
                <w:sz w:val="23"/>
                <w:szCs w:val="23"/>
              </w:rPr>
              <w:t>Cycle evolutionary genetic algorithm; cost-per-satisfied-customer objective</w:t>
            </w:r>
          </w:p>
        </w:tc>
        <w:tc>
          <w:tcPr>
            <w:tcW w:w="1920" w:type="dxa"/>
            <w:shd w:val="clear" w:color="auto" w:fill="FFFFFF"/>
            <w:tcMar>
              <w:top w:w="70" w:type="dxa"/>
              <w:left w:w="90" w:type="dxa"/>
              <w:bottom w:w="70" w:type="dxa"/>
              <w:right w:w="90" w:type="dxa"/>
            </w:tcMar>
            <w:vAlign w:val="center"/>
          </w:tcPr>
          <w:p w14:paraId="53B56F15" w14:textId="77777777" w:rsidR="006B19C9" w:rsidRPr="00287F6A" w:rsidRDefault="00000000">
            <w:pPr>
              <w:rPr>
                <w:rFonts w:ascii="Times New Roman" w:hAnsi="Times New Roman" w:cs="Times New Roman"/>
                <w:sz w:val="23"/>
                <w:szCs w:val="23"/>
              </w:rPr>
            </w:pPr>
            <w:r w:rsidRPr="00287F6A">
              <w:rPr>
                <w:rFonts w:ascii="Times New Roman" w:hAnsi="Times New Roman" w:cs="Times New Roman"/>
                <w:color w:val="2A2A2A"/>
                <w:sz w:val="23"/>
                <w:szCs w:val="23"/>
              </w:rPr>
              <w:t>Real case data from a cold chain transport company</w:t>
            </w:r>
          </w:p>
        </w:tc>
        <w:tc>
          <w:tcPr>
            <w:tcW w:w="2400" w:type="dxa"/>
            <w:shd w:val="clear" w:color="auto" w:fill="FFFFFF"/>
            <w:tcMar>
              <w:top w:w="70" w:type="dxa"/>
              <w:left w:w="90" w:type="dxa"/>
              <w:bottom w:w="70" w:type="dxa"/>
              <w:right w:w="90" w:type="dxa"/>
            </w:tcMar>
            <w:vAlign w:val="center"/>
          </w:tcPr>
          <w:p w14:paraId="72735011" w14:textId="77777777" w:rsidR="006B19C9" w:rsidRPr="00287F6A" w:rsidRDefault="00000000">
            <w:pPr>
              <w:rPr>
                <w:rFonts w:ascii="Times New Roman" w:hAnsi="Times New Roman" w:cs="Times New Roman"/>
                <w:sz w:val="23"/>
                <w:szCs w:val="23"/>
              </w:rPr>
            </w:pPr>
            <w:r w:rsidRPr="00287F6A">
              <w:rPr>
                <w:rFonts w:ascii="Times New Roman" w:hAnsi="Times New Roman" w:cs="Times New Roman"/>
                <w:color w:val="2A2A2A"/>
                <w:sz w:val="23"/>
                <w:szCs w:val="23"/>
              </w:rPr>
              <w:t>Small cost rise sharply improves satisfaction; carbon price trade-off quantified</w:t>
            </w:r>
          </w:p>
        </w:tc>
        <w:tc>
          <w:tcPr>
            <w:tcW w:w="2016" w:type="dxa"/>
            <w:shd w:val="clear" w:color="auto" w:fill="FFFFFF"/>
            <w:tcMar>
              <w:top w:w="70" w:type="dxa"/>
              <w:left w:w="90" w:type="dxa"/>
              <w:bottom w:w="70" w:type="dxa"/>
              <w:right w:w="90" w:type="dxa"/>
            </w:tcMar>
            <w:vAlign w:val="center"/>
          </w:tcPr>
          <w:p w14:paraId="4CD39B67" w14:textId="77777777" w:rsidR="006B19C9" w:rsidRPr="00287F6A" w:rsidRDefault="00000000">
            <w:pPr>
              <w:rPr>
                <w:rFonts w:ascii="Times New Roman" w:hAnsi="Times New Roman" w:cs="Times New Roman"/>
                <w:sz w:val="23"/>
                <w:szCs w:val="23"/>
              </w:rPr>
            </w:pPr>
            <w:r w:rsidRPr="00287F6A">
              <w:rPr>
                <w:rFonts w:ascii="Times New Roman" w:hAnsi="Times New Roman" w:cs="Times New Roman"/>
                <w:color w:val="2A2A2A"/>
                <w:sz w:val="23"/>
                <w:szCs w:val="23"/>
              </w:rPr>
              <w:t>Static demand; does not model dynamic/unknown orders</w:t>
            </w:r>
          </w:p>
        </w:tc>
        <w:tc>
          <w:tcPr>
            <w:tcW w:w="1968" w:type="dxa"/>
            <w:shd w:val="clear" w:color="auto" w:fill="FFFFFF"/>
            <w:tcMar>
              <w:top w:w="70" w:type="dxa"/>
              <w:left w:w="90" w:type="dxa"/>
              <w:bottom w:w="70" w:type="dxa"/>
              <w:right w:w="90" w:type="dxa"/>
            </w:tcMar>
            <w:vAlign w:val="center"/>
          </w:tcPr>
          <w:p w14:paraId="6CFDA8BD" w14:textId="77777777" w:rsidR="006B19C9" w:rsidRPr="00287F6A" w:rsidRDefault="00000000">
            <w:pPr>
              <w:rPr>
                <w:rFonts w:ascii="Times New Roman" w:hAnsi="Times New Roman" w:cs="Times New Roman"/>
                <w:sz w:val="23"/>
                <w:szCs w:val="23"/>
              </w:rPr>
            </w:pPr>
            <w:r w:rsidRPr="00287F6A">
              <w:rPr>
                <w:rFonts w:ascii="Times New Roman" w:hAnsi="Times New Roman" w:cs="Times New Roman"/>
                <w:color w:val="2A2A2A"/>
                <w:sz w:val="23"/>
                <w:szCs w:val="23"/>
              </w:rPr>
              <w:t>No mechanism for real-time re-routing under changing conditions</w:t>
            </w:r>
          </w:p>
        </w:tc>
      </w:tr>
      <w:tr w:rsidR="006B19C9" w:rsidRPr="00287F6A" w14:paraId="24FEFFA3" w14:textId="77777777">
        <w:tblPrEx>
          <w:tblCellMar>
            <w:top w:w="0" w:type="dxa"/>
            <w:bottom w:w="0" w:type="dxa"/>
          </w:tblCellMar>
        </w:tblPrEx>
        <w:tc>
          <w:tcPr>
            <w:tcW w:w="1584" w:type="dxa"/>
            <w:shd w:val="clear" w:color="auto" w:fill="F5F2EC"/>
            <w:tcMar>
              <w:top w:w="70" w:type="dxa"/>
              <w:left w:w="90" w:type="dxa"/>
              <w:bottom w:w="70" w:type="dxa"/>
              <w:right w:w="90" w:type="dxa"/>
            </w:tcMar>
            <w:vAlign w:val="center"/>
          </w:tcPr>
          <w:p w14:paraId="4A1AD2CA" w14:textId="77777777" w:rsidR="006B19C9" w:rsidRPr="00287F6A" w:rsidRDefault="00000000">
            <w:pPr>
              <w:rPr>
                <w:rFonts w:ascii="Times New Roman" w:hAnsi="Times New Roman" w:cs="Times New Roman"/>
                <w:sz w:val="23"/>
                <w:szCs w:val="23"/>
              </w:rPr>
            </w:pPr>
            <w:r w:rsidRPr="00287F6A">
              <w:rPr>
                <w:rFonts w:ascii="Times New Roman" w:eastAsia="Consolas" w:hAnsi="Times New Roman" w:cs="Times New Roman"/>
                <w:color w:val="2A2A2A"/>
                <w:sz w:val="23"/>
                <w:szCs w:val="23"/>
              </w:rPr>
              <w:t>Villegas-Ch et al. (2025)</w:t>
            </w:r>
          </w:p>
        </w:tc>
        <w:tc>
          <w:tcPr>
            <w:tcW w:w="2256" w:type="dxa"/>
            <w:shd w:val="clear" w:color="auto" w:fill="F5F2EC"/>
            <w:tcMar>
              <w:top w:w="70" w:type="dxa"/>
              <w:left w:w="90" w:type="dxa"/>
              <w:bottom w:w="70" w:type="dxa"/>
              <w:right w:w="90" w:type="dxa"/>
            </w:tcMar>
            <w:vAlign w:val="center"/>
          </w:tcPr>
          <w:p w14:paraId="0215713E" w14:textId="77777777" w:rsidR="006B19C9" w:rsidRPr="00287F6A" w:rsidRDefault="00000000">
            <w:pPr>
              <w:rPr>
                <w:rFonts w:ascii="Times New Roman" w:hAnsi="Times New Roman" w:cs="Times New Roman"/>
                <w:sz w:val="23"/>
                <w:szCs w:val="23"/>
              </w:rPr>
            </w:pPr>
            <w:r w:rsidRPr="00287F6A">
              <w:rPr>
                <w:rFonts w:ascii="Times New Roman" w:hAnsi="Times New Roman" w:cs="Times New Roman"/>
                <w:color w:val="2A2A2A"/>
                <w:sz w:val="23"/>
                <w:szCs w:val="23"/>
              </w:rPr>
              <w:t>Monitoring alone cannot guarantee tamper-proof traceability</w:t>
            </w:r>
          </w:p>
        </w:tc>
        <w:tc>
          <w:tcPr>
            <w:tcW w:w="2256" w:type="dxa"/>
            <w:shd w:val="clear" w:color="auto" w:fill="F5F2EC"/>
            <w:tcMar>
              <w:top w:w="70" w:type="dxa"/>
              <w:left w:w="90" w:type="dxa"/>
              <w:bottom w:w="70" w:type="dxa"/>
              <w:right w:w="90" w:type="dxa"/>
            </w:tcMar>
            <w:vAlign w:val="center"/>
          </w:tcPr>
          <w:p w14:paraId="0BA6138B" w14:textId="77777777" w:rsidR="006B19C9" w:rsidRPr="00287F6A" w:rsidRDefault="00000000">
            <w:pPr>
              <w:rPr>
                <w:rFonts w:ascii="Times New Roman" w:hAnsi="Times New Roman" w:cs="Times New Roman"/>
                <w:sz w:val="23"/>
                <w:szCs w:val="23"/>
              </w:rPr>
            </w:pPr>
            <w:r w:rsidRPr="00287F6A">
              <w:rPr>
                <w:rFonts w:ascii="Times New Roman" w:hAnsi="Times New Roman" w:cs="Times New Roman"/>
                <w:color w:val="2A2A2A"/>
                <w:sz w:val="23"/>
                <w:szCs w:val="23"/>
              </w:rPr>
              <w:t>IoT sensing + AI anomaly detection + blockchain ledger</w:t>
            </w:r>
          </w:p>
        </w:tc>
        <w:tc>
          <w:tcPr>
            <w:tcW w:w="1920" w:type="dxa"/>
            <w:shd w:val="clear" w:color="auto" w:fill="F5F2EC"/>
            <w:tcMar>
              <w:top w:w="70" w:type="dxa"/>
              <w:left w:w="90" w:type="dxa"/>
              <w:bottom w:w="70" w:type="dxa"/>
              <w:right w:w="90" w:type="dxa"/>
            </w:tcMar>
            <w:vAlign w:val="center"/>
          </w:tcPr>
          <w:p w14:paraId="7D4881ED" w14:textId="77777777" w:rsidR="006B19C9" w:rsidRPr="00287F6A" w:rsidRDefault="00000000">
            <w:pPr>
              <w:rPr>
                <w:rFonts w:ascii="Times New Roman" w:hAnsi="Times New Roman" w:cs="Times New Roman"/>
                <w:sz w:val="23"/>
                <w:szCs w:val="23"/>
              </w:rPr>
            </w:pPr>
            <w:r w:rsidRPr="00287F6A">
              <w:rPr>
                <w:rFonts w:ascii="Times New Roman" w:hAnsi="Times New Roman" w:cs="Times New Roman"/>
                <w:color w:val="2A2A2A"/>
                <w:sz w:val="23"/>
                <w:szCs w:val="23"/>
              </w:rPr>
              <w:t>Conceptual/prototype perishable logistics architecture</w:t>
            </w:r>
          </w:p>
        </w:tc>
        <w:tc>
          <w:tcPr>
            <w:tcW w:w="2400" w:type="dxa"/>
            <w:shd w:val="clear" w:color="auto" w:fill="F5F2EC"/>
            <w:tcMar>
              <w:top w:w="70" w:type="dxa"/>
              <w:left w:w="90" w:type="dxa"/>
              <w:bottom w:w="70" w:type="dxa"/>
              <w:right w:w="90" w:type="dxa"/>
            </w:tcMar>
            <w:vAlign w:val="center"/>
          </w:tcPr>
          <w:p w14:paraId="61AD6E67" w14:textId="77777777" w:rsidR="006B19C9" w:rsidRPr="00287F6A" w:rsidRDefault="00000000">
            <w:pPr>
              <w:rPr>
                <w:rFonts w:ascii="Times New Roman" w:hAnsi="Times New Roman" w:cs="Times New Roman"/>
                <w:sz w:val="23"/>
                <w:szCs w:val="23"/>
              </w:rPr>
            </w:pPr>
            <w:r w:rsidRPr="00287F6A">
              <w:rPr>
                <w:rFonts w:ascii="Times New Roman" w:hAnsi="Times New Roman" w:cs="Times New Roman"/>
                <w:color w:val="2A2A2A"/>
                <w:sz w:val="23"/>
                <w:szCs w:val="23"/>
              </w:rPr>
              <w:t>AI detection and blockchain logging shown to be complementary</w:t>
            </w:r>
          </w:p>
        </w:tc>
        <w:tc>
          <w:tcPr>
            <w:tcW w:w="2016" w:type="dxa"/>
            <w:shd w:val="clear" w:color="auto" w:fill="F5F2EC"/>
            <w:tcMar>
              <w:top w:w="70" w:type="dxa"/>
              <w:left w:w="90" w:type="dxa"/>
              <w:bottom w:w="70" w:type="dxa"/>
              <w:right w:w="90" w:type="dxa"/>
            </w:tcMar>
            <w:vAlign w:val="center"/>
          </w:tcPr>
          <w:p w14:paraId="55714626" w14:textId="77777777" w:rsidR="006B19C9" w:rsidRPr="00287F6A" w:rsidRDefault="00000000">
            <w:pPr>
              <w:rPr>
                <w:rFonts w:ascii="Times New Roman" w:hAnsi="Times New Roman" w:cs="Times New Roman"/>
                <w:sz w:val="23"/>
                <w:szCs w:val="23"/>
              </w:rPr>
            </w:pPr>
            <w:r w:rsidRPr="00287F6A">
              <w:rPr>
                <w:rFonts w:ascii="Times New Roman" w:hAnsi="Times New Roman" w:cs="Times New Roman"/>
                <w:color w:val="2A2A2A"/>
                <w:sz w:val="23"/>
                <w:szCs w:val="23"/>
              </w:rPr>
              <w:t>Limited large-scale performance/throughput evaluation</w:t>
            </w:r>
          </w:p>
        </w:tc>
        <w:tc>
          <w:tcPr>
            <w:tcW w:w="1968" w:type="dxa"/>
            <w:shd w:val="clear" w:color="auto" w:fill="F5F2EC"/>
            <w:tcMar>
              <w:top w:w="70" w:type="dxa"/>
              <w:left w:w="90" w:type="dxa"/>
              <w:bottom w:w="70" w:type="dxa"/>
              <w:right w:w="90" w:type="dxa"/>
            </w:tcMar>
            <w:vAlign w:val="center"/>
          </w:tcPr>
          <w:p w14:paraId="759D0CBF" w14:textId="77777777" w:rsidR="006B19C9" w:rsidRPr="00287F6A" w:rsidRDefault="00000000">
            <w:pPr>
              <w:rPr>
                <w:rFonts w:ascii="Times New Roman" w:hAnsi="Times New Roman" w:cs="Times New Roman"/>
                <w:sz w:val="23"/>
                <w:szCs w:val="23"/>
              </w:rPr>
            </w:pPr>
            <w:r w:rsidRPr="00287F6A">
              <w:rPr>
                <w:rFonts w:ascii="Times New Roman" w:hAnsi="Times New Roman" w:cs="Times New Roman"/>
                <w:color w:val="2A2A2A"/>
                <w:sz w:val="23"/>
                <w:szCs w:val="23"/>
              </w:rPr>
              <w:t>No study of blockchain overhead at high sensor-data volume</w:t>
            </w:r>
          </w:p>
        </w:tc>
      </w:tr>
    </w:tbl>
    <w:p w14:paraId="65A1DA9E" w14:textId="77777777" w:rsidR="006B19C9" w:rsidRPr="00287F6A" w:rsidRDefault="006B19C9">
      <w:pPr>
        <w:rPr>
          <w:rFonts w:ascii="Times New Roman" w:hAnsi="Times New Roman" w:cs="Times New Roman"/>
          <w:sz w:val="24"/>
          <w:szCs w:val="24"/>
        </w:rPr>
        <w:sectPr w:rsidR="006B19C9" w:rsidRPr="00287F6A">
          <w:pgSz w:w="15840" w:h="12240"/>
          <w:pgMar w:top="720" w:right="720" w:bottom="720" w:left="720" w:header="708" w:footer="708" w:gutter="0"/>
          <w:cols w:space="720"/>
          <w:docGrid w:linePitch="360"/>
        </w:sectPr>
      </w:pPr>
    </w:p>
    <w:p w14:paraId="0D4CC767" w14:textId="77777777" w:rsidR="006B19C9" w:rsidRPr="00287F6A" w:rsidRDefault="00000000">
      <w:pPr>
        <w:pStyle w:val="Heading1"/>
        <w:pBdr>
          <w:bottom w:val="single" w:sz="6" w:space="4" w:color="B58B46"/>
        </w:pBdr>
        <w:spacing w:before="320" w:after="160"/>
        <w:rPr>
          <w:rFonts w:ascii="Times New Roman" w:hAnsi="Times New Roman" w:cs="Times New Roman"/>
        </w:rPr>
      </w:pPr>
      <w:r w:rsidRPr="00287F6A">
        <w:rPr>
          <w:rFonts w:ascii="Times New Roman" w:hAnsi="Times New Roman" w:cs="Times New Roman"/>
          <w:b/>
          <w:bCs/>
          <w:color w:val="8C3244"/>
          <w:sz w:val="30"/>
          <w:szCs w:val="30"/>
        </w:rPr>
        <w:lastRenderedPageBreak/>
        <w:t xml:space="preserve">5.  </w:t>
      </w:r>
      <w:r w:rsidRPr="00287F6A">
        <w:rPr>
          <w:rFonts w:ascii="Times New Roman" w:hAnsi="Times New Roman" w:cs="Times New Roman"/>
          <w:b/>
          <w:bCs/>
          <w:color w:val="1E2023"/>
          <w:sz w:val="30"/>
          <w:szCs w:val="30"/>
        </w:rPr>
        <w:t>Comparative Analysis by Parameters</w:t>
      </w:r>
    </w:p>
    <w:p w14:paraId="558A7263" w14:textId="77777777" w:rsidR="006B19C9" w:rsidRPr="00287F6A" w:rsidRDefault="00000000">
      <w:pPr>
        <w:spacing w:after="160" w:line="288" w:lineRule="auto"/>
        <w:jc w:val="both"/>
        <w:rPr>
          <w:rFonts w:ascii="Times New Roman" w:hAnsi="Times New Roman" w:cs="Times New Roman"/>
          <w:sz w:val="24"/>
          <w:szCs w:val="24"/>
        </w:rPr>
      </w:pPr>
      <w:r w:rsidRPr="00287F6A">
        <w:rPr>
          <w:rFonts w:ascii="Times New Roman" w:hAnsi="Times New Roman" w:cs="Times New Roman"/>
          <w:color w:val="2A2A2A"/>
          <w:sz w:val="24"/>
          <w:szCs w:val="24"/>
        </w:rPr>
        <w:t>Beyond the qualitative comparison in Section 4, the reviewed papers report concrete quantitative outcomes across three different parameters — efficiency/accuracy, cost, and environmental impact — that can be compared directly.</w:t>
      </w:r>
    </w:p>
    <w:p w14:paraId="3B53341B" w14:textId="77777777" w:rsidR="006B19C9" w:rsidRPr="00287F6A" w:rsidRDefault="00000000">
      <w:pPr>
        <w:spacing w:before="120" w:after="40"/>
        <w:jc w:val="center"/>
        <w:rPr>
          <w:rFonts w:ascii="Times New Roman" w:hAnsi="Times New Roman" w:cs="Times New Roman"/>
          <w:sz w:val="24"/>
          <w:szCs w:val="24"/>
        </w:rPr>
      </w:pPr>
      <w:r w:rsidRPr="00287F6A">
        <w:rPr>
          <w:rFonts w:ascii="Times New Roman" w:hAnsi="Times New Roman" w:cs="Times New Roman"/>
          <w:noProof/>
          <w:sz w:val="24"/>
          <w:szCs w:val="24"/>
        </w:rPr>
        <w:drawing>
          <wp:inline distT="0" distB="0" distL="0" distR="0" wp14:anchorId="1947FD70" wp14:editId="79D266CF">
            <wp:extent cx="6217920" cy="2743200"/>
            <wp:effectExtent l="0" t="0" r="0" b="0"/>
            <wp:docPr id="1612323949" name="Picture 16123239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217920" cy="2743200"/>
                    </a:xfrm>
                    <a:prstGeom prst="rect">
                      <a:avLst/>
                    </a:prstGeom>
                  </pic:spPr>
                </pic:pic>
              </a:graphicData>
            </a:graphic>
          </wp:inline>
        </w:drawing>
      </w:r>
    </w:p>
    <w:p w14:paraId="0202B81E" w14:textId="77777777" w:rsidR="006B19C9" w:rsidRPr="00287F6A" w:rsidRDefault="00000000">
      <w:pPr>
        <w:spacing w:before="80" w:after="260"/>
        <w:jc w:val="center"/>
        <w:rPr>
          <w:rFonts w:ascii="Times New Roman" w:hAnsi="Times New Roman" w:cs="Times New Roman"/>
        </w:rPr>
      </w:pPr>
      <w:r w:rsidRPr="00287F6A">
        <w:rPr>
          <w:rFonts w:ascii="Times New Roman" w:hAnsi="Times New Roman" w:cs="Times New Roman"/>
          <w:i/>
          <w:iCs/>
          <w:color w:val="6E6A63"/>
          <w:sz w:val="19"/>
          <w:szCs w:val="19"/>
        </w:rPr>
        <w:t>Figure 5.1 — Reported quantitative outcomes across the six reviewed studies</w:t>
      </w:r>
    </w:p>
    <w:p w14:paraId="3D5E153D" w14:textId="77777777" w:rsidR="006B19C9" w:rsidRPr="00287F6A" w:rsidRDefault="00000000">
      <w:pPr>
        <w:spacing w:before="200" w:after="100"/>
        <w:rPr>
          <w:rFonts w:ascii="Times New Roman" w:hAnsi="Times New Roman" w:cs="Times New Roman"/>
        </w:rPr>
      </w:pPr>
      <w:r w:rsidRPr="00287F6A">
        <w:rPr>
          <w:rFonts w:ascii="Times New Roman" w:hAnsi="Times New Roman" w:cs="Times New Roman"/>
          <w:b/>
          <w:bCs/>
          <w:color w:val="8C3244"/>
          <w:sz w:val="24"/>
          <w:szCs w:val="24"/>
        </w:rPr>
        <w:t>Comparison by Evaluation Parameter</w:t>
      </w:r>
    </w:p>
    <w:tbl>
      <w:tblPr>
        <w:tblW w:w="9350" w:type="dxa"/>
        <w:tblBorders>
          <w:top w:val="single" w:sz="2" w:space="0" w:color="C9D2DA"/>
          <w:left w:val="single" w:sz="2" w:space="0" w:color="C9D2DA"/>
          <w:bottom w:val="single" w:sz="2" w:space="0" w:color="C9D2DA"/>
          <w:right w:val="single" w:sz="2" w:space="0" w:color="C9D2DA"/>
          <w:insideH w:val="single" w:sz="2" w:space="0" w:color="C9D2DA"/>
          <w:insideV w:val="single" w:sz="2" w:space="0" w:color="C9D2DA"/>
        </w:tblBorders>
        <w:tblCellMar>
          <w:left w:w="10" w:type="dxa"/>
          <w:right w:w="10" w:type="dxa"/>
        </w:tblCellMar>
        <w:tblLook w:val="0000" w:firstRow="0" w:lastRow="0" w:firstColumn="0" w:lastColumn="0" w:noHBand="0" w:noVBand="0"/>
      </w:tblPr>
      <w:tblGrid>
        <w:gridCol w:w="2400"/>
        <w:gridCol w:w="2650"/>
        <w:gridCol w:w="4300"/>
      </w:tblGrid>
      <w:tr w:rsidR="006B19C9" w:rsidRPr="00287F6A" w14:paraId="0BD26004" w14:textId="77777777">
        <w:tblPrEx>
          <w:tblCellMar>
            <w:top w:w="0" w:type="dxa"/>
            <w:bottom w:w="0" w:type="dxa"/>
          </w:tblCellMar>
        </w:tblPrEx>
        <w:trPr>
          <w:tblHeader/>
        </w:trPr>
        <w:tc>
          <w:tcPr>
            <w:tcW w:w="2400" w:type="dxa"/>
            <w:shd w:val="clear" w:color="auto" w:fill="8C3244"/>
            <w:tcMar>
              <w:top w:w="80" w:type="dxa"/>
              <w:left w:w="100" w:type="dxa"/>
              <w:bottom w:w="80" w:type="dxa"/>
              <w:right w:w="100" w:type="dxa"/>
            </w:tcMar>
            <w:vAlign w:val="center"/>
          </w:tcPr>
          <w:p w14:paraId="5D61A3CC" w14:textId="77777777" w:rsidR="006B19C9" w:rsidRPr="00287F6A" w:rsidRDefault="00000000">
            <w:pPr>
              <w:rPr>
                <w:rFonts w:ascii="Times New Roman" w:hAnsi="Times New Roman" w:cs="Times New Roman"/>
                <w:sz w:val="24"/>
                <w:szCs w:val="24"/>
              </w:rPr>
            </w:pPr>
            <w:r w:rsidRPr="00287F6A">
              <w:rPr>
                <w:rFonts w:ascii="Times New Roman" w:hAnsi="Times New Roman" w:cs="Times New Roman"/>
                <w:b/>
                <w:bCs/>
                <w:color w:val="FFFFFF"/>
                <w:sz w:val="24"/>
                <w:szCs w:val="24"/>
              </w:rPr>
              <w:t>Parameter</w:t>
            </w:r>
          </w:p>
        </w:tc>
        <w:tc>
          <w:tcPr>
            <w:tcW w:w="2650" w:type="dxa"/>
            <w:shd w:val="clear" w:color="auto" w:fill="B58B46"/>
            <w:tcMar>
              <w:top w:w="80" w:type="dxa"/>
              <w:left w:w="100" w:type="dxa"/>
              <w:bottom w:w="80" w:type="dxa"/>
              <w:right w:w="100" w:type="dxa"/>
            </w:tcMar>
            <w:vAlign w:val="center"/>
          </w:tcPr>
          <w:p w14:paraId="05D5A367" w14:textId="77777777" w:rsidR="006B19C9" w:rsidRPr="00287F6A" w:rsidRDefault="00000000">
            <w:pPr>
              <w:rPr>
                <w:rFonts w:ascii="Times New Roman" w:hAnsi="Times New Roman" w:cs="Times New Roman"/>
                <w:sz w:val="24"/>
                <w:szCs w:val="24"/>
              </w:rPr>
            </w:pPr>
            <w:r w:rsidRPr="00287F6A">
              <w:rPr>
                <w:rFonts w:ascii="Times New Roman" w:hAnsi="Times New Roman" w:cs="Times New Roman"/>
                <w:b/>
                <w:bCs/>
                <w:color w:val="FFFFFF"/>
                <w:sz w:val="24"/>
                <w:szCs w:val="24"/>
              </w:rPr>
              <w:t>Strongest Performer</w:t>
            </w:r>
          </w:p>
        </w:tc>
        <w:tc>
          <w:tcPr>
            <w:tcW w:w="4300" w:type="dxa"/>
            <w:shd w:val="clear" w:color="auto" w:fill="1E2023"/>
            <w:tcMar>
              <w:top w:w="80" w:type="dxa"/>
              <w:left w:w="100" w:type="dxa"/>
              <w:bottom w:w="80" w:type="dxa"/>
              <w:right w:w="100" w:type="dxa"/>
            </w:tcMar>
            <w:vAlign w:val="center"/>
          </w:tcPr>
          <w:p w14:paraId="6FEA552C" w14:textId="77777777" w:rsidR="006B19C9" w:rsidRPr="00287F6A" w:rsidRDefault="00000000">
            <w:pPr>
              <w:rPr>
                <w:rFonts w:ascii="Times New Roman" w:hAnsi="Times New Roman" w:cs="Times New Roman"/>
                <w:sz w:val="24"/>
                <w:szCs w:val="24"/>
              </w:rPr>
            </w:pPr>
            <w:r w:rsidRPr="00287F6A">
              <w:rPr>
                <w:rFonts w:ascii="Times New Roman" w:hAnsi="Times New Roman" w:cs="Times New Roman"/>
                <w:b/>
                <w:bCs/>
                <w:color w:val="FFFFFF"/>
                <w:sz w:val="24"/>
                <w:szCs w:val="24"/>
              </w:rPr>
              <w:t>Observation</w:t>
            </w:r>
          </w:p>
        </w:tc>
      </w:tr>
      <w:tr w:rsidR="006B19C9" w:rsidRPr="00287F6A" w14:paraId="041D331C" w14:textId="77777777">
        <w:tblPrEx>
          <w:tblCellMar>
            <w:top w:w="0" w:type="dxa"/>
            <w:bottom w:w="0" w:type="dxa"/>
          </w:tblCellMar>
        </w:tblPrEx>
        <w:tc>
          <w:tcPr>
            <w:tcW w:w="2400" w:type="dxa"/>
            <w:shd w:val="clear" w:color="auto" w:fill="FFFFFF"/>
            <w:tcMar>
              <w:top w:w="70" w:type="dxa"/>
              <w:left w:w="100" w:type="dxa"/>
              <w:bottom w:w="70" w:type="dxa"/>
              <w:right w:w="100" w:type="dxa"/>
            </w:tcMar>
            <w:vAlign w:val="center"/>
          </w:tcPr>
          <w:p w14:paraId="20BA23A4" w14:textId="77777777" w:rsidR="006B19C9" w:rsidRPr="00287F6A" w:rsidRDefault="00000000">
            <w:pPr>
              <w:rPr>
                <w:rFonts w:ascii="Times New Roman" w:hAnsi="Times New Roman" w:cs="Times New Roman"/>
                <w:sz w:val="24"/>
                <w:szCs w:val="24"/>
              </w:rPr>
            </w:pPr>
            <w:r w:rsidRPr="00287F6A">
              <w:rPr>
                <w:rFonts w:ascii="Times New Roman" w:hAnsi="Times New Roman" w:cs="Times New Roman"/>
                <w:color w:val="2A2A2A"/>
                <w:sz w:val="24"/>
                <w:szCs w:val="24"/>
              </w:rPr>
              <w:t>Predictive accuracy</w:t>
            </w:r>
          </w:p>
        </w:tc>
        <w:tc>
          <w:tcPr>
            <w:tcW w:w="2650" w:type="dxa"/>
            <w:shd w:val="clear" w:color="auto" w:fill="FFFFFF"/>
            <w:tcMar>
              <w:top w:w="70" w:type="dxa"/>
              <w:left w:w="100" w:type="dxa"/>
              <w:bottom w:w="70" w:type="dxa"/>
              <w:right w:w="100" w:type="dxa"/>
            </w:tcMar>
            <w:vAlign w:val="center"/>
          </w:tcPr>
          <w:p w14:paraId="1FF6082C" w14:textId="77777777" w:rsidR="006B19C9" w:rsidRPr="00287F6A" w:rsidRDefault="00000000">
            <w:pPr>
              <w:rPr>
                <w:rFonts w:ascii="Times New Roman" w:hAnsi="Times New Roman" w:cs="Times New Roman"/>
                <w:sz w:val="24"/>
                <w:szCs w:val="24"/>
              </w:rPr>
            </w:pPr>
            <w:r w:rsidRPr="00287F6A">
              <w:rPr>
                <w:rFonts w:ascii="Times New Roman" w:hAnsi="Times New Roman" w:cs="Times New Roman"/>
                <w:color w:val="2A2A2A"/>
                <w:sz w:val="24"/>
                <w:szCs w:val="24"/>
              </w:rPr>
              <w:t>P3 Aminzadeh et al. — 98% (MSE-based)</w:t>
            </w:r>
          </w:p>
        </w:tc>
        <w:tc>
          <w:tcPr>
            <w:tcW w:w="4300" w:type="dxa"/>
            <w:shd w:val="clear" w:color="auto" w:fill="FFFFFF"/>
            <w:tcMar>
              <w:top w:w="70" w:type="dxa"/>
              <w:left w:w="100" w:type="dxa"/>
              <w:bottom w:w="70" w:type="dxa"/>
              <w:right w:w="100" w:type="dxa"/>
            </w:tcMar>
            <w:vAlign w:val="center"/>
          </w:tcPr>
          <w:p w14:paraId="3CA43F4D" w14:textId="77777777" w:rsidR="006B19C9" w:rsidRPr="00287F6A" w:rsidRDefault="00000000">
            <w:pPr>
              <w:rPr>
                <w:rFonts w:ascii="Times New Roman" w:hAnsi="Times New Roman" w:cs="Times New Roman"/>
                <w:sz w:val="24"/>
                <w:szCs w:val="24"/>
              </w:rPr>
            </w:pPr>
            <w:r w:rsidRPr="00287F6A">
              <w:rPr>
                <w:rFonts w:ascii="Times New Roman" w:hAnsi="Times New Roman" w:cs="Times New Roman"/>
                <w:color w:val="2A2A2A"/>
                <w:sz w:val="24"/>
                <w:szCs w:val="24"/>
              </w:rPr>
              <w:t>Even a simple regression model performs strongly with well-instrumented sensor fusion.</w:t>
            </w:r>
          </w:p>
        </w:tc>
      </w:tr>
      <w:tr w:rsidR="006B19C9" w:rsidRPr="00287F6A" w14:paraId="36814C35" w14:textId="77777777">
        <w:tblPrEx>
          <w:tblCellMar>
            <w:top w:w="0" w:type="dxa"/>
            <w:bottom w:w="0" w:type="dxa"/>
          </w:tblCellMar>
        </w:tblPrEx>
        <w:tc>
          <w:tcPr>
            <w:tcW w:w="2400" w:type="dxa"/>
            <w:shd w:val="clear" w:color="auto" w:fill="F5F2EC"/>
            <w:tcMar>
              <w:top w:w="70" w:type="dxa"/>
              <w:left w:w="100" w:type="dxa"/>
              <w:bottom w:w="70" w:type="dxa"/>
              <w:right w:w="100" w:type="dxa"/>
            </w:tcMar>
            <w:vAlign w:val="center"/>
          </w:tcPr>
          <w:p w14:paraId="6F3E6D3F" w14:textId="77777777" w:rsidR="006B19C9" w:rsidRPr="00287F6A" w:rsidRDefault="00000000">
            <w:pPr>
              <w:rPr>
                <w:rFonts w:ascii="Times New Roman" w:hAnsi="Times New Roman" w:cs="Times New Roman"/>
                <w:sz w:val="24"/>
                <w:szCs w:val="24"/>
              </w:rPr>
            </w:pPr>
            <w:r w:rsidRPr="00287F6A">
              <w:rPr>
                <w:rFonts w:ascii="Times New Roman" w:hAnsi="Times New Roman" w:cs="Times New Roman"/>
                <w:color w:val="2A2A2A"/>
                <w:sz w:val="24"/>
                <w:szCs w:val="24"/>
              </w:rPr>
              <w:t>Forecasting error (lower is better)</w:t>
            </w:r>
          </w:p>
        </w:tc>
        <w:tc>
          <w:tcPr>
            <w:tcW w:w="2650" w:type="dxa"/>
            <w:shd w:val="clear" w:color="auto" w:fill="F5F2EC"/>
            <w:tcMar>
              <w:top w:w="70" w:type="dxa"/>
              <w:left w:w="100" w:type="dxa"/>
              <w:bottom w:w="70" w:type="dxa"/>
              <w:right w:w="100" w:type="dxa"/>
            </w:tcMar>
            <w:vAlign w:val="center"/>
          </w:tcPr>
          <w:p w14:paraId="48F1ECF1" w14:textId="77777777" w:rsidR="006B19C9" w:rsidRPr="00287F6A" w:rsidRDefault="00000000">
            <w:pPr>
              <w:rPr>
                <w:rFonts w:ascii="Times New Roman" w:hAnsi="Times New Roman" w:cs="Times New Roman"/>
                <w:sz w:val="24"/>
                <w:szCs w:val="24"/>
              </w:rPr>
            </w:pPr>
            <w:r w:rsidRPr="00287F6A">
              <w:rPr>
                <w:rFonts w:ascii="Times New Roman" w:hAnsi="Times New Roman" w:cs="Times New Roman"/>
                <w:color w:val="2A2A2A"/>
                <w:sz w:val="24"/>
                <w:szCs w:val="24"/>
              </w:rPr>
              <w:t>P2 Luo et al. — MAE 2.5343</w:t>
            </w:r>
          </w:p>
        </w:tc>
        <w:tc>
          <w:tcPr>
            <w:tcW w:w="4300" w:type="dxa"/>
            <w:shd w:val="clear" w:color="auto" w:fill="F5F2EC"/>
            <w:tcMar>
              <w:top w:w="70" w:type="dxa"/>
              <w:left w:w="100" w:type="dxa"/>
              <w:bottom w:w="70" w:type="dxa"/>
              <w:right w:w="100" w:type="dxa"/>
            </w:tcMar>
            <w:vAlign w:val="center"/>
          </w:tcPr>
          <w:p w14:paraId="041BB87D" w14:textId="77777777" w:rsidR="006B19C9" w:rsidRPr="00287F6A" w:rsidRDefault="00000000">
            <w:pPr>
              <w:rPr>
                <w:rFonts w:ascii="Times New Roman" w:hAnsi="Times New Roman" w:cs="Times New Roman"/>
                <w:sz w:val="24"/>
                <w:szCs w:val="24"/>
              </w:rPr>
            </w:pPr>
            <w:r w:rsidRPr="00287F6A">
              <w:rPr>
                <w:rFonts w:ascii="Times New Roman" w:hAnsi="Times New Roman" w:cs="Times New Roman"/>
                <w:color w:val="2A2A2A"/>
                <w:sz w:val="24"/>
                <w:szCs w:val="24"/>
              </w:rPr>
              <w:t>Ensemble clustering + LSTM-</w:t>
            </w:r>
            <w:proofErr w:type="spellStart"/>
            <w:r w:rsidRPr="00287F6A">
              <w:rPr>
                <w:rFonts w:ascii="Times New Roman" w:hAnsi="Times New Roman" w:cs="Times New Roman"/>
                <w:color w:val="2A2A2A"/>
                <w:sz w:val="24"/>
                <w:szCs w:val="24"/>
              </w:rPr>
              <w:t>XGBoost</w:t>
            </w:r>
            <w:proofErr w:type="spellEnd"/>
            <w:r w:rsidRPr="00287F6A">
              <w:rPr>
                <w:rFonts w:ascii="Times New Roman" w:hAnsi="Times New Roman" w:cs="Times New Roman"/>
                <w:color w:val="2A2A2A"/>
                <w:sz w:val="24"/>
                <w:szCs w:val="24"/>
              </w:rPr>
              <w:t xml:space="preserve"> beats single-model baselines on the same data.</w:t>
            </w:r>
          </w:p>
        </w:tc>
      </w:tr>
      <w:tr w:rsidR="006B19C9" w:rsidRPr="00287F6A" w14:paraId="0FE03E4D" w14:textId="77777777">
        <w:tblPrEx>
          <w:tblCellMar>
            <w:top w:w="0" w:type="dxa"/>
            <w:bottom w:w="0" w:type="dxa"/>
          </w:tblCellMar>
        </w:tblPrEx>
        <w:tc>
          <w:tcPr>
            <w:tcW w:w="2400" w:type="dxa"/>
            <w:shd w:val="clear" w:color="auto" w:fill="FFFFFF"/>
            <w:tcMar>
              <w:top w:w="70" w:type="dxa"/>
              <w:left w:w="100" w:type="dxa"/>
              <w:bottom w:w="70" w:type="dxa"/>
              <w:right w:w="100" w:type="dxa"/>
            </w:tcMar>
            <w:vAlign w:val="center"/>
          </w:tcPr>
          <w:p w14:paraId="19555AF5" w14:textId="77777777" w:rsidR="006B19C9" w:rsidRPr="00287F6A" w:rsidRDefault="00000000">
            <w:pPr>
              <w:rPr>
                <w:rFonts w:ascii="Times New Roman" w:hAnsi="Times New Roman" w:cs="Times New Roman"/>
                <w:sz w:val="24"/>
                <w:szCs w:val="24"/>
              </w:rPr>
            </w:pPr>
            <w:r w:rsidRPr="00287F6A">
              <w:rPr>
                <w:rFonts w:ascii="Times New Roman" w:hAnsi="Times New Roman" w:cs="Times New Roman"/>
                <w:color w:val="2A2A2A"/>
                <w:sz w:val="24"/>
                <w:szCs w:val="24"/>
              </w:rPr>
              <w:t>Cost efficiency</w:t>
            </w:r>
          </w:p>
        </w:tc>
        <w:tc>
          <w:tcPr>
            <w:tcW w:w="2650" w:type="dxa"/>
            <w:shd w:val="clear" w:color="auto" w:fill="FFFFFF"/>
            <w:tcMar>
              <w:top w:w="70" w:type="dxa"/>
              <w:left w:w="100" w:type="dxa"/>
              <w:bottom w:w="70" w:type="dxa"/>
              <w:right w:w="100" w:type="dxa"/>
            </w:tcMar>
            <w:vAlign w:val="center"/>
          </w:tcPr>
          <w:p w14:paraId="7A8F2A57" w14:textId="77777777" w:rsidR="006B19C9" w:rsidRPr="00287F6A" w:rsidRDefault="00000000">
            <w:pPr>
              <w:rPr>
                <w:rFonts w:ascii="Times New Roman" w:hAnsi="Times New Roman" w:cs="Times New Roman"/>
                <w:sz w:val="24"/>
                <w:szCs w:val="24"/>
              </w:rPr>
            </w:pPr>
            <w:r w:rsidRPr="00287F6A">
              <w:rPr>
                <w:rFonts w:ascii="Times New Roman" w:hAnsi="Times New Roman" w:cs="Times New Roman"/>
                <w:color w:val="2A2A2A"/>
                <w:sz w:val="24"/>
                <w:szCs w:val="24"/>
              </w:rPr>
              <w:t>P4 Shi et al. — 18.3% cost reduction</w:t>
            </w:r>
          </w:p>
        </w:tc>
        <w:tc>
          <w:tcPr>
            <w:tcW w:w="4300" w:type="dxa"/>
            <w:shd w:val="clear" w:color="auto" w:fill="FFFFFF"/>
            <w:tcMar>
              <w:top w:w="70" w:type="dxa"/>
              <w:left w:w="100" w:type="dxa"/>
              <w:bottom w:w="70" w:type="dxa"/>
              <w:right w:w="100" w:type="dxa"/>
            </w:tcMar>
            <w:vAlign w:val="center"/>
          </w:tcPr>
          <w:p w14:paraId="6158346E" w14:textId="77777777" w:rsidR="006B19C9" w:rsidRPr="00287F6A" w:rsidRDefault="00000000">
            <w:pPr>
              <w:rPr>
                <w:rFonts w:ascii="Times New Roman" w:hAnsi="Times New Roman" w:cs="Times New Roman"/>
                <w:sz w:val="24"/>
                <w:szCs w:val="24"/>
              </w:rPr>
            </w:pPr>
            <w:r w:rsidRPr="00287F6A">
              <w:rPr>
                <w:rFonts w:ascii="Times New Roman" w:hAnsi="Times New Roman" w:cs="Times New Roman"/>
                <w:color w:val="2A2A2A"/>
                <w:sz w:val="24"/>
                <w:szCs w:val="24"/>
              </w:rPr>
              <w:t>Modelling traffic uncertainty explicitly outperforms static routing assumptions.</w:t>
            </w:r>
          </w:p>
        </w:tc>
      </w:tr>
      <w:tr w:rsidR="006B19C9" w:rsidRPr="00287F6A" w14:paraId="33777434" w14:textId="77777777">
        <w:tblPrEx>
          <w:tblCellMar>
            <w:top w:w="0" w:type="dxa"/>
            <w:bottom w:w="0" w:type="dxa"/>
          </w:tblCellMar>
        </w:tblPrEx>
        <w:tc>
          <w:tcPr>
            <w:tcW w:w="2400" w:type="dxa"/>
            <w:shd w:val="clear" w:color="auto" w:fill="F5F2EC"/>
            <w:tcMar>
              <w:top w:w="70" w:type="dxa"/>
              <w:left w:w="100" w:type="dxa"/>
              <w:bottom w:w="70" w:type="dxa"/>
              <w:right w:w="100" w:type="dxa"/>
            </w:tcMar>
            <w:vAlign w:val="center"/>
          </w:tcPr>
          <w:p w14:paraId="28C2B763" w14:textId="77777777" w:rsidR="006B19C9" w:rsidRPr="00287F6A" w:rsidRDefault="00000000">
            <w:pPr>
              <w:rPr>
                <w:rFonts w:ascii="Times New Roman" w:hAnsi="Times New Roman" w:cs="Times New Roman"/>
                <w:sz w:val="24"/>
                <w:szCs w:val="24"/>
              </w:rPr>
            </w:pPr>
            <w:r w:rsidRPr="00287F6A">
              <w:rPr>
                <w:rFonts w:ascii="Times New Roman" w:hAnsi="Times New Roman" w:cs="Times New Roman"/>
                <w:color w:val="2A2A2A"/>
                <w:sz w:val="24"/>
                <w:szCs w:val="24"/>
              </w:rPr>
              <w:t>Environmental impact</w:t>
            </w:r>
          </w:p>
        </w:tc>
        <w:tc>
          <w:tcPr>
            <w:tcW w:w="2650" w:type="dxa"/>
            <w:shd w:val="clear" w:color="auto" w:fill="F5F2EC"/>
            <w:tcMar>
              <w:top w:w="70" w:type="dxa"/>
              <w:left w:w="100" w:type="dxa"/>
              <w:bottom w:w="70" w:type="dxa"/>
              <w:right w:w="100" w:type="dxa"/>
            </w:tcMar>
            <w:vAlign w:val="center"/>
          </w:tcPr>
          <w:p w14:paraId="51021945" w14:textId="77777777" w:rsidR="006B19C9" w:rsidRPr="00287F6A" w:rsidRDefault="00000000">
            <w:pPr>
              <w:rPr>
                <w:rFonts w:ascii="Times New Roman" w:hAnsi="Times New Roman" w:cs="Times New Roman"/>
                <w:sz w:val="24"/>
                <w:szCs w:val="24"/>
              </w:rPr>
            </w:pPr>
            <w:r w:rsidRPr="00287F6A">
              <w:rPr>
                <w:rFonts w:ascii="Times New Roman" w:hAnsi="Times New Roman" w:cs="Times New Roman"/>
                <w:color w:val="2A2A2A"/>
                <w:sz w:val="24"/>
                <w:szCs w:val="24"/>
              </w:rPr>
              <w:t>P4 Shi et al. — 15.8% carbon reduction</w:t>
            </w:r>
          </w:p>
        </w:tc>
        <w:tc>
          <w:tcPr>
            <w:tcW w:w="4300" w:type="dxa"/>
            <w:shd w:val="clear" w:color="auto" w:fill="F5F2EC"/>
            <w:tcMar>
              <w:top w:w="70" w:type="dxa"/>
              <w:left w:w="100" w:type="dxa"/>
              <w:bottom w:w="70" w:type="dxa"/>
              <w:right w:w="100" w:type="dxa"/>
            </w:tcMar>
            <w:vAlign w:val="center"/>
          </w:tcPr>
          <w:p w14:paraId="589050C5" w14:textId="77777777" w:rsidR="006B19C9" w:rsidRPr="00287F6A" w:rsidRDefault="00000000">
            <w:pPr>
              <w:rPr>
                <w:rFonts w:ascii="Times New Roman" w:hAnsi="Times New Roman" w:cs="Times New Roman"/>
                <w:sz w:val="24"/>
                <w:szCs w:val="24"/>
              </w:rPr>
            </w:pPr>
            <w:r w:rsidRPr="00287F6A">
              <w:rPr>
                <w:rFonts w:ascii="Times New Roman" w:hAnsi="Times New Roman" w:cs="Times New Roman"/>
                <w:color w:val="2A2A2A"/>
                <w:sz w:val="24"/>
                <w:szCs w:val="24"/>
              </w:rPr>
              <w:t>Joint distribution plus uncertainty-aware routing reduces emissions meaningfully.</w:t>
            </w:r>
          </w:p>
        </w:tc>
      </w:tr>
      <w:tr w:rsidR="006B19C9" w:rsidRPr="00287F6A" w14:paraId="3BDEF238" w14:textId="77777777">
        <w:tblPrEx>
          <w:tblCellMar>
            <w:top w:w="0" w:type="dxa"/>
            <w:bottom w:w="0" w:type="dxa"/>
          </w:tblCellMar>
        </w:tblPrEx>
        <w:tc>
          <w:tcPr>
            <w:tcW w:w="2400" w:type="dxa"/>
            <w:shd w:val="clear" w:color="auto" w:fill="FFFFFF"/>
            <w:tcMar>
              <w:top w:w="70" w:type="dxa"/>
              <w:left w:w="100" w:type="dxa"/>
              <w:bottom w:w="70" w:type="dxa"/>
              <w:right w:w="100" w:type="dxa"/>
            </w:tcMar>
            <w:vAlign w:val="center"/>
          </w:tcPr>
          <w:p w14:paraId="08B1B22E" w14:textId="77777777" w:rsidR="006B19C9" w:rsidRPr="00287F6A" w:rsidRDefault="00000000">
            <w:pPr>
              <w:rPr>
                <w:rFonts w:ascii="Times New Roman" w:hAnsi="Times New Roman" w:cs="Times New Roman"/>
                <w:sz w:val="24"/>
                <w:szCs w:val="24"/>
              </w:rPr>
            </w:pPr>
            <w:r w:rsidRPr="00287F6A">
              <w:rPr>
                <w:rFonts w:ascii="Times New Roman" w:hAnsi="Times New Roman" w:cs="Times New Roman"/>
                <w:color w:val="2A2A2A"/>
                <w:sz w:val="24"/>
                <w:szCs w:val="24"/>
              </w:rPr>
              <w:t>Real-world validation</w:t>
            </w:r>
          </w:p>
        </w:tc>
        <w:tc>
          <w:tcPr>
            <w:tcW w:w="2650" w:type="dxa"/>
            <w:shd w:val="clear" w:color="auto" w:fill="FFFFFF"/>
            <w:tcMar>
              <w:top w:w="70" w:type="dxa"/>
              <w:left w:w="100" w:type="dxa"/>
              <w:bottom w:w="70" w:type="dxa"/>
              <w:right w:w="100" w:type="dxa"/>
            </w:tcMar>
            <w:vAlign w:val="center"/>
          </w:tcPr>
          <w:p w14:paraId="240D4689" w14:textId="77777777" w:rsidR="006B19C9" w:rsidRPr="00287F6A" w:rsidRDefault="00000000">
            <w:pPr>
              <w:rPr>
                <w:rFonts w:ascii="Times New Roman" w:hAnsi="Times New Roman" w:cs="Times New Roman"/>
                <w:sz w:val="24"/>
                <w:szCs w:val="24"/>
              </w:rPr>
            </w:pPr>
            <w:r w:rsidRPr="00287F6A">
              <w:rPr>
                <w:rFonts w:ascii="Times New Roman" w:hAnsi="Times New Roman" w:cs="Times New Roman"/>
                <w:color w:val="2A2A2A"/>
                <w:sz w:val="24"/>
                <w:szCs w:val="24"/>
              </w:rPr>
              <w:t>P4 Shi et al. — tested on 3 real Beijing firms</w:t>
            </w:r>
          </w:p>
        </w:tc>
        <w:tc>
          <w:tcPr>
            <w:tcW w:w="4300" w:type="dxa"/>
            <w:shd w:val="clear" w:color="auto" w:fill="FFFFFF"/>
            <w:tcMar>
              <w:top w:w="70" w:type="dxa"/>
              <w:left w:w="100" w:type="dxa"/>
              <w:bottom w:w="70" w:type="dxa"/>
              <w:right w:w="100" w:type="dxa"/>
            </w:tcMar>
            <w:vAlign w:val="center"/>
          </w:tcPr>
          <w:p w14:paraId="2C57B59C" w14:textId="77777777" w:rsidR="006B19C9" w:rsidRPr="00287F6A" w:rsidRDefault="00000000">
            <w:pPr>
              <w:rPr>
                <w:rFonts w:ascii="Times New Roman" w:hAnsi="Times New Roman" w:cs="Times New Roman"/>
                <w:sz w:val="24"/>
                <w:szCs w:val="24"/>
              </w:rPr>
            </w:pPr>
            <w:r w:rsidRPr="00287F6A">
              <w:rPr>
                <w:rFonts w:ascii="Times New Roman" w:hAnsi="Times New Roman" w:cs="Times New Roman"/>
                <w:color w:val="2A2A2A"/>
                <w:sz w:val="24"/>
                <w:szCs w:val="24"/>
              </w:rPr>
              <w:t>Most other studies (P1, P2, P3, P6) remain simulation- or lab-scale.</w:t>
            </w:r>
          </w:p>
        </w:tc>
      </w:tr>
    </w:tbl>
    <w:p w14:paraId="22CA47A8" w14:textId="77777777" w:rsidR="00287F6A" w:rsidRDefault="00287F6A">
      <w:pPr>
        <w:pStyle w:val="Heading1"/>
        <w:pBdr>
          <w:bottom w:val="single" w:sz="6" w:space="4" w:color="B58B46"/>
        </w:pBdr>
        <w:spacing w:before="320" w:after="160"/>
        <w:rPr>
          <w:rFonts w:ascii="Times New Roman" w:hAnsi="Times New Roman" w:cs="Times New Roman"/>
          <w:b/>
          <w:bCs/>
          <w:color w:val="8C3244"/>
          <w:sz w:val="30"/>
          <w:szCs w:val="30"/>
        </w:rPr>
      </w:pPr>
    </w:p>
    <w:p w14:paraId="38CF5B58" w14:textId="77777777" w:rsidR="00287F6A" w:rsidRDefault="00287F6A">
      <w:pPr>
        <w:pStyle w:val="Heading1"/>
        <w:pBdr>
          <w:bottom w:val="single" w:sz="6" w:space="4" w:color="B58B46"/>
        </w:pBdr>
        <w:spacing w:before="320" w:after="160"/>
        <w:rPr>
          <w:rFonts w:ascii="Times New Roman" w:hAnsi="Times New Roman" w:cs="Times New Roman"/>
          <w:b/>
          <w:bCs/>
          <w:color w:val="8C3244"/>
          <w:sz w:val="30"/>
          <w:szCs w:val="30"/>
        </w:rPr>
      </w:pPr>
    </w:p>
    <w:p w14:paraId="72FF324C" w14:textId="452BB519" w:rsidR="006B19C9" w:rsidRPr="00287F6A" w:rsidRDefault="00000000">
      <w:pPr>
        <w:pStyle w:val="Heading1"/>
        <w:pBdr>
          <w:bottom w:val="single" w:sz="6" w:space="4" w:color="B58B46"/>
        </w:pBdr>
        <w:spacing w:before="320" w:after="160"/>
        <w:rPr>
          <w:rFonts w:ascii="Times New Roman" w:hAnsi="Times New Roman" w:cs="Times New Roman"/>
        </w:rPr>
      </w:pPr>
      <w:r w:rsidRPr="00287F6A">
        <w:rPr>
          <w:rFonts w:ascii="Times New Roman" w:hAnsi="Times New Roman" w:cs="Times New Roman"/>
          <w:b/>
          <w:bCs/>
          <w:color w:val="8C3244"/>
          <w:sz w:val="30"/>
          <w:szCs w:val="30"/>
        </w:rPr>
        <w:lastRenderedPageBreak/>
        <w:t xml:space="preserve">6.  </w:t>
      </w:r>
      <w:r w:rsidRPr="00287F6A">
        <w:rPr>
          <w:rFonts w:ascii="Times New Roman" w:hAnsi="Times New Roman" w:cs="Times New Roman"/>
          <w:b/>
          <w:bCs/>
          <w:color w:val="1E2023"/>
          <w:sz w:val="30"/>
          <w:szCs w:val="30"/>
        </w:rPr>
        <w:t>Limitations &amp; Challenges of Existing Approaches</w:t>
      </w:r>
    </w:p>
    <w:tbl>
      <w:tblPr>
        <w:tblW w:w="9350" w:type="dxa"/>
        <w:tblBorders>
          <w:top w:val="single" w:sz="2" w:space="0" w:color="C9D2DA"/>
          <w:left w:val="single" w:sz="2" w:space="0" w:color="C9D2DA"/>
          <w:bottom w:val="single" w:sz="2" w:space="0" w:color="C9D2DA"/>
          <w:right w:val="single" w:sz="2" w:space="0" w:color="C9D2DA"/>
          <w:insideH w:val="single" w:sz="2" w:space="0" w:color="C9D2DA"/>
          <w:insideV w:val="single" w:sz="2" w:space="0" w:color="C9D2DA"/>
        </w:tblBorders>
        <w:tblCellMar>
          <w:left w:w="10" w:type="dxa"/>
          <w:right w:w="10" w:type="dxa"/>
        </w:tblCellMar>
        <w:tblLook w:val="0000" w:firstRow="0" w:lastRow="0" w:firstColumn="0" w:lastColumn="0" w:noHBand="0" w:noVBand="0"/>
      </w:tblPr>
      <w:tblGrid>
        <w:gridCol w:w="3350"/>
        <w:gridCol w:w="2200"/>
        <w:gridCol w:w="3800"/>
      </w:tblGrid>
      <w:tr w:rsidR="006B19C9" w:rsidRPr="00287F6A" w14:paraId="1E4702C7" w14:textId="77777777">
        <w:tblPrEx>
          <w:tblCellMar>
            <w:top w:w="0" w:type="dxa"/>
            <w:bottom w:w="0" w:type="dxa"/>
          </w:tblCellMar>
        </w:tblPrEx>
        <w:trPr>
          <w:tblHeader/>
        </w:trPr>
        <w:tc>
          <w:tcPr>
            <w:tcW w:w="3350" w:type="dxa"/>
            <w:shd w:val="clear" w:color="auto" w:fill="8C3244"/>
            <w:tcMar>
              <w:top w:w="80" w:type="dxa"/>
              <w:left w:w="100" w:type="dxa"/>
              <w:bottom w:w="80" w:type="dxa"/>
              <w:right w:w="100" w:type="dxa"/>
            </w:tcMar>
            <w:vAlign w:val="center"/>
          </w:tcPr>
          <w:p w14:paraId="4339734A" w14:textId="77777777" w:rsidR="006B19C9" w:rsidRPr="00287F6A" w:rsidRDefault="00000000">
            <w:pPr>
              <w:rPr>
                <w:rFonts w:ascii="Times New Roman" w:hAnsi="Times New Roman" w:cs="Times New Roman"/>
              </w:rPr>
            </w:pPr>
            <w:r w:rsidRPr="00287F6A">
              <w:rPr>
                <w:rFonts w:ascii="Times New Roman" w:hAnsi="Times New Roman" w:cs="Times New Roman"/>
                <w:b/>
                <w:bCs/>
                <w:color w:val="FFFFFF"/>
                <w:sz w:val="18"/>
                <w:szCs w:val="18"/>
              </w:rPr>
              <w:t>Limitation</w:t>
            </w:r>
          </w:p>
        </w:tc>
        <w:tc>
          <w:tcPr>
            <w:tcW w:w="2200" w:type="dxa"/>
            <w:shd w:val="clear" w:color="auto" w:fill="1E2023"/>
            <w:tcMar>
              <w:top w:w="80" w:type="dxa"/>
              <w:left w:w="100" w:type="dxa"/>
              <w:bottom w:w="80" w:type="dxa"/>
              <w:right w:w="100" w:type="dxa"/>
            </w:tcMar>
            <w:vAlign w:val="center"/>
          </w:tcPr>
          <w:p w14:paraId="0E08A418" w14:textId="77777777" w:rsidR="006B19C9" w:rsidRPr="00287F6A" w:rsidRDefault="00000000">
            <w:pPr>
              <w:rPr>
                <w:rFonts w:ascii="Times New Roman" w:hAnsi="Times New Roman" w:cs="Times New Roman"/>
              </w:rPr>
            </w:pPr>
            <w:r w:rsidRPr="00287F6A">
              <w:rPr>
                <w:rFonts w:ascii="Times New Roman" w:hAnsi="Times New Roman" w:cs="Times New Roman"/>
                <w:b/>
                <w:bCs/>
                <w:color w:val="FFFFFF"/>
                <w:sz w:val="18"/>
                <w:szCs w:val="18"/>
              </w:rPr>
              <w:t>Papers Affected</w:t>
            </w:r>
          </w:p>
        </w:tc>
        <w:tc>
          <w:tcPr>
            <w:tcW w:w="3800" w:type="dxa"/>
            <w:shd w:val="clear" w:color="auto" w:fill="B58B46"/>
            <w:tcMar>
              <w:top w:w="80" w:type="dxa"/>
              <w:left w:w="100" w:type="dxa"/>
              <w:bottom w:w="80" w:type="dxa"/>
              <w:right w:w="100" w:type="dxa"/>
            </w:tcMar>
            <w:vAlign w:val="center"/>
          </w:tcPr>
          <w:p w14:paraId="7C8BE7C2" w14:textId="77777777" w:rsidR="006B19C9" w:rsidRPr="00287F6A" w:rsidRDefault="00000000">
            <w:pPr>
              <w:rPr>
                <w:rFonts w:ascii="Times New Roman" w:hAnsi="Times New Roman" w:cs="Times New Roman"/>
              </w:rPr>
            </w:pPr>
            <w:r w:rsidRPr="00287F6A">
              <w:rPr>
                <w:rFonts w:ascii="Times New Roman" w:hAnsi="Times New Roman" w:cs="Times New Roman"/>
                <w:b/>
                <w:bCs/>
                <w:color w:val="FFFFFF"/>
                <w:sz w:val="18"/>
                <w:szCs w:val="18"/>
              </w:rPr>
              <w:t>Why It Matters</w:t>
            </w:r>
          </w:p>
        </w:tc>
      </w:tr>
      <w:tr w:rsidR="006B19C9" w:rsidRPr="00287F6A" w14:paraId="0B1FF120" w14:textId="77777777">
        <w:tblPrEx>
          <w:tblCellMar>
            <w:top w:w="0" w:type="dxa"/>
            <w:bottom w:w="0" w:type="dxa"/>
          </w:tblCellMar>
        </w:tblPrEx>
        <w:tc>
          <w:tcPr>
            <w:tcW w:w="3350" w:type="dxa"/>
            <w:shd w:val="clear" w:color="auto" w:fill="FFFFFF"/>
            <w:tcMar>
              <w:top w:w="70" w:type="dxa"/>
              <w:left w:w="100" w:type="dxa"/>
              <w:bottom w:w="70" w:type="dxa"/>
              <w:right w:w="100" w:type="dxa"/>
            </w:tcMar>
            <w:vAlign w:val="center"/>
          </w:tcPr>
          <w:p w14:paraId="2542452A" w14:textId="77777777" w:rsidR="006B19C9" w:rsidRPr="00287F6A" w:rsidRDefault="00000000">
            <w:pPr>
              <w:rPr>
                <w:rFonts w:ascii="Times New Roman" w:hAnsi="Times New Roman" w:cs="Times New Roman"/>
                <w:sz w:val="24"/>
                <w:szCs w:val="24"/>
              </w:rPr>
            </w:pPr>
            <w:r w:rsidRPr="00287F6A">
              <w:rPr>
                <w:rFonts w:ascii="Times New Roman" w:hAnsi="Times New Roman" w:cs="Times New Roman"/>
                <w:color w:val="2A2A2A"/>
                <w:sz w:val="24"/>
                <w:szCs w:val="24"/>
              </w:rPr>
              <w:t>Simulation or single-site validation rather than multi-region field deployment.</w:t>
            </w:r>
          </w:p>
        </w:tc>
        <w:tc>
          <w:tcPr>
            <w:tcW w:w="2200" w:type="dxa"/>
            <w:shd w:val="clear" w:color="auto" w:fill="FFFFFF"/>
            <w:tcMar>
              <w:top w:w="70" w:type="dxa"/>
              <w:left w:w="100" w:type="dxa"/>
              <w:bottom w:w="70" w:type="dxa"/>
              <w:right w:w="100" w:type="dxa"/>
            </w:tcMar>
            <w:vAlign w:val="center"/>
          </w:tcPr>
          <w:p w14:paraId="7A6430EC" w14:textId="77777777" w:rsidR="006B19C9" w:rsidRPr="00287F6A" w:rsidRDefault="00000000">
            <w:pPr>
              <w:rPr>
                <w:rFonts w:ascii="Times New Roman" w:hAnsi="Times New Roman" w:cs="Times New Roman"/>
                <w:sz w:val="24"/>
                <w:szCs w:val="24"/>
              </w:rPr>
            </w:pPr>
            <w:r w:rsidRPr="00287F6A">
              <w:rPr>
                <w:rFonts w:ascii="Times New Roman" w:hAnsi="Times New Roman" w:cs="Times New Roman"/>
                <w:color w:val="2A2A2A"/>
                <w:sz w:val="24"/>
                <w:szCs w:val="24"/>
              </w:rPr>
              <w:t>P1, P2, P3, P6</w:t>
            </w:r>
          </w:p>
        </w:tc>
        <w:tc>
          <w:tcPr>
            <w:tcW w:w="3800" w:type="dxa"/>
            <w:shd w:val="clear" w:color="auto" w:fill="FFFFFF"/>
            <w:tcMar>
              <w:top w:w="70" w:type="dxa"/>
              <w:left w:w="100" w:type="dxa"/>
              <w:bottom w:w="70" w:type="dxa"/>
              <w:right w:w="100" w:type="dxa"/>
            </w:tcMar>
            <w:vAlign w:val="center"/>
          </w:tcPr>
          <w:p w14:paraId="70B5D7AD" w14:textId="77777777" w:rsidR="006B19C9" w:rsidRPr="00287F6A" w:rsidRDefault="00000000">
            <w:pPr>
              <w:rPr>
                <w:rFonts w:ascii="Times New Roman" w:hAnsi="Times New Roman" w:cs="Times New Roman"/>
                <w:sz w:val="24"/>
                <w:szCs w:val="24"/>
              </w:rPr>
            </w:pPr>
            <w:r w:rsidRPr="00287F6A">
              <w:rPr>
                <w:rFonts w:ascii="Times New Roman" w:hAnsi="Times New Roman" w:cs="Times New Roman"/>
                <w:color w:val="2A2A2A"/>
                <w:sz w:val="24"/>
                <w:szCs w:val="24"/>
              </w:rPr>
              <w:t>Real cold chains span many depots, vehicles and climates; a single test site may not generalize.</w:t>
            </w:r>
          </w:p>
        </w:tc>
      </w:tr>
      <w:tr w:rsidR="006B19C9" w:rsidRPr="00287F6A" w14:paraId="6FE2FD99" w14:textId="77777777">
        <w:tblPrEx>
          <w:tblCellMar>
            <w:top w:w="0" w:type="dxa"/>
            <w:bottom w:w="0" w:type="dxa"/>
          </w:tblCellMar>
        </w:tblPrEx>
        <w:tc>
          <w:tcPr>
            <w:tcW w:w="3350" w:type="dxa"/>
            <w:shd w:val="clear" w:color="auto" w:fill="F5F2EC"/>
            <w:tcMar>
              <w:top w:w="70" w:type="dxa"/>
              <w:left w:w="100" w:type="dxa"/>
              <w:bottom w:w="70" w:type="dxa"/>
              <w:right w:w="100" w:type="dxa"/>
            </w:tcMar>
            <w:vAlign w:val="center"/>
          </w:tcPr>
          <w:p w14:paraId="6372140B" w14:textId="77777777" w:rsidR="006B19C9" w:rsidRPr="00287F6A" w:rsidRDefault="00000000">
            <w:pPr>
              <w:rPr>
                <w:rFonts w:ascii="Times New Roman" w:hAnsi="Times New Roman" w:cs="Times New Roman"/>
                <w:sz w:val="24"/>
                <w:szCs w:val="24"/>
              </w:rPr>
            </w:pPr>
            <w:r w:rsidRPr="00287F6A">
              <w:rPr>
                <w:rFonts w:ascii="Times New Roman" w:hAnsi="Times New Roman" w:cs="Times New Roman"/>
                <w:color w:val="2A2A2A"/>
                <w:sz w:val="24"/>
                <w:szCs w:val="24"/>
              </w:rPr>
              <w:t>Each capability (monitoring, prediction, routing, security) studied largely in isolation.</w:t>
            </w:r>
          </w:p>
        </w:tc>
        <w:tc>
          <w:tcPr>
            <w:tcW w:w="2200" w:type="dxa"/>
            <w:shd w:val="clear" w:color="auto" w:fill="F5F2EC"/>
            <w:tcMar>
              <w:top w:w="70" w:type="dxa"/>
              <w:left w:w="100" w:type="dxa"/>
              <w:bottom w:w="70" w:type="dxa"/>
              <w:right w:w="100" w:type="dxa"/>
            </w:tcMar>
            <w:vAlign w:val="center"/>
          </w:tcPr>
          <w:p w14:paraId="2A77C569" w14:textId="77777777" w:rsidR="006B19C9" w:rsidRPr="00287F6A" w:rsidRDefault="00000000">
            <w:pPr>
              <w:rPr>
                <w:rFonts w:ascii="Times New Roman" w:hAnsi="Times New Roman" w:cs="Times New Roman"/>
                <w:sz w:val="24"/>
                <w:szCs w:val="24"/>
              </w:rPr>
            </w:pPr>
            <w:r w:rsidRPr="00287F6A">
              <w:rPr>
                <w:rFonts w:ascii="Times New Roman" w:hAnsi="Times New Roman" w:cs="Times New Roman"/>
                <w:color w:val="2A2A2A"/>
                <w:sz w:val="24"/>
                <w:szCs w:val="24"/>
              </w:rPr>
              <w:t>P1–P6</w:t>
            </w:r>
          </w:p>
        </w:tc>
        <w:tc>
          <w:tcPr>
            <w:tcW w:w="3800" w:type="dxa"/>
            <w:shd w:val="clear" w:color="auto" w:fill="F5F2EC"/>
            <w:tcMar>
              <w:top w:w="70" w:type="dxa"/>
              <w:left w:w="100" w:type="dxa"/>
              <w:bottom w:w="70" w:type="dxa"/>
              <w:right w:w="100" w:type="dxa"/>
            </w:tcMar>
            <w:vAlign w:val="center"/>
          </w:tcPr>
          <w:p w14:paraId="4FDD17B3" w14:textId="77777777" w:rsidR="006B19C9" w:rsidRPr="00287F6A" w:rsidRDefault="00000000">
            <w:pPr>
              <w:rPr>
                <w:rFonts w:ascii="Times New Roman" w:hAnsi="Times New Roman" w:cs="Times New Roman"/>
                <w:sz w:val="24"/>
                <w:szCs w:val="24"/>
              </w:rPr>
            </w:pPr>
            <w:r w:rsidRPr="00287F6A">
              <w:rPr>
                <w:rFonts w:ascii="Times New Roman" w:hAnsi="Times New Roman" w:cs="Times New Roman"/>
                <w:color w:val="2A2A2A"/>
                <w:sz w:val="24"/>
                <w:szCs w:val="24"/>
              </w:rPr>
              <w:t>The assigned platform needs all four working together, not as separate research silos.</w:t>
            </w:r>
          </w:p>
        </w:tc>
      </w:tr>
      <w:tr w:rsidR="006B19C9" w:rsidRPr="00287F6A" w14:paraId="6DCE1539" w14:textId="77777777">
        <w:tblPrEx>
          <w:tblCellMar>
            <w:top w:w="0" w:type="dxa"/>
            <w:bottom w:w="0" w:type="dxa"/>
          </w:tblCellMar>
        </w:tblPrEx>
        <w:tc>
          <w:tcPr>
            <w:tcW w:w="3350" w:type="dxa"/>
            <w:shd w:val="clear" w:color="auto" w:fill="FFFFFF"/>
            <w:tcMar>
              <w:top w:w="70" w:type="dxa"/>
              <w:left w:w="100" w:type="dxa"/>
              <w:bottom w:w="70" w:type="dxa"/>
              <w:right w:w="100" w:type="dxa"/>
            </w:tcMar>
            <w:vAlign w:val="center"/>
          </w:tcPr>
          <w:p w14:paraId="7227D309" w14:textId="77777777" w:rsidR="006B19C9" w:rsidRPr="00287F6A" w:rsidRDefault="00000000">
            <w:pPr>
              <w:rPr>
                <w:rFonts w:ascii="Times New Roman" w:hAnsi="Times New Roman" w:cs="Times New Roman"/>
                <w:sz w:val="24"/>
                <w:szCs w:val="24"/>
              </w:rPr>
            </w:pPr>
            <w:r w:rsidRPr="00287F6A">
              <w:rPr>
                <w:rFonts w:ascii="Times New Roman" w:hAnsi="Times New Roman" w:cs="Times New Roman"/>
                <w:color w:val="2A2A2A"/>
                <w:sz w:val="24"/>
                <w:szCs w:val="24"/>
              </w:rPr>
              <w:t>Limited model explainability for failure/anomaly predictions.</w:t>
            </w:r>
          </w:p>
        </w:tc>
        <w:tc>
          <w:tcPr>
            <w:tcW w:w="2200" w:type="dxa"/>
            <w:shd w:val="clear" w:color="auto" w:fill="FFFFFF"/>
            <w:tcMar>
              <w:top w:w="70" w:type="dxa"/>
              <w:left w:w="100" w:type="dxa"/>
              <w:bottom w:w="70" w:type="dxa"/>
              <w:right w:w="100" w:type="dxa"/>
            </w:tcMar>
            <w:vAlign w:val="center"/>
          </w:tcPr>
          <w:p w14:paraId="7CD7F53B" w14:textId="77777777" w:rsidR="006B19C9" w:rsidRPr="00287F6A" w:rsidRDefault="00000000">
            <w:pPr>
              <w:rPr>
                <w:rFonts w:ascii="Times New Roman" w:hAnsi="Times New Roman" w:cs="Times New Roman"/>
                <w:sz w:val="24"/>
                <w:szCs w:val="24"/>
              </w:rPr>
            </w:pPr>
            <w:r w:rsidRPr="00287F6A">
              <w:rPr>
                <w:rFonts w:ascii="Times New Roman" w:hAnsi="Times New Roman" w:cs="Times New Roman"/>
                <w:color w:val="2A2A2A"/>
                <w:sz w:val="24"/>
                <w:szCs w:val="24"/>
              </w:rPr>
              <w:t>P3, P6</w:t>
            </w:r>
          </w:p>
        </w:tc>
        <w:tc>
          <w:tcPr>
            <w:tcW w:w="3800" w:type="dxa"/>
            <w:shd w:val="clear" w:color="auto" w:fill="FFFFFF"/>
            <w:tcMar>
              <w:top w:w="70" w:type="dxa"/>
              <w:left w:w="100" w:type="dxa"/>
              <w:bottom w:w="70" w:type="dxa"/>
              <w:right w:w="100" w:type="dxa"/>
            </w:tcMar>
            <w:vAlign w:val="center"/>
          </w:tcPr>
          <w:p w14:paraId="03E7C71B" w14:textId="77777777" w:rsidR="006B19C9" w:rsidRPr="00287F6A" w:rsidRDefault="00000000">
            <w:pPr>
              <w:rPr>
                <w:rFonts w:ascii="Times New Roman" w:hAnsi="Times New Roman" w:cs="Times New Roman"/>
                <w:sz w:val="24"/>
                <w:szCs w:val="24"/>
              </w:rPr>
            </w:pPr>
            <w:r w:rsidRPr="00287F6A">
              <w:rPr>
                <w:rFonts w:ascii="Times New Roman" w:hAnsi="Times New Roman" w:cs="Times New Roman"/>
                <w:color w:val="2A2A2A"/>
                <w:sz w:val="24"/>
                <w:szCs w:val="24"/>
              </w:rPr>
              <w:t>Operators are less likely to trust or act on alerts they cannot understand.</w:t>
            </w:r>
          </w:p>
        </w:tc>
      </w:tr>
      <w:tr w:rsidR="006B19C9" w:rsidRPr="00287F6A" w14:paraId="3908E72B" w14:textId="77777777">
        <w:tblPrEx>
          <w:tblCellMar>
            <w:top w:w="0" w:type="dxa"/>
            <w:bottom w:w="0" w:type="dxa"/>
          </w:tblCellMar>
        </w:tblPrEx>
        <w:tc>
          <w:tcPr>
            <w:tcW w:w="3350" w:type="dxa"/>
            <w:shd w:val="clear" w:color="auto" w:fill="F5F2EC"/>
            <w:tcMar>
              <w:top w:w="70" w:type="dxa"/>
              <w:left w:w="100" w:type="dxa"/>
              <w:bottom w:w="70" w:type="dxa"/>
              <w:right w:w="100" w:type="dxa"/>
            </w:tcMar>
            <w:vAlign w:val="center"/>
          </w:tcPr>
          <w:p w14:paraId="16111150" w14:textId="77777777" w:rsidR="006B19C9" w:rsidRPr="00287F6A" w:rsidRDefault="00000000">
            <w:pPr>
              <w:rPr>
                <w:rFonts w:ascii="Times New Roman" w:hAnsi="Times New Roman" w:cs="Times New Roman"/>
                <w:sz w:val="24"/>
                <w:szCs w:val="24"/>
              </w:rPr>
            </w:pPr>
            <w:r w:rsidRPr="00287F6A">
              <w:rPr>
                <w:rFonts w:ascii="Times New Roman" w:hAnsi="Times New Roman" w:cs="Times New Roman"/>
                <w:color w:val="2A2A2A"/>
                <w:sz w:val="24"/>
                <w:szCs w:val="24"/>
              </w:rPr>
              <w:t>Heuristic optimization (genetic algorithms, simulated annealing) offers no optimality guarantee.</w:t>
            </w:r>
          </w:p>
        </w:tc>
        <w:tc>
          <w:tcPr>
            <w:tcW w:w="2200" w:type="dxa"/>
            <w:shd w:val="clear" w:color="auto" w:fill="F5F2EC"/>
            <w:tcMar>
              <w:top w:w="70" w:type="dxa"/>
              <w:left w:w="100" w:type="dxa"/>
              <w:bottom w:w="70" w:type="dxa"/>
              <w:right w:w="100" w:type="dxa"/>
            </w:tcMar>
            <w:vAlign w:val="center"/>
          </w:tcPr>
          <w:p w14:paraId="27D1E93B" w14:textId="77777777" w:rsidR="006B19C9" w:rsidRPr="00287F6A" w:rsidRDefault="00000000">
            <w:pPr>
              <w:rPr>
                <w:rFonts w:ascii="Times New Roman" w:hAnsi="Times New Roman" w:cs="Times New Roman"/>
                <w:sz w:val="24"/>
                <w:szCs w:val="24"/>
              </w:rPr>
            </w:pPr>
            <w:r w:rsidRPr="00287F6A">
              <w:rPr>
                <w:rFonts w:ascii="Times New Roman" w:hAnsi="Times New Roman" w:cs="Times New Roman"/>
                <w:color w:val="2A2A2A"/>
                <w:sz w:val="24"/>
                <w:szCs w:val="24"/>
              </w:rPr>
              <w:t>P4, P5</w:t>
            </w:r>
          </w:p>
        </w:tc>
        <w:tc>
          <w:tcPr>
            <w:tcW w:w="3800" w:type="dxa"/>
            <w:shd w:val="clear" w:color="auto" w:fill="F5F2EC"/>
            <w:tcMar>
              <w:top w:w="70" w:type="dxa"/>
              <w:left w:w="100" w:type="dxa"/>
              <w:bottom w:w="70" w:type="dxa"/>
              <w:right w:w="100" w:type="dxa"/>
            </w:tcMar>
            <w:vAlign w:val="center"/>
          </w:tcPr>
          <w:p w14:paraId="3AED34A1" w14:textId="77777777" w:rsidR="006B19C9" w:rsidRPr="00287F6A" w:rsidRDefault="00000000">
            <w:pPr>
              <w:rPr>
                <w:rFonts w:ascii="Times New Roman" w:hAnsi="Times New Roman" w:cs="Times New Roman"/>
                <w:sz w:val="24"/>
                <w:szCs w:val="24"/>
              </w:rPr>
            </w:pPr>
            <w:r w:rsidRPr="00287F6A">
              <w:rPr>
                <w:rFonts w:ascii="Times New Roman" w:hAnsi="Times New Roman" w:cs="Times New Roman"/>
                <w:color w:val="2A2A2A"/>
                <w:sz w:val="24"/>
                <w:szCs w:val="24"/>
              </w:rPr>
              <w:t>Good but not provably best routes; performance can vary with problem scale.</w:t>
            </w:r>
          </w:p>
        </w:tc>
      </w:tr>
      <w:tr w:rsidR="006B19C9" w:rsidRPr="00287F6A" w14:paraId="24A8E2D2" w14:textId="77777777">
        <w:tblPrEx>
          <w:tblCellMar>
            <w:top w:w="0" w:type="dxa"/>
            <w:bottom w:w="0" w:type="dxa"/>
          </w:tblCellMar>
        </w:tblPrEx>
        <w:tc>
          <w:tcPr>
            <w:tcW w:w="3350" w:type="dxa"/>
            <w:shd w:val="clear" w:color="auto" w:fill="FFFFFF"/>
            <w:tcMar>
              <w:top w:w="70" w:type="dxa"/>
              <w:left w:w="100" w:type="dxa"/>
              <w:bottom w:w="70" w:type="dxa"/>
              <w:right w:w="100" w:type="dxa"/>
            </w:tcMar>
            <w:vAlign w:val="center"/>
          </w:tcPr>
          <w:p w14:paraId="25993EEE" w14:textId="77777777" w:rsidR="006B19C9" w:rsidRPr="00287F6A" w:rsidRDefault="00000000">
            <w:pPr>
              <w:rPr>
                <w:rFonts w:ascii="Times New Roman" w:hAnsi="Times New Roman" w:cs="Times New Roman"/>
                <w:sz w:val="24"/>
                <w:szCs w:val="24"/>
              </w:rPr>
            </w:pPr>
            <w:r w:rsidRPr="00287F6A">
              <w:rPr>
                <w:rFonts w:ascii="Times New Roman" w:hAnsi="Times New Roman" w:cs="Times New Roman"/>
                <w:color w:val="2A2A2A"/>
                <w:sz w:val="24"/>
                <w:szCs w:val="24"/>
              </w:rPr>
              <w:t>Static or simplified demand/traffic assumptions.</w:t>
            </w:r>
          </w:p>
        </w:tc>
        <w:tc>
          <w:tcPr>
            <w:tcW w:w="2200" w:type="dxa"/>
            <w:shd w:val="clear" w:color="auto" w:fill="FFFFFF"/>
            <w:tcMar>
              <w:top w:w="70" w:type="dxa"/>
              <w:left w:w="100" w:type="dxa"/>
              <w:bottom w:w="70" w:type="dxa"/>
              <w:right w:w="100" w:type="dxa"/>
            </w:tcMar>
            <w:vAlign w:val="center"/>
          </w:tcPr>
          <w:p w14:paraId="030FEFEE" w14:textId="77777777" w:rsidR="006B19C9" w:rsidRPr="00287F6A" w:rsidRDefault="00000000">
            <w:pPr>
              <w:rPr>
                <w:rFonts w:ascii="Times New Roman" w:hAnsi="Times New Roman" w:cs="Times New Roman"/>
                <w:sz w:val="24"/>
                <w:szCs w:val="24"/>
              </w:rPr>
            </w:pPr>
            <w:r w:rsidRPr="00287F6A">
              <w:rPr>
                <w:rFonts w:ascii="Times New Roman" w:hAnsi="Times New Roman" w:cs="Times New Roman"/>
                <w:color w:val="2A2A2A"/>
                <w:sz w:val="24"/>
                <w:szCs w:val="24"/>
              </w:rPr>
              <w:t>P2, P5</w:t>
            </w:r>
          </w:p>
        </w:tc>
        <w:tc>
          <w:tcPr>
            <w:tcW w:w="3800" w:type="dxa"/>
            <w:shd w:val="clear" w:color="auto" w:fill="FFFFFF"/>
            <w:tcMar>
              <w:top w:w="70" w:type="dxa"/>
              <w:left w:w="100" w:type="dxa"/>
              <w:bottom w:w="70" w:type="dxa"/>
              <w:right w:w="100" w:type="dxa"/>
            </w:tcMar>
            <w:vAlign w:val="center"/>
          </w:tcPr>
          <w:p w14:paraId="15742B2C" w14:textId="77777777" w:rsidR="006B19C9" w:rsidRPr="00287F6A" w:rsidRDefault="00000000">
            <w:pPr>
              <w:rPr>
                <w:rFonts w:ascii="Times New Roman" w:hAnsi="Times New Roman" w:cs="Times New Roman"/>
                <w:sz w:val="24"/>
                <w:szCs w:val="24"/>
              </w:rPr>
            </w:pPr>
            <w:r w:rsidRPr="00287F6A">
              <w:rPr>
                <w:rFonts w:ascii="Times New Roman" w:hAnsi="Times New Roman" w:cs="Times New Roman"/>
                <w:color w:val="2A2A2A"/>
                <w:sz w:val="24"/>
                <w:szCs w:val="24"/>
              </w:rPr>
              <w:t>Real logistics demand and congestion change continuously and unpredictably.</w:t>
            </w:r>
          </w:p>
        </w:tc>
      </w:tr>
      <w:tr w:rsidR="006B19C9" w:rsidRPr="00287F6A" w14:paraId="6EC55162" w14:textId="77777777">
        <w:tblPrEx>
          <w:tblCellMar>
            <w:top w:w="0" w:type="dxa"/>
            <w:bottom w:w="0" w:type="dxa"/>
          </w:tblCellMar>
        </w:tblPrEx>
        <w:tc>
          <w:tcPr>
            <w:tcW w:w="3350" w:type="dxa"/>
            <w:shd w:val="clear" w:color="auto" w:fill="F5F2EC"/>
            <w:tcMar>
              <w:top w:w="70" w:type="dxa"/>
              <w:left w:w="100" w:type="dxa"/>
              <w:bottom w:w="70" w:type="dxa"/>
              <w:right w:w="100" w:type="dxa"/>
            </w:tcMar>
            <w:vAlign w:val="center"/>
          </w:tcPr>
          <w:p w14:paraId="7E1266BB" w14:textId="77777777" w:rsidR="006B19C9" w:rsidRPr="00287F6A" w:rsidRDefault="00000000">
            <w:pPr>
              <w:rPr>
                <w:rFonts w:ascii="Times New Roman" w:hAnsi="Times New Roman" w:cs="Times New Roman"/>
                <w:sz w:val="24"/>
                <w:szCs w:val="24"/>
              </w:rPr>
            </w:pPr>
            <w:r w:rsidRPr="00287F6A">
              <w:rPr>
                <w:rFonts w:ascii="Times New Roman" w:hAnsi="Times New Roman" w:cs="Times New Roman"/>
                <w:color w:val="2A2A2A"/>
                <w:sz w:val="24"/>
                <w:szCs w:val="24"/>
              </w:rPr>
              <w:t>Little evaluation of system overhead at high data volume (e.g., blockchain throughput).</w:t>
            </w:r>
          </w:p>
        </w:tc>
        <w:tc>
          <w:tcPr>
            <w:tcW w:w="2200" w:type="dxa"/>
            <w:shd w:val="clear" w:color="auto" w:fill="F5F2EC"/>
            <w:tcMar>
              <w:top w:w="70" w:type="dxa"/>
              <w:left w:w="100" w:type="dxa"/>
              <w:bottom w:w="70" w:type="dxa"/>
              <w:right w:w="100" w:type="dxa"/>
            </w:tcMar>
            <w:vAlign w:val="center"/>
          </w:tcPr>
          <w:p w14:paraId="22FC08F9" w14:textId="77777777" w:rsidR="006B19C9" w:rsidRPr="00287F6A" w:rsidRDefault="00000000">
            <w:pPr>
              <w:rPr>
                <w:rFonts w:ascii="Times New Roman" w:hAnsi="Times New Roman" w:cs="Times New Roman"/>
                <w:sz w:val="24"/>
                <w:szCs w:val="24"/>
              </w:rPr>
            </w:pPr>
            <w:r w:rsidRPr="00287F6A">
              <w:rPr>
                <w:rFonts w:ascii="Times New Roman" w:hAnsi="Times New Roman" w:cs="Times New Roman"/>
                <w:color w:val="2A2A2A"/>
                <w:sz w:val="24"/>
                <w:szCs w:val="24"/>
              </w:rPr>
              <w:t>P6</w:t>
            </w:r>
          </w:p>
        </w:tc>
        <w:tc>
          <w:tcPr>
            <w:tcW w:w="3800" w:type="dxa"/>
            <w:shd w:val="clear" w:color="auto" w:fill="F5F2EC"/>
            <w:tcMar>
              <w:top w:w="70" w:type="dxa"/>
              <w:left w:w="100" w:type="dxa"/>
              <w:bottom w:w="70" w:type="dxa"/>
              <w:right w:w="100" w:type="dxa"/>
            </w:tcMar>
            <w:vAlign w:val="center"/>
          </w:tcPr>
          <w:p w14:paraId="39F107CF" w14:textId="77777777" w:rsidR="006B19C9" w:rsidRPr="00287F6A" w:rsidRDefault="00000000">
            <w:pPr>
              <w:rPr>
                <w:rFonts w:ascii="Times New Roman" w:hAnsi="Times New Roman" w:cs="Times New Roman"/>
                <w:sz w:val="24"/>
                <w:szCs w:val="24"/>
              </w:rPr>
            </w:pPr>
            <w:r w:rsidRPr="00287F6A">
              <w:rPr>
                <w:rFonts w:ascii="Times New Roman" w:hAnsi="Times New Roman" w:cs="Times New Roman"/>
                <w:color w:val="2A2A2A"/>
                <w:sz w:val="24"/>
                <w:szCs w:val="24"/>
              </w:rPr>
              <w:t>A platform monitoring hundreds of shipments needs to confirm this scales.</w:t>
            </w:r>
          </w:p>
        </w:tc>
      </w:tr>
    </w:tbl>
    <w:p w14:paraId="22D01DDB" w14:textId="77777777" w:rsidR="006B19C9" w:rsidRPr="00287F6A" w:rsidRDefault="00000000">
      <w:pPr>
        <w:pStyle w:val="Heading1"/>
        <w:pBdr>
          <w:bottom w:val="single" w:sz="6" w:space="4" w:color="B58B46"/>
        </w:pBdr>
        <w:spacing w:before="320" w:after="160"/>
        <w:rPr>
          <w:rFonts w:ascii="Times New Roman" w:hAnsi="Times New Roman" w:cs="Times New Roman"/>
        </w:rPr>
      </w:pPr>
      <w:r w:rsidRPr="00287F6A">
        <w:rPr>
          <w:rFonts w:ascii="Times New Roman" w:hAnsi="Times New Roman" w:cs="Times New Roman"/>
          <w:b/>
          <w:bCs/>
          <w:color w:val="8C3244"/>
          <w:sz w:val="30"/>
          <w:szCs w:val="30"/>
        </w:rPr>
        <w:t xml:space="preserve">7.  </w:t>
      </w:r>
      <w:r w:rsidRPr="00287F6A">
        <w:rPr>
          <w:rFonts w:ascii="Times New Roman" w:hAnsi="Times New Roman" w:cs="Times New Roman"/>
          <w:b/>
          <w:bCs/>
          <w:color w:val="1E2023"/>
          <w:sz w:val="30"/>
          <w:szCs w:val="30"/>
        </w:rPr>
        <w:t>Research Gap Analysis</w:t>
      </w:r>
    </w:p>
    <w:p w14:paraId="25161AC6" w14:textId="77777777" w:rsidR="006B19C9" w:rsidRPr="00287F6A" w:rsidRDefault="00000000">
      <w:pPr>
        <w:spacing w:after="160" w:line="288" w:lineRule="auto"/>
        <w:jc w:val="both"/>
        <w:rPr>
          <w:rFonts w:ascii="Times New Roman" w:hAnsi="Times New Roman" w:cs="Times New Roman"/>
          <w:sz w:val="24"/>
          <w:szCs w:val="24"/>
        </w:rPr>
      </w:pPr>
      <w:r w:rsidRPr="00287F6A">
        <w:rPr>
          <w:rFonts w:ascii="Times New Roman" w:hAnsi="Times New Roman" w:cs="Times New Roman"/>
          <w:color w:val="2A2A2A"/>
          <w:sz w:val="24"/>
          <w:szCs w:val="24"/>
        </w:rPr>
        <w:t xml:space="preserve">Reading across all six papers together, the individual limitations converge into five broader, recurring research gaps relevant to the assigned platform, summarized in the </w:t>
      </w:r>
      <w:proofErr w:type="spellStart"/>
      <w:r w:rsidRPr="00287F6A">
        <w:rPr>
          <w:rFonts w:ascii="Times New Roman" w:hAnsi="Times New Roman" w:cs="Times New Roman"/>
          <w:color w:val="2A2A2A"/>
          <w:sz w:val="24"/>
          <w:szCs w:val="24"/>
        </w:rPr>
        <w:t>mindmap</w:t>
      </w:r>
      <w:proofErr w:type="spellEnd"/>
      <w:r w:rsidRPr="00287F6A">
        <w:rPr>
          <w:rFonts w:ascii="Times New Roman" w:hAnsi="Times New Roman" w:cs="Times New Roman"/>
          <w:color w:val="2A2A2A"/>
          <w:sz w:val="24"/>
          <w:szCs w:val="24"/>
        </w:rPr>
        <w:t xml:space="preserve"> below.</w:t>
      </w:r>
    </w:p>
    <w:p w14:paraId="5C0DEAF4" w14:textId="77777777" w:rsidR="006B19C9" w:rsidRPr="00287F6A" w:rsidRDefault="00000000">
      <w:pPr>
        <w:spacing w:before="120" w:after="40"/>
        <w:jc w:val="center"/>
        <w:rPr>
          <w:rFonts w:ascii="Times New Roman" w:hAnsi="Times New Roman" w:cs="Times New Roman"/>
        </w:rPr>
      </w:pPr>
      <w:r w:rsidRPr="00287F6A">
        <w:rPr>
          <w:rFonts w:ascii="Times New Roman" w:hAnsi="Times New Roman" w:cs="Times New Roman"/>
          <w:noProof/>
        </w:rPr>
        <w:lastRenderedPageBreak/>
        <w:drawing>
          <wp:inline distT="0" distB="0" distL="0" distR="0" wp14:anchorId="17BF0B16" wp14:editId="17191673">
            <wp:extent cx="6035040" cy="3886200"/>
            <wp:effectExtent l="0" t="0" r="0" b="0"/>
            <wp:docPr id="1673629171" name="Picture 1673629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6035040" cy="3886200"/>
                    </a:xfrm>
                    <a:prstGeom prst="rect">
                      <a:avLst/>
                    </a:prstGeom>
                  </pic:spPr>
                </pic:pic>
              </a:graphicData>
            </a:graphic>
          </wp:inline>
        </w:drawing>
      </w:r>
    </w:p>
    <w:p w14:paraId="1CFB885B" w14:textId="77777777" w:rsidR="006B19C9" w:rsidRPr="00287F6A" w:rsidRDefault="00000000">
      <w:pPr>
        <w:spacing w:before="80" w:after="260"/>
        <w:jc w:val="center"/>
        <w:rPr>
          <w:rFonts w:ascii="Times New Roman" w:hAnsi="Times New Roman" w:cs="Times New Roman"/>
        </w:rPr>
      </w:pPr>
      <w:r w:rsidRPr="00287F6A">
        <w:rPr>
          <w:rFonts w:ascii="Times New Roman" w:hAnsi="Times New Roman" w:cs="Times New Roman"/>
          <w:i/>
          <w:iCs/>
          <w:color w:val="6E6A63"/>
          <w:sz w:val="19"/>
          <w:szCs w:val="19"/>
        </w:rPr>
        <w:t xml:space="preserve">Figure 7.1 — </w:t>
      </w:r>
      <w:proofErr w:type="spellStart"/>
      <w:r w:rsidRPr="00287F6A">
        <w:rPr>
          <w:rFonts w:ascii="Times New Roman" w:hAnsi="Times New Roman" w:cs="Times New Roman"/>
          <w:i/>
          <w:iCs/>
          <w:color w:val="6E6A63"/>
          <w:sz w:val="19"/>
          <w:szCs w:val="19"/>
        </w:rPr>
        <w:t>Mindmap</w:t>
      </w:r>
      <w:proofErr w:type="spellEnd"/>
      <w:r w:rsidRPr="00287F6A">
        <w:rPr>
          <w:rFonts w:ascii="Times New Roman" w:hAnsi="Times New Roman" w:cs="Times New Roman"/>
          <w:i/>
          <w:iCs/>
          <w:color w:val="6E6A63"/>
          <w:sz w:val="19"/>
          <w:szCs w:val="19"/>
        </w:rPr>
        <w:t xml:space="preserve"> of research gaps identified across the reviewed literature</w:t>
      </w:r>
    </w:p>
    <w:p w14:paraId="78AACC3E" w14:textId="77777777" w:rsidR="006B19C9" w:rsidRPr="00287F6A" w:rsidRDefault="00000000">
      <w:pPr>
        <w:pStyle w:val="Heading1"/>
        <w:pBdr>
          <w:bottom w:val="single" w:sz="6" w:space="4" w:color="B58B46"/>
        </w:pBdr>
        <w:spacing w:before="320" w:after="160"/>
        <w:rPr>
          <w:rFonts w:ascii="Times New Roman" w:hAnsi="Times New Roman" w:cs="Times New Roman"/>
        </w:rPr>
      </w:pPr>
      <w:r w:rsidRPr="00287F6A">
        <w:rPr>
          <w:rFonts w:ascii="Times New Roman" w:hAnsi="Times New Roman" w:cs="Times New Roman"/>
          <w:b/>
          <w:bCs/>
          <w:color w:val="8C3244"/>
          <w:sz w:val="30"/>
          <w:szCs w:val="30"/>
        </w:rPr>
        <w:t xml:space="preserve">8.  </w:t>
      </w:r>
      <w:r w:rsidRPr="00287F6A">
        <w:rPr>
          <w:rFonts w:ascii="Times New Roman" w:hAnsi="Times New Roman" w:cs="Times New Roman"/>
          <w:b/>
          <w:bCs/>
          <w:color w:val="1E2023"/>
          <w:sz w:val="30"/>
          <w:szCs w:val="30"/>
        </w:rPr>
        <w:t>Future Research Directions</w:t>
      </w:r>
    </w:p>
    <w:p w14:paraId="4B6A67C6" w14:textId="77777777" w:rsidR="006B19C9" w:rsidRPr="00287F6A" w:rsidRDefault="00000000">
      <w:pPr>
        <w:pStyle w:val="ListParagraph"/>
        <w:numPr>
          <w:ilvl w:val="0"/>
          <w:numId w:val="2"/>
        </w:numPr>
        <w:spacing w:after="80"/>
        <w:rPr>
          <w:rFonts w:ascii="Times New Roman" w:hAnsi="Times New Roman" w:cs="Times New Roman"/>
          <w:sz w:val="24"/>
          <w:szCs w:val="24"/>
        </w:rPr>
      </w:pPr>
      <w:r w:rsidRPr="00287F6A">
        <w:rPr>
          <w:rFonts w:ascii="Times New Roman" w:hAnsi="Times New Roman" w:cs="Times New Roman"/>
          <w:color w:val="2A2A2A"/>
          <w:sz w:val="24"/>
          <w:szCs w:val="24"/>
        </w:rPr>
        <w:t>Integrated pipeline research: study IoT monitoring, failure prediction, and route optimization as one coupled system (as the assigned platform requires) rather than as separate papers, to measure end-to-end gains and failure interactions.</w:t>
      </w:r>
    </w:p>
    <w:p w14:paraId="4C1BFD82" w14:textId="77777777" w:rsidR="006B19C9" w:rsidRPr="00287F6A" w:rsidRDefault="00000000">
      <w:pPr>
        <w:pStyle w:val="ListParagraph"/>
        <w:numPr>
          <w:ilvl w:val="0"/>
          <w:numId w:val="2"/>
        </w:numPr>
        <w:spacing w:after="80"/>
        <w:rPr>
          <w:rFonts w:ascii="Times New Roman" w:hAnsi="Times New Roman" w:cs="Times New Roman"/>
          <w:sz w:val="24"/>
          <w:szCs w:val="24"/>
        </w:rPr>
      </w:pPr>
      <w:r w:rsidRPr="00287F6A">
        <w:rPr>
          <w:rFonts w:ascii="Times New Roman" w:hAnsi="Times New Roman" w:cs="Times New Roman"/>
          <w:color w:val="2A2A2A"/>
          <w:sz w:val="24"/>
          <w:szCs w:val="24"/>
        </w:rPr>
        <w:t>Field-scale validation: extend simulation-based studies (P1, P2, P3, P6) to multi-region pilots with real refrigerated fleets, closer to Shi et al.'s (2025) real-company validation approach.</w:t>
      </w:r>
    </w:p>
    <w:p w14:paraId="68D93140" w14:textId="77777777" w:rsidR="006B19C9" w:rsidRPr="00287F6A" w:rsidRDefault="00000000">
      <w:pPr>
        <w:pStyle w:val="ListParagraph"/>
        <w:numPr>
          <w:ilvl w:val="0"/>
          <w:numId w:val="2"/>
        </w:numPr>
        <w:spacing w:after="80"/>
        <w:rPr>
          <w:rFonts w:ascii="Times New Roman" w:hAnsi="Times New Roman" w:cs="Times New Roman"/>
          <w:sz w:val="24"/>
          <w:szCs w:val="24"/>
        </w:rPr>
      </w:pPr>
      <w:r w:rsidRPr="00287F6A">
        <w:rPr>
          <w:rFonts w:ascii="Times New Roman" w:hAnsi="Times New Roman" w:cs="Times New Roman"/>
          <w:color w:val="2A2A2A"/>
          <w:sz w:val="24"/>
          <w:szCs w:val="24"/>
        </w:rPr>
        <w:t>Explainable failure prediction: pair predictive-maintenance models like Aminzadeh et al. (2025) with interpretability methods (e.g., SHAP) so operators understand why an alert fired, building the trust needed for automated rollback/alert actions.</w:t>
      </w:r>
    </w:p>
    <w:p w14:paraId="6F4359F6" w14:textId="77777777" w:rsidR="006B19C9" w:rsidRPr="00287F6A" w:rsidRDefault="00000000">
      <w:pPr>
        <w:pStyle w:val="ListParagraph"/>
        <w:numPr>
          <w:ilvl w:val="0"/>
          <w:numId w:val="2"/>
        </w:numPr>
        <w:spacing w:after="80"/>
        <w:rPr>
          <w:rFonts w:ascii="Times New Roman" w:hAnsi="Times New Roman" w:cs="Times New Roman"/>
          <w:sz w:val="24"/>
          <w:szCs w:val="24"/>
        </w:rPr>
      </w:pPr>
      <w:r w:rsidRPr="00287F6A">
        <w:rPr>
          <w:rFonts w:ascii="Times New Roman" w:hAnsi="Times New Roman" w:cs="Times New Roman"/>
          <w:color w:val="2A2A2A"/>
          <w:sz w:val="24"/>
          <w:szCs w:val="24"/>
        </w:rPr>
        <w:t>Dynamic, uncertainty-aware routing at scale: combine Shi et al.'s (2025) entropy-based uncertainty modelling with Qin et al.'s (2019) satisfaction/carbon trade-off to optimize for cost, punctuality and emissions together, tested on larger multi-depot networks.</w:t>
      </w:r>
    </w:p>
    <w:p w14:paraId="05DF19EC" w14:textId="77777777" w:rsidR="006B19C9" w:rsidRPr="00287F6A" w:rsidRDefault="00000000">
      <w:pPr>
        <w:pStyle w:val="ListParagraph"/>
        <w:numPr>
          <w:ilvl w:val="0"/>
          <w:numId w:val="2"/>
        </w:numPr>
        <w:spacing w:after="80"/>
        <w:rPr>
          <w:rFonts w:ascii="Times New Roman" w:hAnsi="Times New Roman" w:cs="Times New Roman"/>
          <w:sz w:val="24"/>
          <w:szCs w:val="24"/>
        </w:rPr>
      </w:pPr>
      <w:r w:rsidRPr="00287F6A">
        <w:rPr>
          <w:rFonts w:ascii="Times New Roman" w:hAnsi="Times New Roman" w:cs="Times New Roman"/>
          <w:color w:val="2A2A2A"/>
          <w:sz w:val="24"/>
          <w:szCs w:val="24"/>
        </w:rPr>
        <w:t xml:space="preserve">Lightweight blockchain integration: evaluate the throughput and latency cost of Villegas-Ch et al.'s (2025) </w:t>
      </w:r>
      <w:proofErr w:type="spellStart"/>
      <w:r w:rsidRPr="00287F6A">
        <w:rPr>
          <w:rFonts w:ascii="Times New Roman" w:hAnsi="Times New Roman" w:cs="Times New Roman"/>
          <w:color w:val="2A2A2A"/>
          <w:sz w:val="24"/>
          <w:szCs w:val="24"/>
        </w:rPr>
        <w:t>AI+blockchain</w:t>
      </w:r>
      <w:proofErr w:type="spellEnd"/>
      <w:r w:rsidRPr="00287F6A">
        <w:rPr>
          <w:rFonts w:ascii="Times New Roman" w:hAnsi="Times New Roman" w:cs="Times New Roman"/>
          <w:color w:val="2A2A2A"/>
          <w:sz w:val="24"/>
          <w:szCs w:val="24"/>
        </w:rPr>
        <w:t xml:space="preserve"> architecture under realistic sensor data volumes, so traceability does not become the platform's own bottleneck.</w:t>
      </w:r>
    </w:p>
    <w:p w14:paraId="16DEB539" w14:textId="05F021F4" w:rsidR="006B19C9" w:rsidRDefault="006B19C9">
      <w:pPr>
        <w:spacing w:after="160" w:line="288" w:lineRule="auto"/>
        <w:jc w:val="both"/>
        <w:rPr>
          <w:rFonts w:ascii="Times New Roman" w:hAnsi="Times New Roman" w:cs="Times New Roman"/>
        </w:rPr>
      </w:pPr>
    </w:p>
    <w:p w14:paraId="5CA85110" w14:textId="77777777" w:rsidR="00287F6A" w:rsidRDefault="00287F6A">
      <w:pPr>
        <w:spacing w:after="160" w:line="288" w:lineRule="auto"/>
        <w:jc w:val="both"/>
        <w:rPr>
          <w:rFonts w:ascii="Times New Roman" w:hAnsi="Times New Roman" w:cs="Times New Roman"/>
        </w:rPr>
      </w:pPr>
    </w:p>
    <w:p w14:paraId="255A7BB7" w14:textId="77777777" w:rsidR="00287F6A" w:rsidRPr="00287F6A" w:rsidRDefault="00287F6A">
      <w:pPr>
        <w:spacing w:after="160" w:line="288" w:lineRule="auto"/>
        <w:jc w:val="both"/>
        <w:rPr>
          <w:rFonts w:ascii="Times New Roman" w:hAnsi="Times New Roman" w:cs="Times New Roman"/>
        </w:rPr>
      </w:pPr>
    </w:p>
    <w:tbl>
      <w:tblPr>
        <w:tblW w:w="9350" w:type="dxa"/>
        <w:tblBorders>
          <w:top w:val="single" w:sz="2" w:space="0" w:color="C9D2DA"/>
          <w:left w:val="single" w:sz="2" w:space="0" w:color="C9D2DA"/>
          <w:bottom w:val="single" w:sz="2" w:space="0" w:color="C9D2DA"/>
          <w:right w:val="single" w:sz="2" w:space="0" w:color="C9D2DA"/>
          <w:insideH w:val="single" w:sz="2" w:space="0" w:color="C9D2DA"/>
          <w:insideV w:val="single" w:sz="2" w:space="0" w:color="C9D2DA"/>
        </w:tblBorders>
        <w:tblCellMar>
          <w:left w:w="10" w:type="dxa"/>
          <w:right w:w="10" w:type="dxa"/>
        </w:tblCellMar>
        <w:tblLook w:val="0000" w:firstRow="0" w:lastRow="0" w:firstColumn="0" w:lastColumn="0" w:noHBand="0" w:noVBand="0"/>
      </w:tblPr>
      <w:tblGrid>
        <w:gridCol w:w="2884"/>
        <w:gridCol w:w="3327"/>
        <w:gridCol w:w="3139"/>
      </w:tblGrid>
      <w:tr w:rsidR="006B19C9" w:rsidRPr="00287F6A" w14:paraId="18B12B81" w14:textId="77777777">
        <w:tblPrEx>
          <w:tblCellMar>
            <w:top w:w="0" w:type="dxa"/>
            <w:bottom w:w="0" w:type="dxa"/>
          </w:tblCellMar>
        </w:tblPrEx>
        <w:trPr>
          <w:tblHeader/>
        </w:trPr>
        <w:tc>
          <w:tcPr>
            <w:tcW w:w="2900" w:type="dxa"/>
            <w:shd w:val="clear" w:color="auto" w:fill="8C3244"/>
            <w:tcMar>
              <w:top w:w="80" w:type="dxa"/>
              <w:left w:w="100" w:type="dxa"/>
              <w:bottom w:w="80" w:type="dxa"/>
              <w:right w:w="100" w:type="dxa"/>
            </w:tcMar>
            <w:vAlign w:val="center"/>
          </w:tcPr>
          <w:p w14:paraId="78DB0985" w14:textId="77777777" w:rsidR="006B19C9" w:rsidRPr="00287F6A" w:rsidRDefault="00000000">
            <w:pPr>
              <w:rPr>
                <w:rFonts w:ascii="Times New Roman" w:hAnsi="Times New Roman" w:cs="Times New Roman"/>
                <w:sz w:val="24"/>
                <w:szCs w:val="24"/>
              </w:rPr>
            </w:pPr>
            <w:r w:rsidRPr="00287F6A">
              <w:rPr>
                <w:rFonts w:ascii="Times New Roman" w:hAnsi="Times New Roman" w:cs="Times New Roman"/>
                <w:b/>
                <w:bCs/>
                <w:color w:val="FFFFFF"/>
                <w:sz w:val="24"/>
                <w:szCs w:val="24"/>
              </w:rPr>
              <w:lastRenderedPageBreak/>
              <w:t>Ethical / Societal Concern</w:t>
            </w:r>
          </w:p>
        </w:tc>
        <w:tc>
          <w:tcPr>
            <w:tcW w:w="3350" w:type="dxa"/>
            <w:shd w:val="clear" w:color="auto" w:fill="B58B46"/>
            <w:tcMar>
              <w:top w:w="80" w:type="dxa"/>
              <w:left w:w="100" w:type="dxa"/>
              <w:bottom w:w="80" w:type="dxa"/>
              <w:right w:w="100" w:type="dxa"/>
            </w:tcMar>
            <w:vAlign w:val="center"/>
          </w:tcPr>
          <w:p w14:paraId="06092DE7" w14:textId="77777777" w:rsidR="006B19C9" w:rsidRPr="00287F6A" w:rsidRDefault="00000000">
            <w:pPr>
              <w:rPr>
                <w:rFonts w:ascii="Times New Roman" w:hAnsi="Times New Roman" w:cs="Times New Roman"/>
                <w:sz w:val="24"/>
                <w:szCs w:val="24"/>
              </w:rPr>
            </w:pPr>
            <w:r w:rsidRPr="00287F6A">
              <w:rPr>
                <w:rFonts w:ascii="Times New Roman" w:hAnsi="Times New Roman" w:cs="Times New Roman"/>
                <w:b/>
                <w:bCs/>
                <w:color w:val="FFFFFF"/>
                <w:sz w:val="24"/>
                <w:szCs w:val="24"/>
              </w:rPr>
              <w:t>Where It Arises in the Literature</w:t>
            </w:r>
          </w:p>
        </w:tc>
        <w:tc>
          <w:tcPr>
            <w:tcW w:w="3150" w:type="dxa"/>
            <w:shd w:val="clear" w:color="auto" w:fill="4C6B5E"/>
            <w:tcMar>
              <w:top w:w="80" w:type="dxa"/>
              <w:left w:w="100" w:type="dxa"/>
              <w:bottom w:w="80" w:type="dxa"/>
              <w:right w:w="100" w:type="dxa"/>
            </w:tcMar>
            <w:vAlign w:val="center"/>
          </w:tcPr>
          <w:p w14:paraId="2932B0B0" w14:textId="77777777" w:rsidR="006B19C9" w:rsidRPr="00287F6A" w:rsidRDefault="00000000">
            <w:pPr>
              <w:rPr>
                <w:rFonts w:ascii="Times New Roman" w:hAnsi="Times New Roman" w:cs="Times New Roman"/>
                <w:sz w:val="24"/>
                <w:szCs w:val="24"/>
              </w:rPr>
            </w:pPr>
            <w:r w:rsidRPr="00287F6A">
              <w:rPr>
                <w:rFonts w:ascii="Times New Roman" w:hAnsi="Times New Roman" w:cs="Times New Roman"/>
                <w:b/>
                <w:bCs/>
                <w:color w:val="FFFFFF"/>
                <w:sz w:val="24"/>
                <w:szCs w:val="24"/>
              </w:rPr>
              <w:t>Responsible Mitigation</w:t>
            </w:r>
          </w:p>
        </w:tc>
      </w:tr>
      <w:tr w:rsidR="006B19C9" w:rsidRPr="00287F6A" w14:paraId="6D99D4B9" w14:textId="77777777">
        <w:tblPrEx>
          <w:tblCellMar>
            <w:top w:w="0" w:type="dxa"/>
            <w:bottom w:w="0" w:type="dxa"/>
          </w:tblCellMar>
        </w:tblPrEx>
        <w:tc>
          <w:tcPr>
            <w:tcW w:w="2900" w:type="dxa"/>
            <w:shd w:val="clear" w:color="auto" w:fill="FFFFFF"/>
            <w:tcMar>
              <w:top w:w="70" w:type="dxa"/>
              <w:left w:w="100" w:type="dxa"/>
              <w:bottom w:w="70" w:type="dxa"/>
              <w:right w:w="100" w:type="dxa"/>
            </w:tcMar>
            <w:vAlign w:val="center"/>
          </w:tcPr>
          <w:p w14:paraId="5FDEA5FD" w14:textId="77777777" w:rsidR="006B19C9" w:rsidRPr="00287F6A" w:rsidRDefault="00000000">
            <w:pPr>
              <w:rPr>
                <w:rFonts w:ascii="Times New Roman" w:hAnsi="Times New Roman" w:cs="Times New Roman"/>
                <w:sz w:val="24"/>
                <w:szCs w:val="24"/>
              </w:rPr>
            </w:pPr>
            <w:r w:rsidRPr="00287F6A">
              <w:rPr>
                <w:rFonts w:ascii="Times New Roman" w:hAnsi="Times New Roman" w:cs="Times New Roman"/>
                <w:color w:val="2A2A2A"/>
                <w:sz w:val="24"/>
                <w:szCs w:val="24"/>
              </w:rPr>
              <w:t>Data privacy of shipment location and timing.</w:t>
            </w:r>
          </w:p>
        </w:tc>
        <w:tc>
          <w:tcPr>
            <w:tcW w:w="3350" w:type="dxa"/>
            <w:shd w:val="clear" w:color="auto" w:fill="FFFFFF"/>
            <w:tcMar>
              <w:top w:w="70" w:type="dxa"/>
              <w:left w:w="100" w:type="dxa"/>
              <w:bottom w:w="70" w:type="dxa"/>
              <w:right w:w="100" w:type="dxa"/>
            </w:tcMar>
            <w:vAlign w:val="center"/>
          </w:tcPr>
          <w:p w14:paraId="7B92C89A" w14:textId="77777777" w:rsidR="006B19C9" w:rsidRPr="00287F6A" w:rsidRDefault="00000000">
            <w:pPr>
              <w:rPr>
                <w:rFonts w:ascii="Times New Roman" w:hAnsi="Times New Roman" w:cs="Times New Roman"/>
                <w:sz w:val="24"/>
                <w:szCs w:val="24"/>
              </w:rPr>
            </w:pPr>
            <w:r w:rsidRPr="00287F6A">
              <w:rPr>
                <w:rFonts w:ascii="Times New Roman" w:hAnsi="Times New Roman" w:cs="Times New Roman"/>
                <w:color w:val="2A2A2A"/>
                <w:sz w:val="24"/>
                <w:szCs w:val="24"/>
              </w:rPr>
              <w:t>P1, P4, P5 all process continuous GPS and route data.</w:t>
            </w:r>
          </w:p>
        </w:tc>
        <w:tc>
          <w:tcPr>
            <w:tcW w:w="3150" w:type="dxa"/>
            <w:shd w:val="clear" w:color="auto" w:fill="FFFFFF"/>
            <w:tcMar>
              <w:top w:w="70" w:type="dxa"/>
              <w:left w:w="100" w:type="dxa"/>
              <w:bottom w:w="70" w:type="dxa"/>
              <w:right w:w="100" w:type="dxa"/>
            </w:tcMar>
            <w:vAlign w:val="center"/>
          </w:tcPr>
          <w:p w14:paraId="4926B926" w14:textId="77777777" w:rsidR="006B19C9" w:rsidRPr="00287F6A" w:rsidRDefault="00000000">
            <w:pPr>
              <w:rPr>
                <w:rFonts w:ascii="Times New Roman" w:hAnsi="Times New Roman" w:cs="Times New Roman"/>
                <w:sz w:val="24"/>
                <w:szCs w:val="24"/>
              </w:rPr>
            </w:pPr>
            <w:r w:rsidRPr="00287F6A">
              <w:rPr>
                <w:rFonts w:ascii="Times New Roman" w:hAnsi="Times New Roman" w:cs="Times New Roman"/>
                <w:color w:val="2A2A2A"/>
                <w:sz w:val="24"/>
                <w:szCs w:val="24"/>
              </w:rPr>
              <w:t>Aggregate/anonymize location logs once a delivery is complete; restrict raw GPS access by role.</w:t>
            </w:r>
          </w:p>
        </w:tc>
      </w:tr>
      <w:tr w:rsidR="006B19C9" w:rsidRPr="00287F6A" w14:paraId="236B4314" w14:textId="77777777">
        <w:tblPrEx>
          <w:tblCellMar>
            <w:top w:w="0" w:type="dxa"/>
            <w:bottom w:w="0" w:type="dxa"/>
          </w:tblCellMar>
        </w:tblPrEx>
        <w:tc>
          <w:tcPr>
            <w:tcW w:w="2900" w:type="dxa"/>
            <w:shd w:val="clear" w:color="auto" w:fill="F5F2EC"/>
            <w:tcMar>
              <w:top w:w="70" w:type="dxa"/>
              <w:left w:w="100" w:type="dxa"/>
              <w:bottom w:w="70" w:type="dxa"/>
              <w:right w:w="100" w:type="dxa"/>
            </w:tcMar>
            <w:vAlign w:val="center"/>
          </w:tcPr>
          <w:p w14:paraId="4182A8F4" w14:textId="77777777" w:rsidR="006B19C9" w:rsidRPr="00287F6A" w:rsidRDefault="00000000">
            <w:pPr>
              <w:rPr>
                <w:rFonts w:ascii="Times New Roman" w:hAnsi="Times New Roman" w:cs="Times New Roman"/>
                <w:sz w:val="24"/>
                <w:szCs w:val="24"/>
              </w:rPr>
            </w:pPr>
            <w:r w:rsidRPr="00287F6A">
              <w:rPr>
                <w:rFonts w:ascii="Times New Roman" w:hAnsi="Times New Roman" w:cs="Times New Roman"/>
                <w:color w:val="2A2A2A"/>
                <w:sz w:val="24"/>
                <w:szCs w:val="24"/>
              </w:rPr>
              <w:t>Over-trusting black-box failure predictions.</w:t>
            </w:r>
          </w:p>
        </w:tc>
        <w:tc>
          <w:tcPr>
            <w:tcW w:w="3350" w:type="dxa"/>
            <w:shd w:val="clear" w:color="auto" w:fill="F5F2EC"/>
            <w:tcMar>
              <w:top w:w="70" w:type="dxa"/>
              <w:left w:w="100" w:type="dxa"/>
              <w:bottom w:w="70" w:type="dxa"/>
              <w:right w:w="100" w:type="dxa"/>
            </w:tcMar>
            <w:vAlign w:val="center"/>
          </w:tcPr>
          <w:p w14:paraId="4C987A46" w14:textId="77777777" w:rsidR="006B19C9" w:rsidRPr="00287F6A" w:rsidRDefault="00000000">
            <w:pPr>
              <w:rPr>
                <w:rFonts w:ascii="Times New Roman" w:hAnsi="Times New Roman" w:cs="Times New Roman"/>
                <w:sz w:val="24"/>
                <w:szCs w:val="24"/>
              </w:rPr>
            </w:pPr>
            <w:r w:rsidRPr="00287F6A">
              <w:rPr>
                <w:rFonts w:ascii="Times New Roman" w:hAnsi="Times New Roman" w:cs="Times New Roman"/>
                <w:color w:val="2A2A2A"/>
                <w:sz w:val="24"/>
                <w:szCs w:val="24"/>
              </w:rPr>
              <w:t>P3's regression model and similar ML predictors give no explanation for an alert.</w:t>
            </w:r>
          </w:p>
        </w:tc>
        <w:tc>
          <w:tcPr>
            <w:tcW w:w="3150" w:type="dxa"/>
            <w:shd w:val="clear" w:color="auto" w:fill="F5F2EC"/>
            <w:tcMar>
              <w:top w:w="70" w:type="dxa"/>
              <w:left w:w="100" w:type="dxa"/>
              <w:bottom w:w="70" w:type="dxa"/>
              <w:right w:w="100" w:type="dxa"/>
            </w:tcMar>
            <w:vAlign w:val="center"/>
          </w:tcPr>
          <w:p w14:paraId="10979CE9" w14:textId="77777777" w:rsidR="006B19C9" w:rsidRPr="00287F6A" w:rsidRDefault="00000000">
            <w:pPr>
              <w:rPr>
                <w:rFonts w:ascii="Times New Roman" w:hAnsi="Times New Roman" w:cs="Times New Roman"/>
                <w:sz w:val="24"/>
                <w:szCs w:val="24"/>
              </w:rPr>
            </w:pPr>
            <w:r w:rsidRPr="00287F6A">
              <w:rPr>
                <w:rFonts w:ascii="Times New Roman" w:hAnsi="Times New Roman" w:cs="Times New Roman"/>
                <w:color w:val="2A2A2A"/>
                <w:sz w:val="24"/>
                <w:szCs w:val="24"/>
              </w:rPr>
              <w:t>Pair predictions with explainability (Section 8) so a human always understands the “why” before acting.</w:t>
            </w:r>
          </w:p>
        </w:tc>
      </w:tr>
      <w:tr w:rsidR="006B19C9" w:rsidRPr="00287F6A" w14:paraId="020F3653" w14:textId="77777777">
        <w:tblPrEx>
          <w:tblCellMar>
            <w:top w:w="0" w:type="dxa"/>
            <w:bottom w:w="0" w:type="dxa"/>
          </w:tblCellMar>
        </w:tblPrEx>
        <w:tc>
          <w:tcPr>
            <w:tcW w:w="2900" w:type="dxa"/>
            <w:shd w:val="clear" w:color="auto" w:fill="FFFFFF"/>
            <w:tcMar>
              <w:top w:w="70" w:type="dxa"/>
              <w:left w:w="100" w:type="dxa"/>
              <w:bottom w:w="70" w:type="dxa"/>
              <w:right w:w="100" w:type="dxa"/>
            </w:tcMar>
            <w:vAlign w:val="center"/>
          </w:tcPr>
          <w:p w14:paraId="64F92517" w14:textId="77777777" w:rsidR="006B19C9" w:rsidRPr="00287F6A" w:rsidRDefault="00000000">
            <w:pPr>
              <w:rPr>
                <w:rFonts w:ascii="Times New Roman" w:hAnsi="Times New Roman" w:cs="Times New Roman"/>
                <w:sz w:val="24"/>
                <w:szCs w:val="24"/>
              </w:rPr>
            </w:pPr>
            <w:r w:rsidRPr="00287F6A">
              <w:rPr>
                <w:rFonts w:ascii="Times New Roman" w:hAnsi="Times New Roman" w:cs="Times New Roman"/>
                <w:color w:val="2A2A2A"/>
                <w:sz w:val="24"/>
                <w:szCs w:val="24"/>
              </w:rPr>
              <w:t>Equitable service across regions.</w:t>
            </w:r>
          </w:p>
        </w:tc>
        <w:tc>
          <w:tcPr>
            <w:tcW w:w="3350" w:type="dxa"/>
            <w:shd w:val="clear" w:color="auto" w:fill="FFFFFF"/>
            <w:tcMar>
              <w:top w:w="70" w:type="dxa"/>
              <w:left w:w="100" w:type="dxa"/>
              <w:bottom w:w="70" w:type="dxa"/>
              <w:right w:w="100" w:type="dxa"/>
            </w:tcMar>
            <w:vAlign w:val="center"/>
          </w:tcPr>
          <w:p w14:paraId="4510C07E" w14:textId="77777777" w:rsidR="006B19C9" w:rsidRPr="00287F6A" w:rsidRDefault="00000000">
            <w:pPr>
              <w:rPr>
                <w:rFonts w:ascii="Times New Roman" w:hAnsi="Times New Roman" w:cs="Times New Roman"/>
                <w:sz w:val="24"/>
                <w:szCs w:val="24"/>
              </w:rPr>
            </w:pPr>
            <w:r w:rsidRPr="00287F6A">
              <w:rPr>
                <w:rFonts w:ascii="Times New Roman" w:hAnsi="Times New Roman" w:cs="Times New Roman"/>
                <w:color w:val="2A2A2A"/>
                <w:sz w:val="24"/>
                <w:szCs w:val="24"/>
              </w:rPr>
              <w:t>P4, P5 optimize cost and satisfaction but were validated in one city/company context.</w:t>
            </w:r>
          </w:p>
        </w:tc>
        <w:tc>
          <w:tcPr>
            <w:tcW w:w="3150" w:type="dxa"/>
            <w:shd w:val="clear" w:color="auto" w:fill="FFFFFF"/>
            <w:tcMar>
              <w:top w:w="70" w:type="dxa"/>
              <w:left w:w="100" w:type="dxa"/>
              <w:bottom w:w="70" w:type="dxa"/>
              <w:right w:w="100" w:type="dxa"/>
            </w:tcMar>
            <w:vAlign w:val="center"/>
          </w:tcPr>
          <w:p w14:paraId="2EB57326" w14:textId="77777777" w:rsidR="006B19C9" w:rsidRPr="00287F6A" w:rsidRDefault="00000000">
            <w:pPr>
              <w:rPr>
                <w:rFonts w:ascii="Times New Roman" w:hAnsi="Times New Roman" w:cs="Times New Roman"/>
                <w:sz w:val="24"/>
                <w:szCs w:val="24"/>
              </w:rPr>
            </w:pPr>
            <w:r w:rsidRPr="00287F6A">
              <w:rPr>
                <w:rFonts w:ascii="Times New Roman" w:hAnsi="Times New Roman" w:cs="Times New Roman"/>
                <w:color w:val="2A2A2A"/>
                <w:sz w:val="24"/>
                <w:szCs w:val="24"/>
              </w:rPr>
              <w:t>Test routing fairness across underserved or rural delivery regions, not only dense urban pilots.</w:t>
            </w:r>
          </w:p>
        </w:tc>
      </w:tr>
      <w:tr w:rsidR="006B19C9" w:rsidRPr="00287F6A" w14:paraId="522BA138" w14:textId="77777777">
        <w:tblPrEx>
          <w:tblCellMar>
            <w:top w:w="0" w:type="dxa"/>
            <w:bottom w:w="0" w:type="dxa"/>
          </w:tblCellMar>
        </w:tblPrEx>
        <w:tc>
          <w:tcPr>
            <w:tcW w:w="2900" w:type="dxa"/>
            <w:shd w:val="clear" w:color="auto" w:fill="F5F2EC"/>
            <w:tcMar>
              <w:top w:w="70" w:type="dxa"/>
              <w:left w:w="100" w:type="dxa"/>
              <w:bottom w:w="70" w:type="dxa"/>
              <w:right w:w="100" w:type="dxa"/>
            </w:tcMar>
            <w:vAlign w:val="center"/>
          </w:tcPr>
          <w:p w14:paraId="1CA3C680" w14:textId="77777777" w:rsidR="006B19C9" w:rsidRPr="00287F6A" w:rsidRDefault="00000000">
            <w:pPr>
              <w:rPr>
                <w:rFonts w:ascii="Times New Roman" w:hAnsi="Times New Roman" w:cs="Times New Roman"/>
                <w:sz w:val="24"/>
                <w:szCs w:val="24"/>
              </w:rPr>
            </w:pPr>
            <w:r w:rsidRPr="00287F6A">
              <w:rPr>
                <w:rFonts w:ascii="Times New Roman" w:hAnsi="Times New Roman" w:cs="Times New Roman"/>
                <w:color w:val="2A2A2A"/>
                <w:sz w:val="24"/>
                <w:szCs w:val="24"/>
              </w:rPr>
              <w:t>Environmental accountability.</w:t>
            </w:r>
          </w:p>
        </w:tc>
        <w:tc>
          <w:tcPr>
            <w:tcW w:w="3350" w:type="dxa"/>
            <w:shd w:val="clear" w:color="auto" w:fill="F5F2EC"/>
            <w:tcMar>
              <w:top w:w="70" w:type="dxa"/>
              <w:left w:w="100" w:type="dxa"/>
              <w:bottom w:w="70" w:type="dxa"/>
              <w:right w:w="100" w:type="dxa"/>
            </w:tcMar>
            <w:vAlign w:val="center"/>
          </w:tcPr>
          <w:p w14:paraId="5202E6C1" w14:textId="77777777" w:rsidR="006B19C9" w:rsidRPr="00287F6A" w:rsidRDefault="00000000">
            <w:pPr>
              <w:rPr>
                <w:rFonts w:ascii="Times New Roman" w:hAnsi="Times New Roman" w:cs="Times New Roman"/>
                <w:sz w:val="24"/>
                <w:szCs w:val="24"/>
              </w:rPr>
            </w:pPr>
            <w:r w:rsidRPr="00287F6A">
              <w:rPr>
                <w:rFonts w:ascii="Times New Roman" w:hAnsi="Times New Roman" w:cs="Times New Roman"/>
                <w:color w:val="2A2A2A"/>
                <w:sz w:val="24"/>
                <w:szCs w:val="24"/>
              </w:rPr>
              <w:t>P1 and P4 report real energy and carbon reductions.</w:t>
            </w:r>
          </w:p>
        </w:tc>
        <w:tc>
          <w:tcPr>
            <w:tcW w:w="3150" w:type="dxa"/>
            <w:shd w:val="clear" w:color="auto" w:fill="F5F2EC"/>
            <w:tcMar>
              <w:top w:w="70" w:type="dxa"/>
              <w:left w:w="100" w:type="dxa"/>
              <w:bottom w:w="70" w:type="dxa"/>
              <w:right w:w="100" w:type="dxa"/>
            </w:tcMar>
            <w:vAlign w:val="center"/>
          </w:tcPr>
          <w:p w14:paraId="545B6B2E" w14:textId="77777777" w:rsidR="006B19C9" w:rsidRPr="00287F6A" w:rsidRDefault="00000000">
            <w:pPr>
              <w:rPr>
                <w:rFonts w:ascii="Times New Roman" w:hAnsi="Times New Roman" w:cs="Times New Roman"/>
                <w:sz w:val="24"/>
                <w:szCs w:val="24"/>
              </w:rPr>
            </w:pPr>
            <w:r w:rsidRPr="00287F6A">
              <w:rPr>
                <w:rFonts w:ascii="Times New Roman" w:hAnsi="Times New Roman" w:cs="Times New Roman"/>
                <w:color w:val="2A2A2A"/>
                <w:sz w:val="24"/>
                <w:szCs w:val="24"/>
              </w:rPr>
              <w:t>Report carbon/energy metrics transparently as a standard KPI, not just cost savings.</w:t>
            </w:r>
          </w:p>
        </w:tc>
      </w:tr>
      <w:tr w:rsidR="006B19C9" w:rsidRPr="00287F6A" w14:paraId="3742A2B6" w14:textId="77777777">
        <w:tblPrEx>
          <w:tblCellMar>
            <w:top w:w="0" w:type="dxa"/>
            <w:bottom w:w="0" w:type="dxa"/>
          </w:tblCellMar>
        </w:tblPrEx>
        <w:tc>
          <w:tcPr>
            <w:tcW w:w="2900" w:type="dxa"/>
            <w:shd w:val="clear" w:color="auto" w:fill="FFFFFF"/>
            <w:tcMar>
              <w:top w:w="70" w:type="dxa"/>
              <w:left w:w="100" w:type="dxa"/>
              <w:bottom w:w="70" w:type="dxa"/>
              <w:right w:w="100" w:type="dxa"/>
            </w:tcMar>
            <w:vAlign w:val="center"/>
          </w:tcPr>
          <w:p w14:paraId="6ED4D58E" w14:textId="77777777" w:rsidR="006B19C9" w:rsidRPr="00287F6A" w:rsidRDefault="00000000">
            <w:pPr>
              <w:rPr>
                <w:rFonts w:ascii="Times New Roman" w:hAnsi="Times New Roman" w:cs="Times New Roman"/>
                <w:sz w:val="24"/>
                <w:szCs w:val="24"/>
              </w:rPr>
            </w:pPr>
            <w:r w:rsidRPr="00287F6A">
              <w:rPr>
                <w:rFonts w:ascii="Times New Roman" w:hAnsi="Times New Roman" w:cs="Times New Roman"/>
                <w:color w:val="2A2A2A"/>
                <w:sz w:val="24"/>
                <w:szCs w:val="24"/>
              </w:rPr>
              <w:t>Tamper-resistant accountability for safety-critical goods (e.g., vaccines).</w:t>
            </w:r>
          </w:p>
        </w:tc>
        <w:tc>
          <w:tcPr>
            <w:tcW w:w="3350" w:type="dxa"/>
            <w:shd w:val="clear" w:color="auto" w:fill="FFFFFF"/>
            <w:tcMar>
              <w:top w:w="70" w:type="dxa"/>
              <w:left w:w="100" w:type="dxa"/>
              <w:bottom w:w="70" w:type="dxa"/>
              <w:right w:w="100" w:type="dxa"/>
            </w:tcMar>
            <w:vAlign w:val="center"/>
          </w:tcPr>
          <w:p w14:paraId="76119E38" w14:textId="77777777" w:rsidR="006B19C9" w:rsidRPr="00287F6A" w:rsidRDefault="00000000">
            <w:pPr>
              <w:rPr>
                <w:rFonts w:ascii="Times New Roman" w:hAnsi="Times New Roman" w:cs="Times New Roman"/>
                <w:sz w:val="24"/>
                <w:szCs w:val="24"/>
              </w:rPr>
            </w:pPr>
            <w:r w:rsidRPr="00287F6A">
              <w:rPr>
                <w:rFonts w:ascii="Times New Roman" w:hAnsi="Times New Roman" w:cs="Times New Roman"/>
                <w:color w:val="2A2A2A"/>
                <w:sz w:val="24"/>
                <w:szCs w:val="24"/>
              </w:rPr>
              <w:t>P6 pairs AI monitoring with blockchain logging.</w:t>
            </w:r>
          </w:p>
        </w:tc>
        <w:tc>
          <w:tcPr>
            <w:tcW w:w="3150" w:type="dxa"/>
            <w:shd w:val="clear" w:color="auto" w:fill="FFFFFF"/>
            <w:tcMar>
              <w:top w:w="70" w:type="dxa"/>
              <w:left w:w="100" w:type="dxa"/>
              <w:bottom w:w="70" w:type="dxa"/>
              <w:right w:w="100" w:type="dxa"/>
            </w:tcMar>
            <w:vAlign w:val="center"/>
          </w:tcPr>
          <w:p w14:paraId="1CEFD171" w14:textId="77777777" w:rsidR="006B19C9" w:rsidRPr="00287F6A" w:rsidRDefault="00000000">
            <w:pPr>
              <w:rPr>
                <w:rFonts w:ascii="Times New Roman" w:hAnsi="Times New Roman" w:cs="Times New Roman"/>
                <w:sz w:val="24"/>
                <w:szCs w:val="24"/>
              </w:rPr>
            </w:pPr>
            <w:r w:rsidRPr="00287F6A">
              <w:rPr>
                <w:rFonts w:ascii="Times New Roman" w:hAnsi="Times New Roman" w:cs="Times New Roman"/>
                <w:color w:val="2A2A2A"/>
                <w:sz w:val="24"/>
                <w:szCs w:val="24"/>
              </w:rPr>
              <w:t>Treat traceability as a core requirement for regulated cargo, not an optional add-on.</w:t>
            </w:r>
          </w:p>
        </w:tc>
      </w:tr>
    </w:tbl>
    <w:p w14:paraId="1268DE9C" w14:textId="77777777" w:rsidR="006B19C9" w:rsidRPr="00287F6A" w:rsidRDefault="00000000">
      <w:pPr>
        <w:spacing w:after="160" w:line="288" w:lineRule="auto"/>
        <w:jc w:val="both"/>
        <w:rPr>
          <w:rFonts w:ascii="Times New Roman" w:hAnsi="Times New Roman" w:cs="Times New Roman"/>
          <w:sz w:val="24"/>
          <w:szCs w:val="24"/>
        </w:rPr>
      </w:pPr>
      <w:r w:rsidRPr="00287F6A">
        <w:rPr>
          <w:rFonts w:ascii="Times New Roman" w:hAnsi="Times New Roman" w:cs="Times New Roman"/>
          <w:color w:val="2A2A2A"/>
          <w:sz w:val="24"/>
          <w:szCs w:val="24"/>
        </w:rPr>
        <w:t>Taken together, these considerations show that evolving this platform “responsibly” is not a separate task from the technical work in Sections 3–8 — it means choosing explainable models over opaque ones where trust matters, testing fairness across regions rather than a single pilot site, and treating environmental reporting and tamper-proof traceability as first-class requirements alongside accuracy and cost.</w:t>
      </w:r>
    </w:p>
    <w:p w14:paraId="5C30CCE1" w14:textId="77777777" w:rsidR="006B19C9" w:rsidRPr="00287F6A" w:rsidRDefault="00000000">
      <w:pPr>
        <w:pStyle w:val="Heading1"/>
        <w:pBdr>
          <w:bottom w:val="single" w:sz="6" w:space="4" w:color="B58B46"/>
        </w:pBdr>
        <w:spacing w:before="320" w:after="160"/>
        <w:rPr>
          <w:rFonts w:ascii="Times New Roman" w:hAnsi="Times New Roman" w:cs="Times New Roman"/>
        </w:rPr>
      </w:pPr>
      <w:r w:rsidRPr="00287F6A">
        <w:rPr>
          <w:rFonts w:ascii="Times New Roman" w:hAnsi="Times New Roman" w:cs="Times New Roman"/>
          <w:b/>
          <w:bCs/>
          <w:color w:val="1E2023"/>
          <w:sz w:val="30"/>
          <w:szCs w:val="30"/>
        </w:rPr>
        <w:t>Conclusion</w:t>
      </w:r>
    </w:p>
    <w:p w14:paraId="5730B525" w14:textId="18D180EA" w:rsidR="006B19C9" w:rsidRPr="00287F6A" w:rsidRDefault="00000000">
      <w:pPr>
        <w:spacing w:after="160" w:line="288" w:lineRule="auto"/>
        <w:jc w:val="both"/>
        <w:rPr>
          <w:rFonts w:ascii="Times New Roman" w:hAnsi="Times New Roman" w:cs="Times New Roman"/>
          <w:sz w:val="24"/>
          <w:szCs w:val="24"/>
        </w:rPr>
      </w:pPr>
      <w:r w:rsidRPr="00287F6A">
        <w:rPr>
          <w:rFonts w:ascii="Times New Roman" w:hAnsi="Times New Roman" w:cs="Times New Roman"/>
          <w:color w:val="2A2A2A"/>
          <w:sz w:val="24"/>
          <w:szCs w:val="24"/>
        </w:rPr>
        <w:t>This survey reviewed six recent, credible papers covering IoT-based cold chain monitoring, deep-learning environment forecasting, machine-learning predictive maintenance, uncertainty-aware and multi-objective route optimization, and AI-blockchain traceability. Each paper demonstrates strong results within its own scope — from 98% predictive-maintenance accuracy to an 18.3% logistics cost reduction — but the comparative analysis shows these capabilities are consistently researched in isolation and validated at limited scale. For the AI-Based Smart Cold Chain Logistics Platform, this points directly to the value of an integrated, field-validated, and explainable system: exactly the kind of platform CO5 asks students to evaluate and evolve responsibly, balancing technical performance with security, reliability, and real-world societal impact.</w:t>
      </w:r>
    </w:p>
    <w:p w14:paraId="3CFEDEA8" w14:textId="77777777" w:rsidR="00287F6A" w:rsidRDefault="00287F6A">
      <w:pPr>
        <w:pStyle w:val="Heading1"/>
        <w:pBdr>
          <w:bottom w:val="single" w:sz="6" w:space="4" w:color="B58B46"/>
        </w:pBdr>
        <w:spacing w:before="320" w:after="160"/>
        <w:rPr>
          <w:rFonts w:ascii="Times New Roman" w:hAnsi="Times New Roman" w:cs="Times New Roman"/>
          <w:b/>
          <w:bCs/>
          <w:color w:val="1E2023"/>
          <w:sz w:val="30"/>
          <w:szCs w:val="30"/>
        </w:rPr>
      </w:pPr>
    </w:p>
    <w:p w14:paraId="4B0A6E06" w14:textId="77777777" w:rsidR="00287F6A" w:rsidRDefault="00287F6A">
      <w:pPr>
        <w:pStyle w:val="Heading1"/>
        <w:pBdr>
          <w:bottom w:val="single" w:sz="6" w:space="4" w:color="B58B46"/>
        </w:pBdr>
        <w:spacing w:before="320" w:after="160"/>
        <w:rPr>
          <w:rFonts w:ascii="Times New Roman" w:hAnsi="Times New Roman" w:cs="Times New Roman"/>
          <w:b/>
          <w:bCs/>
          <w:color w:val="1E2023"/>
          <w:sz w:val="30"/>
          <w:szCs w:val="30"/>
        </w:rPr>
      </w:pPr>
    </w:p>
    <w:p w14:paraId="02A22B61" w14:textId="18B0A083" w:rsidR="006B19C9" w:rsidRPr="00287F6A" w:rsidRDefault="00000000">
      <w:pPr>
        <w:pStyle w:val="Heading1"/>
        <w:pBdr>
          <w:bottom w:val="single" w:sz="6" w:space="4" w:color="B58B46"/>
        </w:pBdr>
        <w:spacing w:before="320" w:after="160"/>
        <w:rPr>
          <w:rFonts w:ascii="Times New Roman" w:hAnsi="Times New Roman" w:cs="Times New Roman"/>
        </w:rPr>
      </w:pPr>
      <w:r w:rsidRPr="00287F6A">
        <w:rPr>
          <w:rFonts w:ascii="Times New Roman" w:hAnsi="Times New Roman" w:cs="Times New Roman"/>
          <w:b/>
          <w:bCs/>
          <w:color w:val="1E2023"/>
          <w:sz w:val="30"/>
          <w:szCs w:val="30"/>
        </w:rPr>
        <w:lastRenderedPageBreak/>
        <w:t>References</w:t>
      </w:r>
    </w:p>
    <w:p w14:paraId="2266E109" w14:textId="77777777" w:rsidR="006B19C9" w:rsidRPr="00287F6A" w:rsidRDefault="00000000">
      <w:pPr>
        <w:spacing w:after="130"/>
        <w:ind w:left="360" w:hanging="360"/>
        <w:rPr>
          <w:rFonts w:ascii="Times New Roman" w:hAnsi="Times New Roman" w:cs="Times New Roman"/>
          <w:sz w:val="24"/>
          <w:szCs w:val="24"/>
        </w:rPr>
      </w:pPr>
      <w:r w:rsidRPr="00287F6A">
        <w:rPr>
          <w:rFonts w:ascii="Times New Roman" w:hAnsi="Times New Roman" w:cs="Times New Roman"/>
          <w:color w:val="2A2A2A"/>
          <w:sz w:val="24"/>
          <w:szCs w:val="24"/>
        </w:rPr>
        <w:t>[1] Wang, K., &amp; Du, N. (2025). Real-time monitoring and energy consumption management strategy of cold chain logistics based on the internet of things. Energy Informatics, 8(1), 1–20. https://doi.org/10.1186/s42162-025-00493-w</w:t>
      </w:r>
    </w:p>
    <w:p w14:paraId="5FD3E3F9" w14:textId="77777777" w:rsidR="006B19C9" w:rsidRPr="00287F6A" w:rsidRDefault="00000000">
      <w:pPr>
        <w:spacing w:after="130"/>
        <w:ind w:left="360" w:hanging="360"/>
        <w:rPr>
          <w:rFonts w:ascii="Times New Roman" w:hAnsi="Times New Roman" w:cs="Times New Roman"/>
          <w:sz w:val="24"/>
          <w:szCs w:val="24"/>
        </w:rPr>
      </w:pPr>
      <w:r w:rsidRPr="00287F6A">
        <w:rPr>
          <w:rFonts w:ascii="Times New Roman" w:hAnsi="Times New Roman" w:cs="Times New Roman"/>
          <w:color w:val="2A2A2A"/>
          <w:sz w:val="24"/>
          <w:szCs w:val="24"/>
        </w:rPr>
        <w:t>[2] Luo, Z., Liu, W., Wu, J., Aiqing, H., &amp; Guo, J. (2024). Prediction of cold chain loading environment for agricultural products based on K-medoids-LSTM-</w:t>
      </w:r>
      <w:proofErr w:type="spellStart"/>
      <w:r w:rsidRPr="00287F6A">
        <w:rPr>
          <w:rFonts w:ascii="Times New Roman" w:hAnsi="Times New Roman" w:cs="Times New Roman"/>
          <w:color w:val="2A2A2A"/>
          <w:sz w:val="24"/>
          <w:szCs w:val="24"/>
        </w:rPr>
        <w:t>XGBoost</w:t>
      </w:r>
      <w:proofErr w:type="spellEnd"/>
      <w:r w:rsidRPr="00287F6A">
        <w:rPr>
          <w:rFonts w:ascii="Times New Roman" w:hAnsi="Times New Roman" w:cs="Times New Roman"/>
          <w:color w:val="2A2A2A"/>
          <w:sz w:val="24"/>
          <w:szCs w:val="24"/>
        </w:rPr>
        <w:t xml:space="preserve"> ensemble model. </w:t>
      </w:r>
      <w:proofErr w:type="spellStart"/>
      <w:r w:rsidRPr="00287F6A">
        <w:rPr>
          <w:rFonts w:ascii="Times New Roman" w:hAnsi="Times New Roman" w:cs="Times New Roman"/>
          <w:color w:val="2A2A2A"/>
          <w:sz w:val="24"/>
          <w:szCs w:val="24"/>
        </w:rPr>
        <w:t>PeerJ</w:t>
      </w:r>
      <w:proofErr w:type="spellEnd"/>
      <w:r w:rsidRPr="00287F6A">
        <w:rPr>
          <w:rFonts w:ascii="Times New Roman" w:hAnsi="Times New Roman" w:cs="Times New Roman"/>
          <w:color w:val="2A2A2A"/>
          <w:sz w:val="24"/>
          <w:szCs w:val="24"/>
        </w:rPr>
        <w:t xml:space="preserve"> Computer Science, 10, e2510. https://doi.org/10.7717/peerj-cs.2510</w:t>
      </w:r>
    </w:p>
    <w:p w14:paraId="5EDD9FCC" w14:textId="77777777" w:rsidR="006B19C9" w:rsidRPr="00287F6A" w:rsidRDefault="00000000">
      <w:pPr>
        <w:spacing w:after="130"/>
        <w:ind w:left="360" w:hanging="360"/>
        <w:rPr>
          <w:rFonts w:ascii="Times New Roman" w:hAnsi="Times New Roman" w:cs="Times New Roman"/>
          <w:sz w:val="24"/>
          <w:szCs w:val="24"/>
        </w:rPr>
      </w:pPr>
      <w:r w:rsidRPr="00287F6A">
        <w:rPr>
          <w:rFonts w:ascii="Times New Roman" w:hAnsi="Times New Roman" w:cs="Times New Roman"/>
          <w:color w:val="2A2A2A"/>
          <w:sz w:val="24"/>
          <w:szCs w:val="24"/>
        </w:rPr>
        <w:t xml:space="preserve">[3] Aminzadeh, A., </w:t>
      </w:r>
      <w:proofErr w:type="spellStart"/>
      <w:r w:rsidRPr="00287F6A">
        <w:rPr>
          <w:rFonts w:ascii="Times New Roman" w:hAnsi="Times New Roman" w:cs="Times New Roman"/>
          <w:color w:val="2A2A2A"/>
          <w:sz w:val="24"/>
          <w:szCs w:val="24"/>
        </w:rPr>
        <w:t>Sattarpanah</w:t>
      </w:r>
      <w:proofErr w:type="spellEnd"/>
      <w:r w:rsidRPr="00287F6A">
        <w:rPr>
          <w:rFonts w:ascii="Times New Roman" w:hAnsi="Times New Roman" w:cs="Times New Roman"/>
          <w:color w:val="2A2A2A"/>
          <w:sz w:val="24"/>
          <w:szCs w:val="24"/>
        </w:rPr>
        <w:t xml:space="preserve"> </w:t>
      </w:r>
      <w:proofErr w:type="spellStart"/>
      <w:r w:rsidRPr="00287F6A">
        <w:rPr>
          <w:rFonts w:ascii="Times New Roman" w:hAnsi="Times New Roman" w:cs="Times New Roman"/>
          <w:color w:val="2A2A2A"/>
          <w:sz w:val="24"/>
          <w:szCs w:val="24"/>
        </w:rPr>
        <w:t>Karganroudi</w:t>
      </w:r>
      <w:proofErr w:type="spellEnd"/>
      <w:r w:rsidRPr="00287F6A">
        <w:rPr>
          <w:rFonts w:ascii="Times New Roman" w:hAnsi="Times New Roman" w:cs="Times New Roman"/>
          <w:color w:val="2A2A2A"/>
          <w:sz w:val="24"/>
          <w:szCs w:val="24"/>
        </w:rPr>
        <w:t xml:space="preserve">, S., Majidi, S., </w:t>
      </w:r>
      <w:proofErr w:type="spellStart"/>
      <w:r w:rsidRPr="00287F6A">
        <w:rPr>
          <w:rFonts w:ascii="Times New Roman" w:hAnsi="Times New Roman" w:cs="Times New Roman"/>
          <w:color w:val="2A2A2A"/>
          <w:sz w:val="24"/>
          <w:szCs w:val="24"/>
        </w:rPr>
        <w:t>Dabompre</w:t>
      </w:r>
      <w:proofErr w:type="spellEnd"/>
      <w:r w:rsidRPr="00287F6A">
        <w:rPr>
          <w:rFonts w:ascii="Times New Roman" w:hAnsi="Times New Roman" w:cs="Times New Roman"/>
          <w:color w:val="2A2A2A"/>
          <w:sz w:val="24"/>
          <w:szCs w:val="24"/>
        </w:rPr>
        <w:t xml:space="preserve">, C., </w:t>
      </w:r>
      <w:proofErr w:type="spellStart"/>
      <w:r w:rsidRPr="00287F6A">
        <w:rPr>
          <w:rFonts w:ascii="Times New Roman" w:hAnsi="Times New Roman" w:cs="Times New Roman"/>
          <w:color w:val="2A2A2A"/>
          <w:sz w:val="24"/>
          <w:szCs w:val="24"/>
        </w:rPr>
        <w:t>Azaiez</w:t>
      </w:r>
      <w:proofErr w:type="spellEnd"/>
      <w:r w:rsidRPr="00287F6A">
        <w:rPr>
          <w:rFonts w:ascii="Times New Roman" w:hAnsi="Times New Roman" w:cs="Times New Roman"/>
          <w:color w:val="2A2A2A"/>
          <w:sz w:val="24"/>
          <w:szCs w:val="24"/>
        </w:rPr>
        <w:t xml:space="preserve">, K., </w:t>
      </w:r>
      <w:proofErr w:type="spellStart"/>
      <w:r w:rsidRPr="00287F6A">
        <w:rPr>
          <w:rFonts w:ascii="Times New Roman" w:hAnsi="Times New Roman" w:cs="Times New Roman"/>
          <w:color w:val="2A2A2A"/>
          <w:sz w:val="24"/>
          <w:szCs w:val="24"/>
        </w:rPr>
        <w:t>Mitride</w:t>
      </w:r>
      <w:proofErr w:type="spellEnd"/>
      <w:r w:rsidRPr="00287F6A">
        <w:rPr>
          <w:rFonts w:ascii="Times New Roman" w:hAnsi="Times New Roman" w:cs="Times New Roman"/>
          <w:color w:val="2A2A2A"/>
          <w:sz w:val="24"/>
          <w:szCs w:val="24"/>
        </w:rPr>
        <w:t xml:space="preserve">, C., &amp; </w:t>
      </w:r>
      <w:proofErr w:type="spellStart"/>
      <w:r w:rsidRPr="00287F6A">
        <w:rPr>
          <w:rFonts w:ascii="Times New Roman" w:hAnsi="Times New Roman" w:cs="Times New Roman"/>
          <w:color w:val="2A2A2A"/>
          <w:sz w:val="24"/>
          <w:szCs w:val="24"/>
        </w:rPr>
        <w:t>Sénéchal</w:t>
      </w:r>
      <w:proofErr w:type="spellEnd"/>
      <w:r w:rsidRPr="00287F6A">
        <w:rPr>
          <w:rFonts w:ascii="Times New Roman" w:hAnsi="Times New Roman" w:cs="Times New Roman"/>
          <w:color w:val="2A2A2A"/>
          <w:sz w:val="24"/>
          <w:szCs w:val="24"/>
        </w:rPr>
        <w:t>, E. (2025). A machine learning implementation to predictive maintenance and monitoring of industrial compressors. Sensors, 25(4), 1006. https://doi.org/10.3390/s25041006</w:t>
      </w:r>
    </w:p>
    <w:p w14:paraId="774834DD" w14:textId="77777777" w:rsidR="006B19C9" w:rsidRPr="00287F6A" w:rsidRDefault="00000000">
      <w:pPr>
        <w:spacing w:after="130"/>
        <w:ind w:left="360" w:hanging="360"/>
        <w:rPr>
          <w:rFonts w:ascii="Times New Roman" w:hAnsi="Times New Roman" w:cs="Times New Roman"/>
          <w:sz w:val="24"/>
          <w:szCs w:val="24"/>
        </w:rPr>
      </w:pPr>
      <w:r w:rsidRPr="00287F6A">
        <w:rPr>
          <w:rFonts w:ascii="Times New Roman" w:hAnsi="Times New Roman" w:cs="Times New Roman"/>
          <w:color w:val="2A2A2A"/>
          <w:sz w:val="24"/>
          <w:szCs w:val="24"/>
        </w:rPr>
        <w:t>[4] Shi, H., Hong, Y., Zhang, Q., &amp; Qin, J. (2025). Research on cold chain logistics joint distribution vehicle routing optimization based on uncertainty entropy and time-varying network. Entropy, 27(5), 540. https://doi.org/10.3390/e27050540</w:t>
      </w:r>
    </w:p>
    <w:p w14:paraId="282107BC" w14:textId="77777777" w:rsidR="006B19C9" w:rsidRPr="00287F6A" w:rsidRDefault="00000000">
      <w:pPr>
        <w:spacing w:after="130"/>
        <w:ind w:left="360" w:hanging="360"/>
        <w:rPr>
          <w:rFonts w:ascii="Times New Roman" w:hAnsi="Times New Roman" w:cs="Times New Roman"/>
          <w:sz w:val="24"/>
          <w:szCs w:val="24"/>
        </w:rPr>
      </w:pPr>
      <w:r w:rsidRPr="00287F6A">
        <w:rPr>
          <w:rFonts w:ascii="Times New Roman" w:hAnsi="Times New Roman" w:cs="Times New Roman"/>
          <w:color w:val="2A2A2A"/>
          <w:sz w:val="24"/>
          <w:szCs w:val="24"/>
        </w:rPr>
        <w:t>[5] Qin, G., Tao, F., &amp; Li, L. (2019). A vehicle routing optimization problem for cold chain logistics considering customer satisfaction and carbon emissions. International Journal of Environmental Research and Public Health, 16(4), 576. https://doi.org/10.3390/ijerph16040576</w:t>
      </w:r>
    </w:p>
    <w:p w14:paraId="16327E1B" w14:textId="77777777" w:rsidR="006B19C9" w:rsidRPr="00287F6A" w:rsidRDefault="00000000">
      <w:pPr>
        <w:spacing w:after="130"/>
        <w:ind w:left="360" w:hanging="360"/>
        <w:rPr>
          <w:rFonts w:ascii="Times New Roman" w:hAnsi="Times New Roman" w:cs="Times New Roman"/>
          <w:sz w:val="24"/>
          <w:szCs w:val="24"/>
        </w:rPr>
      </w:pPr>
      <w:r w:rsidRPr="00287F6A">
        <w:rPr>
          <w:rFonts w:ascii="Times New Roman" w:hAnsi="Times New Roman" w:cs="Times New Roman"/>
          <w:color w:val="2A2A2A"/>
          <w:sz w:val="24"/>
          <w:szCs w:val="24"/>
        </w:rPr>
        <w:t>[6] Villegas-Ch, W., Gutierrez, R., Govea, J., &amp; García-Ortiz, J. (2025). Integrated AI, IoT, and blockchain for enhancing security and traceability in perishable logistics. Emerging Science Journal, 9(5).</w:t>
      </w:r>
    </w:p>
    <w:p w14:paraId="2A1C9E3D" w14:textId="6A2BAB01" w:rsidR="006B19C9" w:rsidRPr="00287F6A" w:rsidRDefault="006B19C9">
      <w:pPr>
        <w:pBdr>
          <w:top w:val="single" w:sz="6" w:space="8" w:color="B58B46"/>
        </w:pBdr>
        <w:spacing w:before="260"/>
        <w:rPr>
          <w:rFonts w:ascii="Times New Roman" w:hAnsi="Times New Roman" w:cs="Times New Roman"/>
        </w:rPr>
      </w:pPr>
    </w:p>
    <w:sectPr w:rsidR="006B19C9" w:rsidRPr="00287F6A">
      <w:pgSz w:w="12240" w:h="15840"/>
      <w:pgMar w:top="1000" w:right="1000" w:bottom="1000" w:left="10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A04A08"/>
    <w:multiLevelType w:val="hybridMultilevel"/>
    <w:tmpl w:val="92FA0D9E"/>
    <w:lvl w:ilvl="0" w:tplc="DA6ACEF0">
      <w:start w:val="1"/>
      <w:numFmt w:val="bullet"/>
      <w:lvlText w:val="●"/>
      <w:lvlJc w:val="left"/>
      <w:pPr>
        <w:ind w:left="460" w:hanging="260"/>
      </w:pPr>
      <w:rPr>
        <w:color w:val="8C3244"/>
      </w:rPr>
    </w:lvl>
    <w:lvl w:ilvl="1" w:tplc="59740B46">
      <w:numFmt w:val="decimal"/>
      <w:lvlText w:val=""/>
      <w:lvlJc w:val="left"/>
    </w:lvl>
    <w:lvl w:ilvl="2" w:tplc="D3E468B2">
      <w:numFmt w:val="decimal"/>
      <w:lvlText w:val=""/>
      <w:lvlJc w:val="left"/>
    </w:lvl>
    <w:lvl w:ilvl="3" w:tplc="DF648BCE">
      <w:numFmt w:val="decimal"/>
      <w:lvlText w:val=""/>
      <w:lvlJc w:val="left"/>
    </w:lvl>
    <w:lvl w:ilvl="4" w:tplc="FCACEAA2">
      <w:numFmt w:val="decimal"/>
      <w:lvlText w:val=""/>
      <w:lvlJc w:val="left"/>
    </w:lvl>
    <w:lvl w:ilvl="5" w:tplc="DC148CF0">
      <w:numFmt w:val="decimal"/>
      <w:lvlText w:val=""/>
      <w:lvlJc w:val="left"/>
    </w:lvl>
    <w:lvl w:ilvl="6" w:tplc="6F404D9C">
      <w:numFmt w:val="decimal"/>
      <w:lvlText w:val=""/>
      <w:lvlJc w:val="left"/>
    </w:lvl>
    <w:lvl w:ilvl="7" w:tplc="C016B21A">
      <w:numFmt w:val="decimal"/>
      <w:lvlText w:val=""/>
      <w:lvlJc w:val="left"/>
    </w:lvl>
    <w:lvl w:ilvl="8" w:tplc="285EE148">
      <w:numFmt w:val="decimal"/>
      <w:lvlText w:val=""/>
      <w:lvlJc w:val="left"/>
    </w:lvl>
  </w:abstractNum>
  <w:abstractNum w:abstractNumId="1" w15:restartNumberingAfterBreak="0">
    <w:nsid w:val="5EDB4D1E"/>
    <w:multiLevelType w:val="hybridMultilevel"/>
    <w:tmpl w:val="4C84F098"/>
    <w:lvl w:ilvl="0" w:tplc="AE2ECC9E">
      <w:start w:val="1"/>
      <w:numFmt w:val="bullet"/>
      <w:lvlText w:val="●"/>
      <w:lvlJc w:val="left"/>
      <w:pPr>
        <w:ind w:left="720" w:hanging="360"/>
      </w:pPr>
    </w:lvl>
    <w:lvl w:ilvl="1" w:tplc="7D000DB6">
      <w:start w:val="1"/>
      <w:numFmt w:val="bullet"/>
      <w:lvlText w:val="○"/>
      <w:lvlJc w:val="left"/>
      <w:pPr>
        <w:ind w:left="1440" w:hanging="360"/>
      </w:pPr>
    </w:lvl>
    <w:lvl w:ilvl="2" w:tplc="77428D80">
      <w:start w:val="1"/>
      <w:numFmt w:val="bullet"/>
      <w:lvlText w:val="■"/>
      <w:lvlJc w:val="left"/>
      <w:pPr>
        <w:ind w:left="2160" w:hanging="360"/>
      </w:pPr>
    </w:lvl>
    <w:lvl w:ilvl="3" w:tplc="077C5D44">
      <w:start w:val="1"/>
      <w:numFmt w:val="bullet"/>
      <w:lvlText w:val="●"/>
      <w:lvlJc w:val="left"/>
      <w:pPr>
        <w:ind w:left="2880" w:hanging="360"/>
      </w:pPr>
    </w:lvl>
    <w:lvl w:ilvl="4" w:tplc="62AE237E">
      <w:start w:val="1"/>
      <w:numFmt w:val="bullet"/>
      <w:lvlText w:val="○"/>
      <w:lvlJc w:val="left"/>
      <w:pPr>
        <w:ind w:left="3600" w:hanging="360"/>
      </w:pPr>
    </w:lvl>
    <w:lvl w:ilvl="5" w:tplc="110C5B66">
      <w:start w:val="1"/>
      <w:numFmt w:val="bullet"/>
      <w:lvlText w:val="■"/>
      <w:lvlJc w:val="left"/>
      <w:pPr>
        <w:ind w:left="4320" w:hanging="360"/>
      </w:pPr>
    </w:lvl>
    <w:lvl w:ilvl="6" w:tplc="B9D0DA68">
      <w:start w:val="1"/>
      <w:numFmt w:val="bullet"/>
      <w:lvlText w:val="●"/>
      <w:lvlJc w:val="left"/>
      <w:pPr>
        <w:ind w:left="5040" w:hanging="360"/>
      </w:pPr>
    </w:lvl>
    <w:lvl w:ilvl="7" w:tplc="526EAA82">
      <w:start w:val="1"/>
      <w:numFmt w:val="bullet"/>
      <w:lvlText w:val="●"/>
      <w:lvlJc w:val="left"/>
      <w:pPr>
        <w:ind w:left="5760" w:hanging="360"/>
      </w:pPr>
    </w:lvl>
    <w:lvl w:ilvl="8" w:tplc="E444B02E">
      <w:start w:val="1"/>
      <w:numFmt w:val="bullet"/>
      <w:lvlText w:val="●"/>
      <w:lvlJc w:val="left"/>
      <w:pPr>
        <w:ind w:left="6480" w:hanging="360"/>
      </w:pPr>
    </w:lvl>
  </w:abstractNum>
  <w:num w:numId="1" w16cid:durableId="1884323047">
    <w:abstractNumId w:val="1"/>
    <w:lvlOverride w:ilvl="0">
      <w:startOverride w:val="1"/>
    </w:lvlOverride>
  </w:num>
  <w:num w:numId="2" w16cid:durableId="55620935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19C9"/>
    <w:rsid w:val="00287F6A"/>
    <w:rsid w:val="006B19C9"/>
    <w:rsid w:val="00DB498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2B8CBF"/>
  <w15:docId w15:val="{03CC42C4-44C1-4629-983A-4D56942E62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10</Pages>
  <Words>2842</Words>
  <Characters>16201</Characters>
  <Application>Microsoft Office Word</Application>
  <DocSecurity>0</DocSecurity>
  <Lines>135</Lines>
  <Paragraphs>38</Paragraphs>
  <ScaleCrop>false</ScaleCrop>
  <Company/>
  <LinksUpToDate>false</LinksUpToDate>
  <CharactersWithSpaces>19005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mmanisha10abc@outlook.com</cp:lastModifiedBy>
  <cp:revision>2</cp:revision>
  <dcterms:created xsi:type="dcterms:W3CDTF">2026-08-22T05:38:00Z</dcterms:created>
  <dcterms:modified xsi:type="dcterms:W3CDTF">2026-08-22T05:38:00Z</dcterms:modified>
</cp:coreProperties>
</file>