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Documentation: Diabetic Retinopathy Detection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Diabetic Retinopathy (DR) represents one of the most prevalent and debilitating microvascular complications associated with diabetes mellitus, standing as a leading cause of preventable blindness globally. The pathology involves the progressive damage to the blood vessels of the light-sensitive tissue at the back of the eye (retina). Early detection is paramount; however, the manual screening of retinal fundus images by specialized ophthalmologists is a time-intensive process prone to subjective interpretation, often resulting in delayed diagnoses in resource-constrained global health systems. The integration of advanced computer vision and deep learning into clinical diagnostic workflows offers a robust, automated triaging mechanism to mitigate these systemic delays.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technical report delineates the architecture, engineering implementation, and clinical evaluation metrics of an Artificial Intelligence-powered diagnostic web application designed for the automated detection and severity grading of Diabetic Retinopathy.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Members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conceptualization, architectural design, and software engineering of this diagnostic system were executed collaboratively by a specialized project team, operating under the designated Team ID: LTVIP2026TMIDS75194. The structural hierarchy and precise allocation of engineering responsibilities are detailed in the following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Member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Designated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Technical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Ulapalli Mani Shankar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Leader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Overall system architecture, deep learning model integration (Xception), Flask API routing, and project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Katreddi Kusuma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 development, UI/UX clinical design, responsive HTML template construction, and accessibility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Kiran Kaduluri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Backend Flask development, IBM Cloudant database configuration, user authentication mechanisms, and session state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Konda Kavya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Retinal data preprocessing, implementation of image augmentation pipelines, quality assurance, and computation of clinical evaluation metrics.</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Project Overview</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Purpose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clinical and technical purpose of this project is to democratize access to high-accuracy ophthalmic diagnostics by engineering and deploying a deep learning computational model capable of analyzing retinal fundus images in real-time. In many healthcare systems, the disproportionate ratio of undiagnosed patients to available ophthalmology specialists creates critical bottlenecks.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automating the initial screening phase, the system functions as an immediate triaging mechanism, instantly categorizing patients based on the mathematical severity of microvascular retinal damage. The overarching goal is to provide a highly scalable, computationally efficient, affordable, and non-invasive software solution to drastically improve patient outcomes in preventative ophthalmology.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integrates a comprehensive suite of computational features, transitioning complex machine learning tensor operations into a highly accessible, clinical end-user interface. The primary features include: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AI-Powered Five-Class Classification:</w:t>
      </w:r>
      <w:r w:rsidDel="00000000" w:rsidR="00000000" w:rsidRPr="00000000">
        <w:rPr>
          <w:rFonts w:ascii="Google Sans" w:cs="Google Sans" w:eastAsia="Google Sans" w:hAnsi="Google Sans"/>
          <w:color w:val="1f1f1f"/>
          <w:rtl w:val="0"/>
        </w:rPr>
        <w:t xml:space="preserve"> The core computational engine evaluates high-resolution fundus images and categorizes the underlying pathology into five distinct clinical stages: No DR (Class 0), Mild (Class 1), Moderate (Class 2), Severe (Class 3), and Proliferative DR (Class 4).</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Inference with Confidence Scoring:</w:t>
      </w:r>
      <w:r w:rsidDel="00000000" w:rsidR="00000000" w:rsidRPr="00000000">
        <w:rPr>
          <w:rFonts w:ascii="Google Sans" w:cs="Google Sans" w:eastAsia="Google Sans" w:hAnsi="Google Sans"/>
          <w:color w:val="1f1f1f"/>
          <w:rtl w:val="0"/>
        </w:rPr>
        <w:t xml:space="preserve"> Upon the submission of an image payload, the backend model executes a forward neural network pass, returning not only the deterministic predicted severity class but also a continuous probability distribution across all five classes, providing clinicians with a mathematically rigorous diagnostic confidence score.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Secure User Authentication System:</w:t>
      </w:r>
      <w:r w:rsidDel="00000000" w:rsidR="00000000" w:rsidRPr="00000000">
        <w:rPr>
          <w:rFonts w:ascii="Google Sans" w:cs="Google Sans" w:eastAsia="Google Sans" w:hAnsi="Google Sans"/>
          <w:color w:val="1f1f1f"/>
          <w:rtl w:val="0"/>
        </w:rPr>
        <w:t xml:space="preserve"> A robust access gateway ensures that all clinical data uploads and historical prediction tracking are securely bound to authenticated user profiles, maintaining the integrity of diagnostic histories.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Persistent Cloud Database Integration:</w:t>
      </w:r>
      <w:r w:rsidDel="00000000" w:rsidR="00000000" w:rsidRPr="00000000">
        <w:rPr>
          <w:rFonts w:ascii="Google Sans" w:cs="Google Sans" w:eastAsia="Google Sans" w:hAnsi="Google Sans"/>
          <w:color w:val="1f1f1f"/>
          <w:rtl w:val="0"/>
        </w:rPr>
        <w:t xml:space="preserve"> The implementation of the IBM Cloudant NoSQL database allows for the continuous storage, indexing, and rapid retrieval of historical diagnostic predictions, enabling the temporal tracking of a patient's retinal scans over time.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Clinical UI/UX Paradigms:</w:t>
      </w:r>
      <w:r w:rsidDel="00000000" w:rsidR="00000000" w:rsidRPr="00000000">
        <w:rPr>
          <w:rFonts w:ascii="Google Sans" w:cs="Google Sans" w:eastAsia="Google Sans" w:hAnsi="Google Sans"/>
          <w:color w:val="1f1f1f"/>
          <w:rtl w:val="0"/>
        </w:rPr>
        <w:t xml:space="preserve"> A responsive, gradient-based frontend design leverages color-coded severity indicators to minimize cognitive load for the clinical end-user, ensuring immediate and unambiguous visual feedback.</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Rigorous Security Validations:</w:t>
      </w:r>
      <w:r w:rsidDel="00000000" w:rsidR="00000000" w:rsidRPr="00000000">
        <w:rPr>
          <w:rFonts w:ascii="Google Sans" w:cs="Google Sans" w:eastAsia="Google Sans" w:hAnsi="Google Sans"/>
          <w:color w:val="1f1f1f"/>
          <w:rtl w:val="0"/>
        </w:rPr>
        <w:t xml:space="preserve"> Server-side file validation strictly enforces MIME type constraints and specific file size limits (e.g., a 16MB maximum payload) to comprehensively mitigate application-layer security vulnerabilities such as buffer overflows or malicious script uploads.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standard web applications frequently utilize the React/Node.js/MongoDB (MERN) technology stack, an AI-driven medical imaging application introduces unique computational constraints. Specifically, integrating heavy TensorFlow/Keras tensor operations within a Node.js event loop presents profound inefficiencies. Therefore, the architectural paradigm of this project eschews the MERN stack in favor of a Python-centric microframework architecture (HTML/Flask/Cloudant). This structural decision directly accommodates the heavy mathematical operations required by the deep learning backend natively within Python.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architecture is constructed natively using HTML5, CSS3, and Vanilla JavaScript (ES6), completely bypassing the overhead of large client-side frameworks like React. For a medical application intended to be accessible even in low-bandwidth clinic environments, minimizing the initial JavaScript payload to reduce Time-to-Interactive (TTI) is critical.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presentation layer utilizes a template-driven approach where dynamic data is rendered server-side via Flask's Jinja2 templating engine before transmission to the client. The styling framework is encapsulated entirely within a localized, centralized style.css file. This stylesheet employs modern CSS Grid and Flexbox models to achieve highly responsive, card-based clinical layouts that adapt fluidly to desktop, tablet, and mobile displays.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aesthetic considerations are deeply integrated into the DOM via color-coded severity levels. For instance, benign predictions (Class 0) dynamically inject CSS classes utilizing muted, calming tones (e.g., soft greens or blues), whereas high-risk "Proliferative" predictions (Class 4) trigger high-contrast, urgent visual alerts (e.g., deep reds). Interactive elements, particularly the drag-and-drop file upload zones, are managed via lightweight ES6 event listeners. These listeners interface with the HTML5 File API to provide immediate local visual feedback during asynchronous file selection and transmission, without necessitating a full page lifecycle reload.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infrastructure is engineered utilizing Flask (version 2.3.0), a highly extensible, lightweight Python Web Server Gateway Interface (WSGI) microframework.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Flask serves as the central orchestration layer of the application, responsible for routing HTTP requests, managing persistent session states, rendering Jinja2 templates, and, most critically, instantiating and serving the deep learning model.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documented architectural challenge in integrating Flask with TensorFlow involves the Python Global Interpreter Lock (GIL) and the thread safety of underlying C++ execution graphs. Deep learning inference via Keras/TensorFlow is notoriously problematic in multi-threaded web server environments; models loaded solely in the main thread frequently trigger segmentation faults, deadlock, or crash entirely when simultaneously accessed by multiple worker threads handling concurrent HTTP POST requests.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counteract these severe performance bottlenecks and thread-safety violations, the backend architecture mandates isolated tensor execution contexts. Research dictates that establishing independent computation graphs and session contexts per active thread is absolutely necessary when handling simultaneous requests without utilizing specialized serving infrastructure.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the architecture encapsulates the model prediction logic within a tf.Graph().as_default() context block for every inference request.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to prevent the main Flask WSGI event loop from blocking indefinitely during the computationally expensive image preprocessing and matrix multiplication phases, the architecture leverages a ThreadPoolExecutor.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ensures that computationally heavy tasks are delegated to a background thread pool, guaranteeing that the primary web server remains highly responsive to subsequent inbound TCP connections.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Learning Architecture (Modified Xception)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analytical diagnostic engine of the system is the Xception (Extreme Inception) convolutional neural network (CNN) architecture. Xception was deliberately selected over mathematically heavier models like DenseNet169, Inception-ResNet V2, or VGG16 due to its optimal equilibrium of high predictive performance and minimal parameter footprint, which drastically reduces computational overhead and latency during live inference.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Xception operates on the highly efficient mathematical paradigm of </w:t>
      </w:r>
      <w:r w:rsidDel="00000000" w:rsidR="00000000" w:rsidRPr="00000000">
        <w:rPr>
          <w:rFonts w:ascii="Google Sans" w:cs="Google Sans" w:eastAsia="Google Sans" w:hAnsi="Google Sans"/>
          <w:i w:val="1"/>
          <w:iCs w:val="1"/>
          <w:color w:val="1f1f1f"/>
          <w:rtl w:val="0"/>
        </w:rPr>
        <w:t xml:space="preserve">depthwise separable convolutions</w:t>
      </w:r>
      <w:r w:rsidDel="00000000" w:rsidR="00000000" w:rsidRPr="00000000">
        <w:rPr>
          <w:rFonts w:ascii="Google Sans" w:cs="Google Sans" w:eastAsia="Google Sans" w:hAnsi="Google Sans"/>
          <w:color w:val="1f1f1f"/>
          <w:rtl w:val="0"/>
        </w:rPr>
        <w:t xml:space="preserve">. Standard CNN convolutions perform channel-wise feature extraction and spatial-wise computations simultaneously, mapping </w:t>
      </w:r>
      <w:r w:rsidDel="00000000" w:rsidR="00000000" w:rsidRPr="00000000">
        <w:rPr>
          <w:rFonts w:ascii="Google Sans" w:cs="Google Sans" w:eastAsia="Google Sans" w:hAnsi="Google Sans"/>
          <w:color w:val="1f1f1f"/>
        </w:rPr>
        <w:drawing>
          <wp:inline distB="19050" distT="19050" distL="19050" distR="19050">
            <wp:extent cx="750689" cy="235386"/>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50689" cy="235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spatial regions across </w:t>
      </w:r>
      <w:r w:rsidDel="00000000" w:rsidR="00000000" w:rsidRPr="00000000">
        <w:rPr>
          <w:rFonts w:ascii="Google Sans" w:cs="Google Sans" w:eastAsia="Google Sans" w:hAnsi="Google Sans"/>
          <w:color w:val="1f1f1f"/>
        </w:rPr>
        <w:drawing>
          <wp:inline distB="19050" distT="19050" distL="19050" distR="19050">
            <wp:extent cx="198933" cy="23743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8933" cy="237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input channels to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output channels in a single operation with a computational cost of </w:t>
      </w:r>
      <w:r w:rsidDel="00000000" w:rsidR="00000000" w:rsidRPr="00000000">
        <w:rPr>
          <w:rFonts w:ascii="Google Sans" w:cs="Google Sans" w:eastAsia="Google Sans" w:hAnsi="Google Sans"/>
          <w:color w:val="1f1f1f"/>
        </w:rPr>
        <w:drawing>
          <wp:inline distB="19050" distT="19050" distL="19050" distR="19050">
            <wp:extent cx="1203227" cy="235552"/>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03227" cy="235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stark contrast, Xception strictly decouples these operations. It first executes a depthwise convolution (a spatial convolution performed completely independently over every single channel of the input), immediately followed by a pointwise convolution (a </w:t>
      </w:r>
      <w:r w:rsidDel="00000000" w:rsidR="00000000" w:rsidRPr="00000000">
        <w:rPr>
          <w:rFonts w:ascii="Google Sans" w:cs="Google Sans" w:eastAsia="Google Sans" w:hAnsi="Google Sans"/>
          <w:color w:val="1f1f1f"/>
        </w:rPr>
        <w:drawing>
          <wp:inline distB="19050" distT="19050" distL="19050" distR="19050">
            <wp:extent cx="409773" cy="217692"/>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9773" cy="2176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spatial convolution projecting the separated channels into a new logical depth space). This factorization reduces the computational complexity to </w:t>
      </w:r>
      <w:r w:rsidDel="00000000" w:rsidR="00000000" w:rsidRPr="00000000">
        <w:rPr>
          <w:rFonts w:ascii="Google Sans" w:cs="Google Sans" w:eastAsia="Google Sans" w:hAnsi="Google Sans"/>
          <w:color w:val="1f1f1f"/>
        </w:rPr>
        <w:drawing>
          <wp:inline distB="19050" distT="19050" distL="19050" distR="19050">
            <wp:extent cx="1627384" cy="235208"/>
            <wp:effectExtent b="0" l="0" r="0" t="0"/>
            <wp:docPr id="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627384" cy="23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yielding a highly efficient network capable of extracting complex microvascular patterns from retinal imagery without demanding excessive GPU memory.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network architecture was initialized utilizing weights pre-trained on the ImageNet dataset, employing a transfer learning strategy. This approach brilliantly exploits low-level feature detectors (such as generic edge, curve, and texture filters) already learned from millions of natural images, adapting them to the medical domain. The foundational Xception model is mathematically augmented with custom classification layers precisely tailored for the multi-class DR detection task: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Activation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and Mathematical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Pre-trained Xception feature extractor (ImageNet weights).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GlobalAveragePooling2D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spatial dimensions of feature maps to a single 1D vector, drastically minimizing the parameter count and mitigating the risk of overfitting by aggregating spatial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Dense (512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Introduces highly non-linear transformations to the pooled feature vectors.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Standard Rectified Linear Unit (</w:t>
            </w:r>
            <w:r w:rsidDel="00000000" w:rsidR="00000000" w:rsidRPr="00000000">
              <w:rPr>
                <w:rFonts w:ascii="Google Sans" w:cs="Google Sans" w:eastAsia="Google Sans" w:hAnsi="Google Sans"/>
                <w:color w:val="1f1f1f"/>
                <w:shd w:fill="auto" w:val="clear"/>
              </w:rPr>
              <w:drawing>
                <wp:inline distB="19050" distT="19050" distL="19050" distR="19050">
                  <wp:extent cx="766465" cy="236327"/>
                  <wp:effectExtent b="0" l="0" r="0" t="0"/>
                  <wp:docPr id="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766465" cy="2363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used to avoid the computational expense of alternatives like Swish or Mish while preventing vanishing gradients.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Dropout (0.5)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Regularization layer that randomly zeroes 50% of the activation matrix during training, forcing the network to learn highly robust, redundant feature representations of retinal damage.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Dense (256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Secondary non-linear feature projection layer.</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Dropout (0.3)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Secondary regularization layer to further constrain overfitting.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Dense (5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Softmax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final output layer. The Softmax function normalizes the raw logit scores into a continuous probability distribution </w:t>
            </w:r>
            <w:r w:rsidDel="00000000" w:rsidR="00000000" w:rsidRPr="00000000">
              <w:rPr>
                <w:rFonts w:ascii="Google Sans" w:cs="Google Sans" w:eastAsia="Google Sans" w:hAnsi="Google Sans"/>
                <w:color w:val="1f1f1f"/>
                <w:shd w:fill="auto" w:val="clear"/>
              </w:rPr>
              <w:drawing>
                <wp:inline distB="19050" distT="19050" distL="19050" distR="19050">
                  <wp:extent cx="621407" cy="211407"/>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21407" cy="2114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across the five DR severity classes.</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training pipeline implements a highly structured, two-phase fine-tuning strategy. In Phase 1, the base Xception feature extraction layers remain strictly frozen (weights are immutable), allowing the randomly initialized top dense layers to converge without violently destroying the pre-trained ImageNet representations. In Phase 2, the last 20 layers of the Xception base are unfrozen. The learning rate is drastically reduced, allowing the network to perform fine-grained, task-specific spatial pattern recognition on microaneurysms and exudates. Experimental research on similar datasets demonstrates that employing modified deep layer aggregation—combining multi-level features from different convolutional blocks within Xception—can elevate classification accuracy to 83.09%, with an impressive sensitivity benchmark of 88.24% and specificity of 87.00%.</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and Cloudant Integration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persistence layer is entirely powered by IBM Cloudant, a fully managed, distributed NoSQL Database-as-a-Service (DBaaS) architecture based heavily on the Apache CouchDB protocol.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Cloudant operates inherently on a JSON document architecture. This document-oriented paradigm provides exceptional flexibility for storing unstructured or semi-structured clinical data, a distinct advantage over rigid SQL tabular schemas.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database is inherently schema-less at the infrastructure level, a strict logical schema is enforced at the Flask application level. When a clinical prediction is successfully generated, a JSON document is instantiated. The logical schema for a diagnostic record encompasses the following key-value pairs: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_id: A mathematically unique, system-generated UUID for the document.</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user_id: The cryptographic identifier binding the record to a specific authenticated clinician or user.</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timestamp: The exact ISO 8601 formatted temporal record of the inference execution.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filename: The sanitized string reference of the uploaded retinal fundus image.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prediction_class: The integer (0-4) representing the highest probability severity grade.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confidence_scores: An array of five floating-point integers representing the exact Softmax probability distribution.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Cloudant's underlying Multi-Version Concurrency Control (MVCC) protocol ensures that concurrent database reads and writes during high-volume diagnostic sessions do not result in locking contentions, race conditions, or catastrophic data corruption. All interactions with the database are facilitated securely via the official IBM Cloudant Python SDK, which abstracts the underlying REST API HTTP communications into streamlined programmatic methods.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Setup Instructions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the Diabetic Retinopathy Detection System requires a strictly controlled virtual environment to mitigate dependency conflicts between the complex matrix-math libraries (TensorFlow/Keras) and underlying system-level Python packages.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Prerequisites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deployment, the host server or local machine must possess the following software dependencies: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Python 3.8+</w:t>
      </w:r>
      <w:r w:rsidDel="00000000" w:rsidR="00000000" w:rsidRPr="00000000">
        <w:rPr>
          <w:rFonts w:ascii="Google Sans" w:cs="Google Sans" w:eastAsia="Google Sans" w:hAnsi="Google Sans"/>
          <w:color w:val="1f1f1f"/>
          <w:rtl w:val="0"/>
        </w:rPr>
        <w:t xml:space="preserve">: The core execution environment (TensorFlow 2.3.2 requires specific Python version bindings).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pip</w:t>
      </w:r>
      <w:r w:rsidDel="00000000" w:rsidR="00000000" w:rsidRPr="00000000">
        <w:rPr>
          <w:rFonts w:ascii="Google Sans" w:cs="Google Sans" w:eastAsia="Google Sans" w:hAnsi="Google Sans"/>
          <w:color w:val="1f1f1f"/>
          <w:rtl w:val="0"/>
        </w:rPr>
        <w:t xml:space="preserve">: The standard Python package installer.</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Git</w:t>
      </w:r>
      <w:r w:rsidDel="00000000" w:rsidR="00000000" w:rsidRPr="00000000">
        <w:rPr>
          <w:rFonts w:ascii="Google Sans" w:cs="Google Sans" w:eastAsia="Google Sans" w:hAnsi="Google Sans"/>
          <w:color w:val="1f1f1f"/>
          <w:rtl w:val="0"/>
        </w:rPr>
        <w:t xml:space="preserve">: For version control and repository cloning.</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IBM Cloud Account</w:t>
      </w:r>
      <w:r w:rsidDel="00000000" w:rsidR="00000000" w:rsidRPr="00000000">
        <w:rPr>
          <w:rFonts w:ascii="Google Sans" w:cs="Google Sans" w:eastAsia="Google Sans" w:hAnsi="Google Sans"/>
          <w:color w:val="1f1f1f"/>
          <w:rtl w:val="0"/>
        </w:rPr>
        <w:t xml:space="preserve">: Required strictly for provisioning the Cloudant database instance and generating IAM credentials.</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Pre-trained Model Artifact</w:t>
      </w:r>
      <w:r w:rsidDel="00000000" w:rsidR="00000000" w:rsidRPr="00000000">
        <w:rPr>
          <w:rFonts w:ascii="Google Sans" w:cs="Google Sans" w:eastAsia="Google Sans" w:hAnsi="Google Sans"/>
          <w:color w:val="1f1f1f"/>
          <w:rtl w:val="0"/>
        </w:rPr>
        <w:t xml:space="preserve">: The Updated-Xception-diabetic-retinopathy.h5 weights file must be generated via the provided Jupyter Notebook (model/Xception_Diabetic_retinopathy.ipynb) prior to application initialization.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Installation</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Repository Cloning and Environment Isolation: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Isolating the execution environment is a critical software engineering standard practice to prevent package version pollution.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git </w:t>
      </w:r>
      <w:r w:rsidDel="00000000" w:rsidR="00000000" w:rsidRPr="00000000">
        <w:rPr>
          <w:rFonts w:ascii="Google Sans" w:cs="Google Sans" w:eastAsia="Google Sans" w:hAnsi="Google Sans"/>
          <w:i w:val="0"/>
          <w:iCs w:val="0"/>
          <w:color w:val="1967d2"/>
          <w:sz w:val="20"/>
          <w:szCs w:val="20"/>
          <w:shd w:fill="f0f4f9" w:val="clear"/>
          <w:rtl w:val="0"/>
        </w:rPr>
        <w:t xml:space="preserve">clone</w:t>
      </w:r>
      <w:r w:rsidDel="00000000" w:rsidR="00000000" w:rsidRPr="00000000">
        <w:rPr>
          <w:rFonts w:ascii="Google Sans" w:cs="Google Sans" w:eastAsia="Google Sans" w:hAnsi="Google Sans"/>
          <w:color w:val="1f1f1f"/>
          <w:shd w:fill="f0f4f9" w:val="clear"/>
          <w:rtl w:val="0"/>
        </w:rPr>
        <w:t xml:space="preserve"> &lt;repository_url&gt;</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cd</w:t>
      </w:r>
      <w:r w:rsidDel="00000000" w:rsidR="00000000" w:rsidRPr="00000000">
        <w:rPr>
          <w:rFonts w:ascii="Google Sans" w:cs="Google Sans" w:eastAsia="Google Sans" w:hAnsi="Google Sans"/>
          <w:color w:val="1f1f1f"/>
          <w:shd w:fill="f0f4f9" w:val="clear"/>
          <w:rtl w:val="0"/>
        </w:rPr>
        <w:t xml:space="preserve"> SmartinterProject</w:t>
        <w:br w:type="textWrapping"/>
        <w:t xml:space="preserve">python -m venv venv</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source</w:t>
      </w:r>
      <w:r w:rsidDel="00000000" w:rsidR="00000000" w:rsidRPr="00000000">
        <w:rPr>
          <w:rFonts w:ascii="Google Sans" w:cs="Google Sans" w:eastAsia="Google Sans" w:hAnsi="Google Sans"/>
          <w:color w:val="1f1f1f"/>
          <w:shd w:fill="f0f4f9" w:val="clear"/>
          <w:rtl w:val="0"/>
        </w:rPr>
        <w:t xml:space="preserve"> venv/bin/activate  </w:t>
      </w:r>
      <w:r w:rsidDel="00000000" w:rsidR="00000000" w:rsidRPr="00000000">
        <w:rPr>
          <w:rFonts w:ascii="Google Sans" w:cs="Google Sans" w:eastAsia="Google Sans" w:hAnsi="Google Sans"/>
          <w:i w:val="0"/>
          <w:iCs w:val="0"/>
          <w:color w:val="5f6368"/>
          <w:sz w:val="20"/>
          <w:szCs w:val="20"/>
          <w:shd w:fill="f0f4f9" w:val="clear"/>
          <w:rtl w:val="0"/>
        </w:rPr>
        <w:t xml:space="preserve"># Unix/MacOS</w:t>
      </w:r>
      <w:r w:rsidDel="00000000" w:rsidR="00000000" w:rsidRPr="00000000">
        <w:rPr>
          <w:rFonts w:ascii="Google Sans" w:cs="Google Sans" w:eastAsia="Google Sans" w:hAnsi="Google Sans"/>
          <w:color w:val="1f1f1f"/>
          <w:shd w:fill="f0f4f9" w:val="clear"/>
          <w:rtl w:val="0"/>
        </w:rPr>
        <w:br w:type="textWrapping"/>
        <w:t xml:space="preserve">venv\Scripts\activate     </w:t>
      </w:r>
      <w:r w:rsidDel="00000000" w:rsidR="00000000" w:rsidRPr="00000000">
        <w:rPr>
          <w:rFonts w:ascii="Google Sans" w:cs="Google Sans" w:eastAsia="Google Sans" w:hAnsi="Google Sans"/>
          <w:i w:val="0"/>
          <w:iCs w:val="0"/>
          <w:color w:val="5f6368"/>
          <w:sz w:val="20"/>
          <w:szCs w:val="20"/>
          <w:shd w:fill="f0f4f9" w:val="clear"/>
          <w:rtl w:val="0"/>
        </w:rPr>
        <w:t xml:space="preserve"># Windows Command Prompt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Dependency 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requirements.txt file strictly pins all library versions (e.g., Flask 2.3.0, TensorFlow 2.3.2, Pillow 11.1.0) to ensure absolute environmental reproducibility.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pip install -r requirements.txt</w:t>
        <w:br w:type="textWrapping"/>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Deep Learning Model Configuration: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Execute the core Xception_Diabetic_retinopathy.ipynb notebook within a Google Colab instance or a local CUDA-accelerated GPU environment. This process entails downloading the Kaggle dataset, training the Xception architecture, and exporting the final converged tensor weights. The resulting .h5 file must be manually transferred to the model/ directory within the project tree.</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Environment Variables 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Security paradigms dictate that cryptographic keys and database credentials must never be hardcoded into the source application logic. The system utilizes a .env file to inject configurations dynamically at runtime. Duplicate the provided .env.example file to instantiate .env, and populate the parameters: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Code snippet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FLASK_APP=app.py</w:t>
        <w:br w:type="textWrapping"/>
        <w:t xml:space="preserve">FLASK_ENV=development</w:t>
        <w:br w:type="textWrapping"/>
        <w:t xml:space="preserve">SECRET_KEY=&lt;cryptographic_random_string_for_session_signing&gt;</w:t>
        <w:br w:type="textWrapping"/>
        <w:t xml:space="preserve">CLOUDANT_URL=&lt;https://your-instance-id-bluemix.cloudant.com&gt;</w:t>
        <w:br w:type="textWrapping"/>
        <w:t xml:space="preserve">CLOUDANT_APIKEY=&lt;your_iam_api_key_string&gt;</w:t>
        <w:br w:type="textWrapping"/>
        <w:t xml:space="preserve">CLOUDANT_AUTH_TYPE=IAM</w:t>
        <w:br w:type="textWrapping"/>
        <w:t xml:space="preserve">MAX_CONTENT_LENGTH=16777216</w:t>
        <w:br w:type="textWrapping"/>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Folder Structure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architecture is organized adhering to a strict separation-of-concerns methodology, segregating machine learning logic, presentation assets, backend routing, and deployment documentation.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(Static &amp; Templates)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presentation layer is logically compartmentalized within two primary directories: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templates/: Contains the server-side rendered HTML5 views utilizing Jinja2 syntax.</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index.html: The core landing interface featuring the image upload module.</w:t>
      </w:r>
    </w:p>
    <w:p w:rsidR="00000000" w:rsidDel="00000000" w:rsidP="00000000" w:rsidRDefault="00000000" w:rsidRPr="00000000" w14:paraId="0000006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login.html &amp; register.html: The authentication gateway views.</w:t>
      </w:r>
    </w:p>
    <w:p w:rsidR="00000000" w:rsidDel="00000000" w:rsidP="00000000" w:rsidRDefault="00000000" w:rsidRPr="00000000" w14:paraId="0000006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prediction.html: The highly dynamic view responsible for rendering the neural network's tensor outputs and probability charts.</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history.html: The tabular data rendering template interfacing with the Cloudant document arrays.</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about.html: End-user clinical documentation and project disclaimers.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static/css/style.css: The centralized, monolithic stylesheet dictating the responsive UI grids, typography, and thematic clinical color coding across the entire application.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(Backend Logic &amp; Models)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execution logic and state management are structured as follows: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app.py: The monolithic core of the application. This file contains the WSGI application configuration, all RESTful API endpoint definitions, the TensorFlow graph management context blocks, and the IBM Cloudant database SDK integration logic.</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model/: A dedicated directory housing the foundational Jupyter Notebook (Xception_Diabetic_retinopathy.ipynb) utilized for the mathematical training and evaluation of the Xception network, alongside the final compiled .h5 binary model artifact.</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uploads/: A temporary, ephemeral storage directory utilized by the server for staging incoming multipart/form-data image payloads. Files are rapidly scrubbed from this directory post-inference to minimize host storage overhead and maintain patient data privacy.</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requirements.txt: The deterministic dependency tree lockfile.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README.md, QUICKSTART.md, CLOUDANT_SETUP.md, TROUBLESHOOTING.md: Exhaustive internal engineering documentation files providing setup and debugging heuristics.</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Running the Application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architecture explicitly supports both localized execution for rapid development and distinct production deployment strategies.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Development Server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initialize the internal Werkzeug development server provided natively by Flask, execute the following command within the activated virtual environment at the project root: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python app.py</w:t>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execution, the application binds to the local loopback address at http://localhost:5000.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Critical Architectural Note:</w:t>
      </w:r>
      <w:r w:rsidDel="00000000" w:rsidR="00000000" w:rsidRPr="00000000">
        <w:rPr>
          <w:rFonts w:ascii="Google Sans" w:cs="Google Sans" w:eastAsia="Google Sans" w:hAnsi="Google Sans"/>
          <w:color w:val="1f1f1f"/>
          <w:rtl w:val="0"/>
        </w:rPr>
        <w:t xml:space="preserve"> The default Werkzeug development server is inherently single-threaded. It is entirely unoptimized for handling concurrent blocking I/O operations or simultaneous heavy tensor computations. Furthermore, when utilizing the local development server for testing large multi-megabyte retinal image payloads, developers may occasionally encounter low-level TCP Connection Reset errors rather than standard HTTP 413 (Payload Too Large) responses, due to the underlying OS socket buffering behavior.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WSGI Server Deployment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live clinical or production environments, serving a complex medical inference API via the built-in Werkzeug server is a severe engineering anti-pattern. The application must be served via a highly robust, concurrent HTTP/WSGI server architecture such as Gunicorn or uWSGI, optimally placed behind a reverse proxy server (such as Nginx) to handle static file serving and SSL/TLS termination.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launch the application utilizing Gunicorn: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gunicorn --workers 4 --</w:t>
      </w:r>
      <w:r w:rsidDel="00000000" w:rsidR="00000000" w:rsidRPr="00000000">
        <w:rPr>
          <w:rFonts w:ascii="Google Sans" w:cs="Google Sans" w:eastAsia="Google Sans" w:hAnsi="Google Sans"/>
          <w:i w:val="0"/>
          <w:iCs w:val="0"/>
          <w:color w:val="1967d2"/>
          <w:sz w:val="20"/>
          <w:szCs w:val="20"/>
          <w:shd w:fill="f0f4f9" w:val="clear"/>
          <w:rtl w:val="0"/>
        </w:rPr>
        <w:t xml:space="preserve">bind</w:t>
      </w:r>
      <w:r w:rsidDel="00000000" w:rsidR="00000000" w:rsidRPr="00000000">
        <w:rPr>
          <w:rFonts w:ascii="Google Sans" w:cs="Google Sans" w:eastAsia="Google Sans" w:hAnsi="Google Sans"/>
          <w:color w:val="1f1f1f"/>
          <w:shd w:fill="f0f4f9" w:val="clear"/>
          <w:rtl w:val="0"/>
        </w:rPr>
        <w:t xml:space="preserve"> 0.0.0.0:5000 app:app</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Note on TensorFlow Memory Allocation:</w:t>
      </w:r>
      <w:r w:rsidDel="00000000" w:rsidR="00000000" w:rsidRPr="00000000">
        <w:rPr>
          <w:rFonts w:ascii="Google Sans" w:cs="Google Sans" w:eastAsia="Google Sans" w:hAnsi="Google Sans"/>
          <w:color w:val="1f1f1f"/>
          <w:rtl w:val="0"/>
        </w:rPr>
        <w:t xml:space="preserve"> When scaling the application horizontally with multiple Gunicorn worker processes, critical attention must be paid to TensorFlow's VRAM/RAM allocation behavior. By default, TensorFlow attempts to map all available GPU/CPU memory upon initialization. Without configuring the backend to strictly permit dynamic memory growth or restricting process mapping, spawning multiple workers will inevitably lead to immediate Out-Of-Memory (OOM) fatal crashes across the server cluster.</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API Documentation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orchestrates a series of critical endpoints engineered to facilitate user interactions, binary file transactions, and complex computational inference. The API architecture adheres to RESTful conventions for data retrieval, while inference endpoints function more closely to Remote Procedure Call (RPC) mechanisms.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 Route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Route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Parameters / Expected Payload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Response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Instantiates a new user credential document within the Cloudant NoSQL datastore.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username (string), password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 Created / 409 Conflict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Authenticates provided credentials against the database and initializes a secure, HTTP-only session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username (string), password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 / 401 Unauthorized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Receives raw multipart/form-data. Executes deep file signature verification prior to server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 (binary image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 / 400 Bad Request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Invokes the loaded Xception .h5 model on the validated image array, executing the forward pass to generate severity class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(Processes the actively validated file stored in the user's session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 with JSON array of predictions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Queries the Cloudant JSON document tree using the user's ID to return historical diagnostic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Implicit via secure session_token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OK with JSON object array</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Security and Payload Validation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/upload and /predict endpoints implement deep defensive programming techniques. Relying strictly on superficial file extensions (e.g., checking if a string ends in .jpg) is fundamentally insecure; malicious executable payloads or shell scripts can be trivially renamed to bypass such rudimentary checks.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system incorporates the Pillow library (PIL.Image) to parse the actual binary headers of the incoming file stream. The application executes the img.verify() method, which reads the file signature (magic numbers) to mathematically guarantee that the structural integrity of the uploaded binary blob matches standard image MIME type definitions (e.g., verifying the presence of FF D8 FF E0 for JPEGs) prior to persistently saving the file.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to systematically mitigate Denial of Service (DoS) attack vectors involving catastrophic disk storage consumption or extreme memory exhaustion during NumPy array conversion, the Flask application globally restricts the MAX_CONTENT_LENGTH configuration variable.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app.config =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16 Megabytes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Any incoming payload exceeding this 16MB computational threshold is interrupted at the socket level, immediately triggering a RequestEntityTooLarge exception to abort the transfer.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Additionally, the werkzeug.utils.secure_filename() utility is strictly applied to all incoming files. This function actively strips absolute file paths and arbitrary directory traversal sequences (e.g., truncating ../../../../home/username/.bashrc to home_username_.bashrc), thereby completely neutralizing arbitrary local file overwrite vulnerabilities.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Authentication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relies on a highly secure, dual-layered authentication paradigm: securing the application server's access to the IBM Cloudant infrastructure, and securing the clinical end-user's access to the web interface.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Authentication (IBM Cloud IAM)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IBM Cloudant supports multiple authentication vectors, including legacy Basic Authentication (transmitting base64 encoded strings) and modern Identity &amp; Access Management (IAM) protocols.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application is architected to utilize IAM API keys, representing the contemporary cryptographic standard for IBM Cloud services.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the IAM integration, the application generates a highly secure, time-limited access token in exchange for its underlying API key. The official Python SDK completely automates this handshake, continually requesting and refreshing the access token as it approaches temporal expiry.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mechanism ensures that even in the catastrophic event of a network packet interception, the underlying root credential (the permanent API key) remains entirely uncompromised, as only the ephemeral access token is actually transmitted in the HTTP headers. For instances deployed within advanced containerized environments such as the IBM Cloud Kubernetes Service (IKS) or Virtual Private Clouds (VPC), this authentication can be further streamlined utilizing IAM Trusted Profiles, which grant compute resources (CR) direct database access based strictly on hierarchical IAM rules, eliminating the need to inject or store raw API keys in environment variables entirely.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Authentication and Session Management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end-user clinical access, the application maintains state utilizing secure, cryptographically signed session cookies. Upon successful validation of credentials at the /login endpoint against the Cloudant registry, Flask generates a signed cookie utilizing the highly randomized SECRET_KEY defined in the server environment. This session cookie acts as a persistent key, conceptually analogous to "having a key to the door so that you can let yourself in whenever you want," thus drastically reducing latency by bypassing the need for recurrent, computationally expensive database password validation queries on every subsequent HTTP request.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passwords stored within the Cloudant JSON document tree are strictly prohibited from being saved in plaintext. The production deployment mandates the application of robust, computationally intensive key derivation functions (such as bcrypt or Argon2) to hash the passwords with randomized salts, ensuring cryptographic resistance against pre-computed rainbow table attacks and brute-force iterations.</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User Interface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Interface (UI) is meticulously engineered to cater specifically to medical professionals and clinical technicians, emphasizing absolute clarity, rapid data assimilation, and the minimization of cognitive friction during extended diagnostic shifts.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aesthetic foundation of the application completely rejects cluttered layouts, relying instead on modern geometric gradient designs and card-based informational hierarchies. UI elements are spatially structured to prioritize and visually guide the primary diagnostic workflow: </w:t>
      </w:r>
      <w:r w:rsidDel="00000000" w:rsidR="00000000" w:rsidRPr="00000000">
        <w:rPr>
          <w:rFonts w:ascii="Google Sans" w:cs="Google Sans" w:eastAsia="Google Sans" w:hAnsi="Google Sans"/>
          <w:i w:val="1"/>
          <w:iCs w:val="1"/>
          <w:color w:val="1f1f1f"/>
          <w:rtl w:val="0"/>
        </w:rPr>
        <w:t xml:space="preserve">Image Upload </w:t>
      </w:r>
      <w:r w:rsidDel="00000000" w:rsidR="00000000" w:rsidRPr="00000000">
        <w:rPr>
          <w:rFonts w:ascii="Google Sans" w:cs="Google Sans" w:eastAsia="Google Sans" w:hAnsi="Google Sans"/>
          <w:i w:val="1"/>
          <w:iCs w:val="1"/>
          <w:color w:val="1f1f1f"/>
        </w:rPr>
        <w:drawing>
          <wp:inline distB="19050" distT="19050" distL="19050" distR="19050">
            <wp:extent cx="184448" cy="223972"/>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Computational Processing </w:t>
      </w:r>
      <w:r w:rsidDel="00000000" w:rsidR="00000000" w:rsidRPr="00000000">
        <w:rPr>
          <w:rFonts w:ascii="Google Sans" w:cs="Google Sans" w:eastAsia="Google Sans" w:hAnsi="Google Sans"/>
          <w:i w:val="1"/>
          <w:iCs w:val="1"/>
          <w:color w:val="1f1f1f"/>
        </w:rPr>
        <w:drawing>
          <wp:inline distB="19050" distT="19050" distL="19050" distR="19050">
            <wp:extent cx="184448" cy="223972"/>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Results Interpretation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Dashboard (index.html):</w:t>
      </w:r>
      <w:r w:rsidDel="00000000" w:rsidR="00000000" w:rsidRPr="00000000">
        <w:rPr>
          <w:rFonts w:ascii="Google Sans" w:cs="Google Sans" w:eastAsia="Google Sans" w:hAnsi="Google Sans"/>
          <w:color w:val="1f1f1f"/>
          <w:rtl w:val="0"/>
        </w:rPr>
        <w:t xml:space="preserve"> The primary view features a massive, centralized drag-and-drop geometric zone that instantly triggers the ES6 validation logic upon file drop. Visual cues, specifically CSS-animated loading spinners, are crucial within this view to manage user expectations and prevent redundant clicks during the heavily blocking CPU/GPU inference phase.</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Results View (prediction.html):</w:t>
      </w:r>
      <w:r w:rsidDel="00000000" w:rsidR="00000000" w:rsidRPr="00000000">
        <w:rPr>
          <w:rFonts w:ascii="Google Sans" w:cs="Google Sans" w:eastAsia="Google Sans" w:hAnsi="Google Sans"/>
          <w:color w:val="1f1f1f"/>
          <w:rtl w:val="0"/>
        </w:rPr>
        <w:t xml:space="preserve"> Diagnostic outputs are not merely rendered textually. The interface implements deep color-coded severity levels. A 'No DR' (Class 0) mathematical result dynamically renders the UI in cool, neutral tones. Conversely, a 'Severe' or 'Proliferative' (Class 4) result instantly shifts the UI to stark reds or oranges. The raw probability array outputted by the Softmax layer is mapped to an interactive confidence gauge or bar chart, allowing clinicians to instantly interpret the mathematical certainty of the neural network's decision.</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Tracking (history.html):</w:t>
      </w:r>
      <w:r w:rsidDel="00000000" w:rsidR="00000000" w:rsidRPr="00000000">
        <w:rPr>
          <w:rFonts w:ascii="Google Sans" w:cs="Google Sans" w:eastAsia="Google Sans" w:hAnsi="Google Sans"/>
          <w:color w:val="1f1f1f"/>
          <w:rtl w:val="0"/>
        </w:rPr>
        <w:t xml:space="preserve"> Presents a clean, paginated tabular data grid populated dynamically from the IBM Cloudant queries. It utilizes CSS hover effects and seamless transition animations to allow for the rapid visual scanning of historical temporal trends in a patient's diagnostic history.</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Testing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the absolute reliability of a medical AI application necessitates rigorous, multi-faceted testing methodologies. This encompasses both standard software engineering unit tests and highly complex statistical evaluations of the deep learning model's diagnostic capabilities.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and API Testing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Flask application architecture is systematically verified through automated test suites (e.g., utilizing pytest). Mock HTTP requests are continuously transmitted to the API endpoints to validate internal routing, JSON serialization logic, and exception handling. Specifically, negative test cases are heavily utilized to definitively confirm that the /upload endpoint correctly and safely rejects corrupted image blobs, oversized payloads (testing the MAX_CONTENT_LENGTH exception trigger), and unauthorized, tampered session tokens.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intensive load testing is an absolute imperative. Given the immense computational heft of TensorFlow matrix operations, simulating concurrent user uploads ensures that the application's thread pooling architecture and Python garbage collection mechanisms function effectively under duress without inducing fatal server degradation or memory leaks. The ability of the server to serve basic static files while the GPU is locked at 100% utilization is a key performance metric evaluated during this phase.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Learning Evaluation Metrics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Xception model for clinical deployment requires statistical metrics far more sophisticated than base computational "accuracy." In medical datasets, and particularly in Diabetic Retinopathy datasets (such as Kaggle APTOS 2019 or Eyepacs), class distributions are notoriously and heavily imbalanced.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Class 0 (No DR) typically constitutes the vast majority of samples. A poorly optimized model that blindly predicts Class 0 for every single uploaded image could easily achieve 70-80% mathematical accuracy, while simultaneously misdiagnosing every single diseased patient—rendering it medically useless and critically dangerous.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project strictly evaluates the deep learning model against the following robust statistical paradigms:</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Quadratic Weighted Kappa (QWK)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Quadratic Weighted Kappa is the definitive, state-of-the-art benchmark metric for Diabetic Retinopathy severity classification, heavily prioritized over accuracy due to its extreme sensitivity to label discrepancies.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Unlike simple accuracy, QWK mathematically penalizes the model based on the </w:t>
      </w:r>
      <w:r w:rsidDel="00000000" w:rsidR="00000000" w:rsidRPr="00000000">
        <w:rPr>
          <w:rFonts w:ascii="Google Sans" w:cs="Google Sans" w:eastAsia="Google Sans" w:hAnsi="Google Sans"/>
          <w:i w:val="1"/>
          <w:iCs w:val="1"/>
          <w:color w:val="1f1f1f"/>
          <w:rtl w:val="0"/>
        </w:rPr>
        <w:t xml:space="preserve">distance</w:t>
      </w:r>
      <w:r w:rsidDel="00000000" w:rsidR="00000000" w:rsidRPr="00000000">
        <w:rPr>
          <w:rFonts w:ascii="Google Sans" w:cs="Google Sans" w:eastAsia="Google Sans" w:hAnsi="Google Sans"/>
          <w:color w:val="1f1f1f"/>
          <w:rtl w:val="0"/>
        </w:rPr>
        <w:t xml:space="preserve"> between the predicted severity class and the actual ground truth class. For example, predicting 'Mild' (Class 1) when the ground truth is 'No DR' (Class 0) is an error, but predicting 'Proliferative' (Class 4) when the ground truth is 'No DR' is a catastrophic clinical failure. QWK inherently incorporates this exponential severity weighting into its final score.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metric evaluates the level of agreement between two raters (the AI model and the human ground truth). It calculates a weight matrix </w:t>
      </w:r>
      <w:r w:rsidDel="00000000" w:rsidR="00000000" w:rsidRPr="00000000">
        <w:rPr>
          <w:rFonts w:ascii="Google Sans" w:cs="Google Sans" w:eastAsia="Google Sans" w:hAnsi="Google Sans"/>
          <w:color w:val="1f1f1f"/>
        </w:rPr>
        <w:drawing>
          <wp:inline distB="19050" distT="19050" distL="19050" distR="19050">
            <wp:extent cx="282178" cy="232013"/>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82178" cy="232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observed matrix </w:t>
      </w:r>
      <w:r w:rsidDel="00000000" w:rsidR="00000000" w:rsidRPr="00000000">
        <w:rPr>
          <w:rFonts w:ascii="Google Sans" w:cs="Google Sans" w:eastAsia="Google Sans" w:hAnsi="Google Sans"/>
          <w:color w:val="1f1f1f"/>
        </w:rPr>
        <w:drawing>
          <wp:inline distB="19050" distT="19050" distL="19050" distR="19050">
            <wp:extent cx="145852" cy="245296"/>
            <wp:effectExtent b="0" l="0" r="0" t="0"/>
            <wp:docPr id="1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45852" cy="245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expected matrix </w:t>
      </w:r>
      <w:r w:rsidDel="00000000" w:rsidR="00000000" w:rsidRPr="00000000">
        <w:rPr>
          <w:rFonts w:ascii="Google Sans" w:cs="Google Sans" w:eastAsia="Google Sans" w:hAnsi="Google Sans"/>
          <w:color w:val="1f1f1f"/>
        </w:rPr>
        <w:drawing>
          <wp:inline distB="19050" distT="19050" distL="19050" distR="19050">
            <wp:extent cx="146744" cy="246797"/>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6744" cy="246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elements of the weight matrix are defined mathematically as: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49300"/>
            <wp:effectExtent b="0" l="0" r="0" t="0"/>
            <wp:docPr id="1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15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predicted grade,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1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actual grade, and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1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distinct categories (5 in this instance). The final QWK score is derived using the precise formula: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42950"/>
            <wp:effectExtent b="0" l="0" r="0" t="0"/>
            <wp:docPr id="2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15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QWK score of 1.0 indicates perfect theoretical agreement, while 0 indicates random chance. Current advanced architectures integrating ensemble methods and EfficientNets achieve state-of-the-art QWK scores ranging strictly between 0.901 and 0.967 on standard datasets.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modified Xception pipeline implemented in this system is iteratively optimized to converge toward these high-tier clinical benchmarks.</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Sensitivity and Specificity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screening tools must aggressively manage and monitor the rates of False Negatives (FN) and False Positives (FP) to remain viable.</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Sensitivity (True Positive Rate):</w:t>
      </w:r>
      <w:r w:rsidDel="00000000" w:rsidR="00000000" w:rsidRPr="00000000">
        <w:rPr>
          <w:rFonts w:ascii="Google Sans" w:cs="Google Sans" w:eastAsia="Google Sans" w:hAnsi="Google Sans"/>
          <w:color w:val="1f1f1f"/>
          <w:rtl w:val="0"/>
        </w:rPr>
        <w:t xml:space="preserve"> Mathematically measures the proportion of actual positive cases (patients truly presenting with DR) that are correctly identified by the model. High sensitivity is an absolute clinical requirement for a triaging screening tool to ensure no diseased patient is mistakenly sent home without treatment. Research on the modified Xception architecture demonstrates exceptional sensitivity capabilities, reaching up to 88.24%.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19725" cy="692556"/>
            <wp:effectExtent b="0" l="0" r="0" t="0"/>
            <wp:docPr id="2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419725" cy="69255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Specificity (True Negative Rate):</w:t>
      </w:r>
      <w:r w:rsidDel="00000000" w:rsidR="00000000" w:rsidRPr="00000000">
        <w:rPr>
          <w:rFonts w:ascii="Google Sans" w:cs="Google Sans" w:eastAsia="Google Sans" w:hAnsi="Google Sans"/>
          <w:color w:val="1f1f1f"/>
          <w:rtl w:val="0"/>
        </w:rPr>
        <w:t xml:space="preserve"> Mathematically measures the proportion of actual negative cases (healthy patients) that are correctly identified. High specificity is crucial to prevent healthy patients from being flagged and forced to undergo unnecessary, invasive, and costly secondary ophthalmological testing. The architecture demonstrates robust specificity benchmarks of approximately 87.00%.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19725" cy="692556"/>
            <wp:effectExtent b="0" l="0" r="0" t="0"/>
            <wp:docPr id="2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419725" cy="69255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Area Under the Receiver Operating Characteristic Curve (ROC-AUC)</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ROC curve visually and mathematically plots the True Positive Rate against the False Positive Rate across every possible probability threshold. Evaluating the AUC for individual classes (0 through 4) reveals the model's granular predictive power. An AUC of 1.0 represents mathematically ideal classification. Conversely, an AUC approaching 0.5 indicates entirely random behavior. Evaluating these curves is critical; it highlights the absolute necessity of fine-tuning the model and employing specific deep layer aggregation to prevent the neural network from struggling with highly ambiguous intermediate classes (e.g., visually distinguishing the subtle boundaries between Mild and Moderate DR).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Screenshots or Demo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Due to the text-based nature of this comprehensive documentation format, visual UI assets and application flows are described conceptually.</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Figure 1 (Dashboard Interface):</w:t>
      </w:r>
      <w:r w:rsidDel="00000000" w:rsidR="00000000" w:rsidRPr="00000000">
        <w:rPr>
          <w:rFonts w:ascii="Google Sans" w:cs="Google Sans" w:eastAsia="Google Sans" w:hAnsi="Google Sans"/>
          <w:color w:val="1f1f1f"/>
          <w:rtl w:val="0"/>
        </w:rPr>
        <w:t xml:space="preserve"> A highly centralized, minimalist HTML interface showcasing a large drag-and-drop geometric zone with a soft blue CSS gradient background. A navigation bar at the zenith highlights the authenticated user profile and provides one-click access to the prediction history routing.</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Figure 2 (Diagnostic Inference Result):</w:t>
      </w:r>
      <w:r w:rsidDel="00000000" w:rsidR="00000000" w:rsidRPr="00000000">
        <w:rPr>
          <w:rFonts w:ascii="Google Sans" w:cs="Google Sans" w:eastAsia="Google Sans" w:hAnsi="Google Sans"/>
          <w:color w:val="1f1f1f"/>
          <w:rtl w:val="0"/>
        </w:rPr>
        <w:t xml:space="preserve"> A clinical data card dynamically displaying the uploaded retinal fundus image aligned alongside a horizontal bar chart. The chart visually maps the 5-dimensional Softmax probability outputs. The mathematically predominant prediction (e.g., "Severe Diabetic Retinopathy") is rendered in bold typography, accompanied by a corresponding high-contrast red alert icon injected via CSS classes.</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Figure 3 (Longitudinal Patient History):</w:t>
      </w:r>
      <w:r w:rsidDel="00000000" w:rsidR="00000000" w:rsidRPr="00000000">
        <w:rPr>
          <w:rFonts w:ascii="Google Sans" w:cs="Google Sans" w:eastAsia="Google Sans" w:hAnsi="Google Sans"/>
          <w:color w:val="1f1f1f"/>
          <w:rtl w:val="0"/>
        </w:rPr>
        <w:t xml:space="preserve"> A clean, highly legible HTML data table populated dynamically from the IBM Cloudant JSON queries, featuring sortable columns for Date, File Reference, Predicted Class, and Confidence Score.</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Known Issues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rigorous architectural planning and optimization, several inherent technical, computational, and statistical challenges remain definitively present in the current iteration of the system:</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CPU Preprocessing Pipeline Bottlenecks:</w:t>
      </w:r>
      <w:r w:rsidDel="00000000" w:rsidR="00000000" w:rsidRPr="00000000">
        <w:rPr>
          <w:rFonts w:ascii="Google Sans" w:cs="Google Sans" w:eastAsia="Google Sans" w:hAnsi="Google Sans"/>
          <w:color w:val="1f1f1f"/>
          <w:rtl w:val="0"/>
        </w:rPr>
        <w:t xml:space="preserve"> A major computational bottleneck manifests strictly during the data ingestion pipeline. When the Flask server receives a raw image payload, the CPU must first decode the complex JPEG/PNG compression, physically resize the tensor matrix to exactly </w:t>
      </w:r>
      <w:r w:rsidDel="00000000" w:rsidR="00000000" w:rsidRPr="00000000">
        <w:rPr>
          <w:rFonts w:ascii="Google Sans" w:cs="Google Sans" w:eastAsia="Google Sans" w:hAnsi="Google Sans"/>
          <w:color w:val="1f1f1f"/>
        </w:rPr>
        <w:drawing>
          <wp:inline distB="19050" distT="19050" distL="19050" distR="19050">
            <wp:extent cx="778471" cy="215187"/>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78471" cy="21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pixels, apply mathematical normalization scaling to a $$ range, and format the array. If the computational time ratio of this CPU-bound preprocessing vastly exceeds the highly optimized GPU-bound model inference speed, the GPU will stall idly, waiting for data. This CPU bottleneck severely hampers high-throughput batch processing.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Thread Safety Overhead and Latency:</w:t>
      </w:r>
      <w:r w:rsidDel="00000000" w:rsidR="00000000" w:rsidRPr="00000000">
        <w:rPr>
          <w:rFonts w:ascii="Google Sans" w:cs="Google Sans" w:eastAsia="Google Sans" w:hAnsi="Google Sans"/>
          <w:color w:val="1f1f1f"/>
          <w:rtl w:val="0"/>
        </w:rPr>
        <w:t xml:space="preserve"> While instantiating entirely new TensorFlow graphs and sessions per incoming Flask POST request mathematically ensures complete thread isolation and prevents crashes, it introduces massive computational overhead. Loading the deep learning model dynamically into memory for each individual thread can consume up to two-thirds of the total execution runtime, heavily impacting latency and destroying the user experience during peak server loads.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Inherent Dataset Class Imbalance Perturbations:</w:t>
      </w:r>
      <w:r w:rsidDel="00000000" w:rsidR="00000000" w:rsidRPr="00000000">
        <w:rPr>
          <w:rFonts w:ascii="Google Sans" w:cs="Google Sans" w:eastAsia="Google Sans" w:hAnsi="Google Sans"/>
          <w:color w:val="1f1f1f"/>
          <w:rtl w:val="0"/>
        </w:rPr>
        <w:t xml:space="preserve"> While offline data augmentation (computational rotation, shifting, zooming, and flipping) is extensively applied during the Jupyter Notebook training phase, the inherent clinical scarcity of Class 4 (Proliferative) images in standard open-source datasets (such as Kaggle APTOS) means the network may exhibit slight negative statistical bias. This results in the model potentially struggling with minority classes during highly ambiguous, boundary-case clinical inferences.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Activation Function Computational Overhead:</w:t>
      </w:r>
      <w:r w:rsidDel="00000000" w:rsidR="00000000" w:rsidRPr="00000000">
        <w:rPr>
          <w:rFonts w:ascii="Google Sans" w:cs="Google Sans" w:eastAsia="Google Sans" w:hAnsi="Google Sans"/>
          <w:color w:val="1f1f1f"/>
          <w:rtl w:val="0"/>
        </w:rPr>
        <w:t xml:space="preserve"> If experimental, state-of-the-art activation functions like Swish or Mish are utilized within the Dense layers to prevent the vanishing gradient problem, they prove mathematically and computationally more expensive to calculate than the standard ReLU (</w:t>
      </w:r>
      <w:r w:rsidDel="00000000" w:rsidR="00000000" w:rsidRPr="00000000">
        <w:rPr>
          <w:rFonts w:ascii="Google Sans" w:cs="Google Sans" w:eastAsia="Google Sans" w:hAnsi="Google Sans"/>
          <w:color w:val="1f1f1f"/>
        </w:rPr>
        <w:drawing>
          <wp:inline distB="19050" distT="19050" distL="19050" distR="19050">
            <wp:extent cx="766465" cy="236327"/>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766465" cy="236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function, marginally but noticeably increasing total inference times during high-volume server spikes.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Future Enhancements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and clinical roadmap for subsequent major versions of the diagnostic system prioritizes completely resolving the asynchronous computational pipeline bottlenecks, hardening the enterprise security posture, and improving the statistical robustness of the core AI.</w:t>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GPU-Accelerated Data Augmentation via NVIDIA DALI:</w:t>
      </w:r>
      <w:r w:rsidDel="00000000" w:rsidR="00000000" w:rsidRPr="00000000">
        <w:rPr>
          <w:rFonts w:ascii="Google Sans" w:cs="Google Sans" w:eastAsia="Google Sans" w:hAnsi="Google Sans"/>
          <w:color w:val="1f1f1f"/>
          <w:rtl w:val="0"/>
        </w:rPr>
        <w:t xml:space="preserve"> To entirely eliminate the severe CPU bottleneck identified in the data preprocessing phase, future iterations will deeply integrate the NVIDIA Data Loading Library (DALI). DALI migrates the complex decoding, resizing, and matrix normalization operations directly onto the highly parallel GPU hardware. This architectural shift will drastically reduce end-to-end latency, simultaneously freeing the server's CPU threads to handle significantly more concurrent Flask I/O operations and network traffic.</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Implementation of Asynchronous Task Queues (Celery/Redis):</w:t>
      </w:r>
      <w:r w:rsidDel="00000000" w:rsidR="00000000" w:rsidRPr="00000000">
        <w:rPr>
          <w:rFonts w:ascii="Google Sans" w:cs="Google Sans" w:eastAsia="Google Sans" w:hAnsi="Google Sans"/>
          <w:color w:val="1f1f1f"/>
          <w:rtl w:val="0"/>
        </w:rPr>
        <w:t xml:space="preserve"> To fundamentally decouple the fast HTTP request lifecycle from the slow, heavy deep learning inference process, the architecture will pivot toward a purely event-driven model. This entails utilizing </w:t>
      </w:r>
      <w:r w:rsidDel="00000000" w:rsidR="00000000" w:rsidRPr="00000000">
        <w:rPr>
          <w:rFonts w:ascii="Google Sans" w:cs="Google Sans" w:eastAsia="Google Sans" w:hAnsi="Google Sans"/>
          <w:b w:val="1"/>
          <w:bCs w:val="1"/>
          <w:color w:val="1f1f1f"/>
          <w:rtl w:val="0"/>
        </w:rPr>
        <w:t xml:space="preserve">Celery</w:t>
      </w:r>
      <w:r w:rsidDel="00000000" w:rsidR="00000000" w:rsidRPr="00000000">
        <w:rPr>
          <w:rFonts w:ascii="Google Sans" w:cs="Google Sans" w:eastAsia="Google Sans" w:hAnsi="Google Sans"/>
          <w:color w:val="1f1f1f"/>
          <w:rtl w:val="0"/>
        </w:rPr>
        <w:t xml:space="preserve"> as an asynchronous background task queue, backed by </w:t>
      </w:r>
      <w:r w:rsidDel="00000000" w:rsidR="00000000" w:rsidRPr="00000000">
        <w:rPr>
          <w:rFonts w:ascii="Google Sans" w:cs="Google Sans" w:eastAsia="Google Sans" w:hAnsi="Google Sans"/>
          <w:b w:val="1"/>
          <w:bCs w:val="1"/>
          <w:color w:val="1f1f1f"/>
          <w:rtl w:val="0"/>
        </w:rPr>
        <w:t xml:space="preserve">Redis</w:t>
      </w:r>
      <w:r w:rsidDel="00000000" w:rsidR="00000000" w:rsidRPr="00000000">
        <w:rPr>
          <w:rFonts w:ascii="Google Sans" w:cs="Google Sans" w:eastAsia="Google Sans" w:hAnsi="Google Sans"/>
          <w:color w:val="1f1f1f"/>
          <w:rtl w:val="0"/>
        </w:rPr>
        <w:t xml:space="preserve"> serving as an in-memory message broker. Upon uploading an image, the user will instantly receive an HTTP 202 Accepted response and a unique job tracking ID. The frontend JavaScript will then continuously poll the server via WebSockets for completion status, completely preventing browser timeouts, thread locking, and connection reset errors.</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Intelligent Model Ensembling:</w:t>
      </w:r>
      <w:r w:rsidDel="00000000" w:rsidR="00000000" w:rsidRPr="00000000">
        <w:rPr>
          <w:rFonts w:ascii="Google Sans" w:cs="Google Sans" w:eastAsia="Google Sans" w:hAnsi="Google Sans"/>
          <w:color w:val="1f1f1f"/>
          <w:rtl w:val="0"/>
        </w:rPr>
        <w:t xml:space="preserve"> Relying solely on a singular Xception model conceptually limits generalized robustness across diverse patient demographics. Future versions will deploy an intelligent ensemble mathematical approach, aggregating tensor predictions from multiple parallel architectures simultaneously (e.g., combining Xception, DenseNet169, and MobileNetV1). Clinical research definitively confirms that ensemble predictions drastically elevate QWK scores and optimally balance the complex mathematical trade-off between accuracy and recall.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Advanced Stateless Authentication (JWT):</w:t>
      </w:r>
      <w:r w:rsidDel="00000000" w:rsidR="00000000" w:rsidRPr="00000000">
        <w:rPr>
          <w:rFonts w:ascii="Google Sans" w:cs="Google Sans" w:eastAsia="Google Sans" w:hAnsi="Google Sans"/>
          <w:color w:val="1f1f1f"/>
          <w:rtl w:val="0"/>
        </w:rPr>
        <w:t xml:space="preserve"> The current session cookie mechanism, while secure, will be entirely refactored to utilize JSON Web Tokens (JWT). This stateless authentication paradigm will drastically enhance the backend's horizontal scalability across multiple load-balanced servers. Furthermore, transitioning to a JWT-secured REST API will seamlessly allow for the potential future development of native iOS/Android mobile application frontends, which can consume the exact same backend API endpoints without relying on browser-based cookie management.</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Containerization &amp; CI/CD Pipelines:</w:t>
      </w:r>
      <w:r w:rsidDel="00000000" w:rsidR="00000000" w:rsidRPr="00000000">
        <w:rPr>
          <w:rFonts w:ascii="Google Sans" w:cs="Google Sans" w:eastAsia="Google Sans" w:hAnsi="Google Sans"/>
          <w:color w:val="1f1f1f"/>
          <w:rtl w:val="0"/>
        </w:rPr>
        <w:t xml:space="preserve"> To ensure ultimate environmental reproducibility, the complete application stack (Flask server, dependencies, model weights) will be strictly containerized using Docker. This standardizes the execution environment across local development, testing clusters, and final production. This fundamental infrastructure shift facilitates seamless deployment into advanced orchestration frameworks like Kubernetes (such as the IBM Cloud Kubernetes Service) and allows for the implementation of strict Continuous Integration/Continuous Deployment (CI/CD) pipelines to automatically execute the pytest suites and validate mathematical model updates prior to live deployment.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9.png"/><Relationship Id="rId22" Type="http://schemas.openxmlformats.org/officeDocument/2006/relationships/image" Target="media/image15.png"/><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8.png"/><Relationship Id="rId24" Type="http://schemas.openxmlformats.org/officeDocument/2006/relationships/image" Target="media/image10.png"/><Relationship Id="rId12"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7.png"/><Relationship Id="rId18"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