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20,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Belmont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34-6000236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531 Dewey Street Po Box 129</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Foley, MN 56329</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Montgomery Headley, County Administrator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Belmont County</w:t>
      </w:r>
      <w:r>
        <w:rPr>
          <w:sz w:val="24"/>
        </w:rPr>
        <w:t xml:space="preserve"> prepared by Keith Faber, Auditor of State of Ohio for the fiscal year ending on </w:t>
      </w:r>
      <w:r>
        <w:rPr>
          <w:b/>
          <w:sz w:val="24"/>
        </w:rPr>
        <w:t>December 31,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Inadequate Limitations related to Administrative Costs in Contractual Agreements</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p>
      <w:pPr>
        <w:spacing w:before="240" w:after="0" w:line="240" w:lineRule="auto"/>
      </w:pPr>
      <w:r>
        <w:rPr>
          <w:b/>
          <w:sz w:val="24"/>
        </w:rPr>
        <w:t>Assistance Listing Number/Program Name:</w:t>
      </w:r>
      <w:r>
        <w:rPr>
          <w:sz w:val="24"/>
        </w:rPr>
        <w:br/>
      </w:r>
      <w:r>
        <w:rPr>
          <w:sz w:val="24"/>
        </w:rPr>
        <w:t>21.027 / State and Local Fiscal Recovery Funds (SLFRF)</w:t>
      </w: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Inadequate Limitations related to Administrative Costs in Contractual Agreements</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are sustained as the identified issues violates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actions are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Belmont County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