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February 09,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Town of Elkton, Virginia</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54-6001261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122 Young Street</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Henderson, NC 27536</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Greg Lunsford, TOWN MANAGER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December 31, 2023</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Town of Elkton, Virginia</w:t>
      </w:r>
      <w:r>
        <w:rPr>
          <w:sz w:val="24"/>
        </w:rPr>
        <w:t xml:space="preserve"> prepared by BROWN, EDWARDS, &amp; COMPANY, LLP for the fiscal year ending on </w:t>
      </w:r>
      <w:r>
        <w:rPr>
          <w:b/>
          <w:sz w:val="24"/>
        </w:rPr>
        <w:t>December 31, 2023</w:t>
      </w:r>
      <w:r>
        <w:rPr>
          <w:sz w:val="24"/>
        </w:rPr>
        <w:t>. No questioned costs are included in this single audit report. Treasury has made the following determinations regarding the audit findings and CAPs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2024-004</w:t>
            </w:r>
          </w:p>
        </w:tc>
        <w:tc>
          <w:tcPr>
            <w:tcW w:type="dxa" w:w="2290"/>
            <w:vAlign w:val="top"/>
          </w:tcPr>
          <w:p>
            <w:pPr>
              <w:spacing w:before="0"/>
              <w:jc w:val="left"/>
            </w:pPr>
            <w:r>
              <w:rPr>
                <w:b/>
                <w:sz w:val="24"/>
              </w:rPr>
              <w:t>Other</w:t>
            </w:r>
            <w:r>
              <w:rPr>
                <w:sz w:val="24"/>
              </w:rPr>
              <w:t xml:space="preserve"> - </w:t>
            </w:r>
            <w:r>
              <w:rPr>
                <w:sz w:val="24"/>
              </w:rPr>
              <w:br/>
            </w:r>
            <w:r>
              <w:rPr>
                <w:sz w:val="24"/>
              </w:rPr>
              <w:br/>
            </w:r>
            <w:r>
              <w:rPr>
                <w:sz w:val="24"/>
              </w:rPr>
              <w:t>Lack of Written Policies and/or Procedures - Management of Federal Funds</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r>
        <w:trPr>
          <w:trHeight w:val="706" w:hRule="atLeast"/>
        </w:trPr>
        <w:tc>
          <w:tcPr>
            <w:tcW w:type="dxa" w:w="1195"/>
            <w:vAlign w:val="top"/>
          </w:tcPr>
          <w:p>
            <w:pPr>
              <w:spacing w:before="200"/>
              <w:jc w:val="center"/>
            </w:pPr>
            <w:r>
              <w:rPr>
                <w:sz w:val="24"/>
              </w:rPr>
              <w:t>2024-005</w:t>
            </w:r>
          </w:p>
        </w:tc>
        <w:tc>
          <w:tcPr>
            <w:tcW w:type="dxa" w:w="2290"/>
            <w:vAlign w:val="top"/>
          </w:tcPr>
          <w:p>
            <w:pPr>
              <w:spacing w:before="0"/>
              <w:jc w:val="left"/>
            </w:pPr>
            <w:r>
              <w:rPr>
                <w:b/>
                <w:sz w:val="24"/>
              </w:rPr>
              <w:t>Reporting</w:t>
            </w:r>
            <w:r>
              <w:rPr>
                <w:sz w:val="24"/>
              </w:rPr>
              <w:t xml:space="preserve"> - </w:t>
            </w:r>
            <w:r>
              <w:rPr>
                <w:sz w:val="24"/>
              </w:rPr>
              <w:br/>
            </w:r>
            <w:r>
              <w:rPr>
                <w:sz w:val="24"/>
              </w:rPr>
              <w:br/>
            </w:r>
            <w:r>
              <w:rPr>
                <w:sz w:val="24"/>
              </w:rPr>
              <w:t>Lack of Internal Controls- Equipment and Real Property Management</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r>
        <w:trPr>
          <w:trHeight w:val="706" w:hRule="atLeast"/>
        </w:trPr>
        <w:tc>
          <w:tcPr>
            <w:tcW w:type="dxa" w:w="1195"/>
            <w:vAlign w:val="top"/>
          </w:tcPr>
          <w:p>
            <w:pPr>
              <w:spacing w:before="200"/>
              <w:jc w:val="center"/>
            </w:pPr>
            <w:r>
              <w:rPr>
                <w:sz w:val="24"/>
              </w:rPr>
              <w:t>2024-006</w:t>
            </w:r>
          </w:p>
        </w:tc>
        <w:tc>
          <w:tcPr>
            <w:tcW w:type="dxa" w:w="2290"/>
            <w:vAlign w:val="top"/>
          </w:tcPr>
          <w:p>
            <w:pPr>
              <w:spacing w:before="0"/>
              <w:jc w:val="left"/>
            </w:pPr>
            <w:r>
              <w:rPr>
                <w:b/>
                <w:sz w:val="24"/>
              </w:rPr>
              <w:t>Procurement and suspension and debarment</w:t>
            </w:r>
            <w:r>
              <w:rPr>
                <w:sz w:val="24"/>
              </w:rPr>
              <w:t xml:space="preserve"> - </w:t>
            </w:r>
            <w:r>
              <w:rPr>
                <w:sz w:val="24"/>
              </w:rPr>
              <w:br/>
            </w:r>
            <w:r>
              <w:rPr>
                <w:sz w:val="24"/>
              </w:rPr>
              <w:br/>
            </w:r>
            <w:r>
              <w:rPr>
                <w:sz w:val="24"/>
              </w:rPr>
              <w:t>Lack of Federal Government Approval</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findings are sustained as the identified issues violates the terms and conditions of the above-referenced awards. The CAPs, if implemented, are responsive to the audit findings, address the cause of the audit findings and should be completed in accordance with the action dates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actions are subject to review during this recipient’s next annual single audit or program-specific audit, as applicable, to determine adequacy. If the same audit findings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 xml:space="preserve">Town of Elkton, Virginia may appeal Treasury’s decision for the audit findings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 xml:space="preserve">For questions regarding the audit findings, please email us at </w:t>
      </w:r>
      <w:hyperlink r:id="rId24">
        <w:r>
          <w:rPr>
            <w:color w:val="0000FF"/>
            <w:u w:val="single"/>
            <w:sz w:val="24"/>
            <w:szCs w:val="24"/>
          </w:rPr>
          <w:t>ORP_SingleAudits@treasury.gov</w:t>
        </w:r>
      </w:hyperlink>
      <w:r>
        <w:rPr>
          <w:sz w:val="24"/>
        </w:rPr>
        <w:t>.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