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January 20,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Hendricks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35-6000154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355 South Washington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Danville, IN 46122</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Nancy Marsh, County Auditor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2021</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Hendricks County</w:t>
      </w:r>
      <w:r>
        <w:rPr>
          <w:sz w:val="24"/>
        </w:rPr>
        <w:t xml:space="preserve"> prepared by Indiana State Board of Accounts for the fiscal year ending on </w:t>
      </w:r>
      <w:r>
        <w:rPr>
          <w:b/>
          <w:sz w:val="24"/>
        </w:rPr>
        <w:t>December 31, 2021</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1" w:after="3" w:line="232" w:lineRule="auto"/>
        <w:rPr>
          <w:b/>
          <w:spacing w:val="-4"/>
          <w:sz w:val="24"/>
          <w:szCs w:val="24"/>
        </w:rPr>
      </w:pPr>
      <w:commentRangeStart w:id="21"/>
      <w:commentRangeStart w:id="22"/>
      <w:commentRangeStart w:id="23"/>
      <w:r w:rsidRPr="007102A3">
        <w:rPr>
          <w:b/>
          <w:caps w:val="0"/>
          <w:smallCaps w:val="0"/>
          <w:sz w:val="24"/>
          <w:szCs w:val="24"/>
        </w:rPr>
        <w:t>Assistance</w:t>
      </w:r>
      <w:r w:rsidRPr="007102A3">
        <w:rPr>
          <w:b/>
          <w:caps w:val="0"/>
          <w:smallCaps w:val="0"/>
          <w:spacing w:val="-5"/>
          <w:sz w:val="24"/>
          <w:szCs w:val="24"/>
        </w:rPr>
        <w:t xml:space="preserve"> </w:t>
      </w:r>
      <w:r w:rsidRPr="007102A3">
        <w:rPr>
          <w:b/>
          <w:caps w:val="0"/>
          <w:smallCaps w:val="0"/>
          <w:sz w:val="24"/>
          <w:szCs w:val="24"/>
        </w:rPr>
        <w:t>Listing</w:t>
      </w:r>
      <w:r w:rsidRPr="007102A3">
        <w:rPr>
          <w:b/>
          <w:caps w:val="0"/>
          <w:smallCaps w:val="0"/>
          <w:spacing w:val="-5"/>
          <w:sz w:val="24"/>
          <w:szCs w:val="24"/>
        </w:rPr>
        <w:t xml:space="preserve"> </w:t>
      </w:r>
      <w:r w:rsidRPr="007102A3">
        <w:rPr>
          <w:b/>
          <w:caps w:val="0"/>
          <w:smallCaps w:val="0"/>
          <w:sz w:val="24"/>
          <w:szCs w:val="24"/>
        </w:rPr>
        <w:t>Number/Program</w:t>
      </w:r>
      <w:r w:rsidRPr="007102A3">
        <w:rPr>
          <w:b/>
          <w:caps w:val="0"/>
          <w:smallCaps w:val="0"/>
          <w:spacing w:val="-5"/>
          <w:sz w:val="24"/>
          <w:szCs w:val="24"/>
        </w:rPr>
        <w:t xml:space="preserve"> </w:t>
      </w:r>
      <w:r w:rsidRPr="007102A3">
        <w:rPr>
          <w:b/>
          <w:caps w:val="0"/>
          <w:smallCaps w:val="0"/>
          <w:sz w:val="24"/>
          <w:szCs w:val="24"/>
        </w:rPr>
        <w:t>Name:</w:t>
      </w:r>
      <w:r w:rsidRPr="007102A3">
        <w:rPr>
          <w:b/>
          <w:caps w:val="0"/>
          <w:smallCaps w:val="0"/>
          <w:spacing w:val="-4"/>
          <w:sz w:val="24"/>
          <w:szCs w:val="24"/>
        </w:rPr>
        <w:t xml:space="preserve"> </w:t>
      </w:r>
      <w:commentRangeEnd w:id="21"/>
      <w:r w:rsidR="00B45AAB">
        <w:rPr>
          <w:rStyle w:val="CommentReference"/>
          <w:caps w:val="0"/>
          <w:smallCaps w:val="0"/>
          <w:sz w:val="24"/>
        </w:rPr>
        <w:commentReference w:id="21"/>
      </w:r>
      <w:commentRangeEnd w:id="22"/>
      <w:r w:rsidR="00BC0D3E">
        <w:rPr>
          <w:rStyle w:val="CommentReference"/>
          <w:caps w:val="0"/>
          <w:smallCaps w:val="0"/>
          <w:sz w:val="24"/>
        </w:rPr>
        <w:commentReference w:id="22"/>
      </w:r>
      <w:commentRangeEnd w:id="23"/>
      <w:r w:rsidR="00B95A3E">
        <w:rPr>
          <w:rStyle w:val="CommentReference"/>
          <w:caps w:val="0"/>
          <w:smallCaps w:val="0"/>
          <w:sz w:val="24"/>
        </w:rPr>
        <w:commentReference w:id="23"/>
      </w:r>
    </w:p>
    <w:p w14:paraId="35CCB401" w14:textId="2CAB2C16" w:rsidR="00A81417" w:rsidRPr="00B23675" w:rsidRDefault="00A81417" w:rsidP="00510512">
      <w:pPr>
        <w:spacing w:before="0" w:after="0" w:line="240" w:lineRule="auto"/>
        <w:rPr>
          <w:sz w:val="24"/>
          <w:szCs w:val="24"/>
        </w:rPr>
      </w:pPr>
    </w:p>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findings are sustained as the identified issues violates the terms and conditions of the above-referenced awards. The CAPs, if implemented, are responsive to the audit findings, address the cause of the audit findings and should be completed in accordance with the action dates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actions are subject to review during this recipient’s next annual single audit or program-specific audit, as applicable, to determine adequacy. If the same audit findings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 xml:space="preserve">Hendricks County may appeal Treasury’s decision for the audit findings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 xml:space="preserve">For questions regarding the audit findings, please email us at </w:t>
      </w:r>
      <w:hyperlink r:id="rId24">
        <w:r>
          <w:rPr>
            <w:color w:val="0000FF"/>
            <w:u w:val="single"/>
            <w:sz w:val="24"/>
            <w:szCs w:val="24"/>
          </w:rPr>
          <w:t>ORP_SingleAudits@treasury.gov</w:t>
        </w:r>
      </w:hyperlink>
      <w:r>
        <w:rPr>
          <w:sz w:val="24"/>
        </w:rPr>
        <w:t>.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