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09,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Town of Charlton</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04-6001109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37 Main Street</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Charlton, MA 01507</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Ashley Obrzut, Finance Director/Town Accountant</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Town of Charlton</w:t>
      </w:r>
      <w:r>
        <w:rPr>
          <w:sz w:val="24"/>
        </w:rPr>
        <w:t xml:space="preserve"> prepared by Roselli, Clark and Associates for the fiscal year ending on </w:t>
      </w:r>
      <w:r>
        <w:rPr>
          <w:b/>
          <w:sz w:val="24"/>
        </w:rPr>
        <w:t>June 30,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p>
        </w:tc>
        <w:tc>
          <w:tcPr>
            <w:tcW w:type="dxa" w:w="2290"/>
            <w:vAlign w:val="top"/>
          </w:tcPr>
          <w:p>
            <w:pPr>
              <w:spacing w:before="0"/>
              <w:jc w:val="left"/>
            </w:pPr>
            <w:r>
              <w:rPr>
                <w:b/>
                <w:sz w:val="24"/>
              </w:rPr>
              <w:t>Reporting</w:t>
            </w:r>
            <w:r>
              <w:rPr>
                <w:sz w:val="24"/>
              </w:rPr>
              <w:t xml:space="preserve"> - </w:t>
            </w:r>
            <w:r>
              <w:rPr>
                <w:sz w:val="24"/>
              </w:rPr>
              <w:br/>
            </w:r>
            <w:r>
              <w:rPr>
                <w:sz w:val="24"/>
              </w:rPr>
              <w:br/>
            </w:r>
            <w:r>
              <w:rPr>
                <w:sz w:val="24"/>
              </w:rPr>
              <w:t>Lack of Internal Controls- Equipment and Real Property Management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Town of Charlton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