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11,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Carson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95-2513547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701 East Carson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Carson, CA 90745</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Hnin Phyu, Accounting Manager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The City of Carson</w:t>
      </w:r>
      <w:r>
        <w:rPr>
          <w:sz w:val="24"/>
        </w:rPr>
        <w:t xml:space="preserve"> prepared by </w:t>
      </w:r>
      <w:r>
        <w:rPr>
          <w:sz w:val="24"/>
        </w:rPr>
        <w:t>Vasquez &amp; Company, LLP</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p>
        </w:tc>
        <w:tc>
          <w:tcPr>
            <w:tcW w:type="dxa" w:w="2290"/>
            <w:vAlign w:val="top"/>
          </w:tcPr>
          <w:p>
            <w:pPr>
              <w:spacing w:before="0"/>
              <w:jc w:val="left"/>
            </w:pPr>
            <w:r>
              <w:rPr>
                <w:b/>
                <w:sz w:val="24"/>
              </w:rPr>
              <w:t>Other</w:t>
            </w:r>
            <w:r>
              <w:rPr>
                <w:sz w:val="24"/>
              </w:rPr>
              <w:t xml:space="preserve"> –</w:t>
            </w:r>
            <w:r>
              <w:rPr>
                <w:sz w:val="24"/>
              </w:rPr>
              <w:br/>
            </w:r>
            <w:r>
              <w:rPr>
                <w:sz w:val="24"/>
              </w:rPr>
              <w:br/>
            </w:r>
            <w:r>
              <w:rPr>
                <w:sz w:val="24"/>
              </w:rPr>
              <w:t>Unallowable expenditures due to duplicative benefits with another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r>
        <w:trPr>
          <w:trHeight w:val="706" w:hRule="atLeast"/>
        </w:trPr>
        <w:tc>
          <w:tcPr>
            <w:tcW w:type="dxa" w:w="1195"/>
            <w:vAlign w:val="top"/>
          </w:tcPr>
          <w:p>
            <w:pPr>
              <w:spacing w:before="200"/>
              <w:jc w:val="center"/>
            </w:pPr>
            <w:r>
              <w:rPr>
                <w:sz w:val="24"/>
              </w:rPr>
              <w:t>2023-002</w:t>
            </w:r>
            <w:r>
              <w:rPr>
                <w:sz w:val="24"/>
              </w:rPr>
              <w:br/>
              <w:br/>
              <w:t>Repeat of 2022-001</w:t>
            </w:r>
          </w:p>
        </w:tc>
        <w:tc>
          <w:tcPr>
            <w:tcW w:type="dxa" w:w="2290"/>
            <w:vAlign w:val="top"/>
          </w:tcPr>
          <w:p>
            <w:pPr>
              <w:spacing w:before="0"/>
              <w:jc w:val="left"/>
            </w:pPr>
            <w:r>
              <w:rPr>
                <w:b/>
                <w:sz w:val="24"/>
              </w:rPr>
              <w:t>Reporting</w:t>
            </w:r>
            <w:r>
              <w:rPr>
                <w:sz w:val="24"/>
              </w:rPr>
              <w:t xml:space="preserve"> –</w:t>
            </w:r>
            <w:r>
              <w:rPr>
                <w:sz w:val="24"/>
              </w:rPr>
              <w:br/>
            </w:r>
            <w:r>
              <w:rPr>
                <w:sz w:val="24"/>
              </w:rPr>
              <w:br/>
            </w:r>
            <w:r>
              <w:rPr>
                <w:sz w:val="24"/>
              </w:rPr>
              <w:t>Lack of Internal Controls- Equipment and Real Property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findings are sustained as the identified issues violate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actions are subject to review during this recipient’s next annual single audit or program-specific audit, as applicable, to determine adequacy. If the same audit findings appear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Carson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