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11,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sz w:val="24"/>
        </w:rPr>
        <w:t>Santa Rosa Band of Cahuilla Indians</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33-0884665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65200 State Hwy 74</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Anza, CA 92561</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Melinda Flaxbeard, Chief Financial Officer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June 30, 2022</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The Santa Rosa Band of Cahuilla Indians</w:t>
      </w:r>
      <w:r>
        <w:rPr>
          <w:sz w:val="24"/>
        </w:rPr>
        <w:t xml:space="preserve"> prepared by </w:t>
      </w:r>
      <w:r>
        <w:rPr>
          <w:sz w:val="24"/>
        </w:rPr>
        <w:t>Midwest Professionals, PLLC</w:t>
      </w:r>
      <w:r>
        <w:rPr>
          <w:sz w:val="24"/>
        </w:rPr>
        <w:t xml:space="preserve"> for the fiscal year ending on </w:t>
      </w:r>
      <w:r>
        <w:rPr>
          <w:b/>
          <w:sz w:val="24"/>
        </w:rPr>
        <w:t>June 30, 2022</w:t>
      </w:r>
      <w:r>
        <w:rPr>
          <w:sz w:val="24"/>
        </w:rPr>
        <w:t>. No questioned costs are included in this single audit report. Treasury has made the following determinations regarding the audit findings and CAPs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r>
      <w:r>
        <w:rPr>
          <w:sz w:val="24"/>
        </w:rP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 -</w:t>
              <w:br/>
              <w:t>Audit Finding Summary</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2022-001</w:t>
            </w:r>
            <w:r>
              <w:rPr>
                <w:sz w:val="24"/>
              </w:rPr>
              <w:br/>
              <w:br/>
              <w:t>Repeat of 2021-001</w:t>
            </w:r>
          </w:p>
        </w:tc>
        <w:tc>
          <w:tcPr>
            <w:tcW w:type="dxa" w:w="2290"/>
            <w:vAlign w:val="top"/>
          </w:tcPr>
          <w:p>
            <w:pPr>
              <w:spacing w:before="0"/>
              <w:jc w:val="left"/>
            </w:pPr>
            <w:r>
              <w:rPr>
                <w:b/>
                <w:sz w:val="24"/>
              </w:rPr>
              <w:t>Cash management</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Not Applicable</w:t>
            </w:r>
          </w:p>
        </w:tc>
      </w:tr>
      <w:tr>
        <w:trPr>
          <w:trHeight w:val="706" w:hRule="atLeast"/>
        </w:trPr>
        <w:tc>
          <w:tcPr>
            <w:tcW w:type="dxa" w:w="1195"/>
            <w:vAlign w:val="top"/>
          </w:tcPr>
          <w:p>
            <w:pPr>
              <w:spacing w:before="200"/>
              <w:jc w:val="center"/>
            </w:pPr>
            <w:r>
              <w:rPr>
                <w:sz w:val="24"/>
              </w:rPr>
              <w:t>2022-002</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Not Applicable</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findings are sustained as the identified issues violate the terms and conditions of the above-referenced awards. The CAPs, if implemented, are responsive to the audit findings, address the cause of the audit findings and should be completed in accordance with the action dates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actions are subject to review during this recipient’s next annual single audit or program-specific audit, as applicable, to determine adequacy. If the same audit findings appear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Santa Rosa Band of Cahuilla Indians may appeal Treasury’s decision for the audit findings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findings,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