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11,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Town of Rutland, Massachusetts</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04-6001287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250 Main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Rutland, MA 01543</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Donna Couture, Town Accountant</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2023</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The Town of Rutland, Massachusetts</w:t>
      </w:r>
      <w:r>
        <w:rPr>
          <w:sz w:val="24"/>
        </w:rPr>
        <w:t xml:space="preserve"> prepared by </w:t>
      </w:r>
      <w:r>
        <w:rPr>
          <w:sz w:val="24"/>
        </w:rPr>
        <w:t>Roselli, Clark &amp; Associates</w:t>
      </w:r>
      <w:r>
        <w:rPr>
          <w:sz w:val="24"/>
        </w:rPr>
        <w:t xml:space="preserve"> for the fiscal year ending on </w:t>
      </w:r>
      <w:r>
        <w:rPr>
          <w:b/>
          <w:sz w:val="24"/>
        </w:rPr>
        <w:t>June 30, 2023</w:t>
      </w:r>
      <w:r>
        <w:rPr>
          <w:sz w:val="24"/>
        </w:rPr>
        <w:t>. No questioned costs are included in this single audit report. Treasury has made the following determinations regarding the audit findings and CAPs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2023-001</w:t>
            </w:r>
            <w:r>
              <w:rPr>
                <w:sz w:val="24"/>
              </w:rPr>
              <w:br/>
              <w:br/>
              <w:t>Repeat of 2022-001</w:t>
            </w:r>
          </w:p>
        </w:tc>
        <w:tc>
          <w:tcPr>
            <w:tcW w:type="dxa" w:w="2290"/>
            <w:vAlign w:val="top"/>
          </w:tcPr>
          <w:p>
            <w:pPr>
              <w:spacing w:before="0"/>
              <w:jc w:val="left"/>
            </w:pPr>
            <w:r>
              <w:rPr>
                <w:b/>
                <w:sz w:val="24"/>
              </w:rPr>
              <w:t>Other</w:t>
            </w:r>
            <w:r>
              <w:rPr>
                <w:sz w:val="24"/>
              </w:rPr>
              <w:t xml:space="preserve"> –</w:t>
            </w:r>
            <w:r>
              <w:rPr>
                <w:sz w:val="24"/>
              </w:rPr>
              <w:br/>
            </w:r>
            <w:r>
              <w:rPr>
                <w:sz w:val="24"/>
              </w:rPr>
              <w:br/>
            </w:r>
            <w:r>
              <w:rPr>
                <w:sz w:val="24"/>
              </w:rPr>
              <w:t>Lack of Internal Controls- Equipment and Real Property Management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r>
        <w:trPr>
          <w:trHeight w:val="706" w:hRule="atLeast"/>
        </w:trPr>
        <w:tc>
          <w:tcPr>
            <w:tcW w:type="dxa" w:w="1195"/>
            <w:vAlign w:val="top"/>
          </w:tcPr>
          <w:p>
            <w:pPr>
              <w:spacing w:before="200"/>
              <w:jc w:val="center"/>
            </w:pPr>
            <w:r>
              <w:rPr>
                <w:sz w:val="24"/>
              </w:rPr>
              <w:t>2023-002</w:t>
            </w:r>
          </w:p>
        </w:tc>
        <w:tc>
          <w:tcPr>
            <w:tcW w:type="dxa" w:w="2290"/>
            <w:vAlign w:val="top"/>
          </w:tcPr>
          <w:p>
            <w:pPr>
              <w:spacing w:before="0"/>
              <w:jc w:val="left"/>
            </w:pPr>
            <w:r>
              <w:rPr>
                <w:b/>
                <w:sz w:val="24"/>
              </w:rPr>
              <w:t>Reporting</w:t>
            </w:r>
            <w:r>
              <w:rPr>
                <w:sz w:val="24"/>
              </w:rPr>
              <w:t xml:space="preserve"> –</w:t>
            </w:r>
            <w:r>
              <w:rPr>
                <w:sz w:val="24"/>
              </w:rPr>
              <w:br/>
            </w:r>
            <w:r>
              <w:rPr>
                <w:sz w:val="24"/>
              </w:rPr>
              <w:br/>
            </w:r>
            <w:r>
              <w:rPr>
                <w:sz w:val="24"/>
              </w:rPr>
              <w:t>Lack of Internal Controls- Equipment and Real Property Management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findings are sustained as the identified issues violate the terms and conditions of the above-referenced awards. The CAPs, if implemented, are responsive to the audit findings, address the cause of the audit findings and should be completed in accordance with the action dates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actions are subject to review during this recipient’s next annual single audit or program-specific audit, as applicable, to determine adequacy. If the same audit findings appear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Town of Rutland, Massachusetts may appeal Treasury’s decision for the audit findings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findings,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