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February 27,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Town of Elkton, Virginia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54-6001261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173 W Spotswood Ave</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Elkton, VA 22827</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Greg Lunsford, Town Manager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Town of Elkton, Virginia</w:t>
      </w:r>
      <w:r>
        <w:rPr>
          <w:sz w:val="24"/>
        </w:rPr>
        <w:t xml:space="preserve"> prepared by Brown, Edwards, &amp; Company, LLP for the fiscal year ending on </w:t>
      </w:r>
      <w:r>
        <w:rPr>
          <w:b/>
          <w:sz w:val="24"/>
        </w:rPr>
        <w:t>June 30, 2024</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560"/>
        <w:gridCol w:w="1560"/>
        <w:gridCol w:w="1560"/>
        <w:gridCol w:w="1560"/>
        <w:gridCol w:w="1560"/>
        <w:gridCol w:w="1560"/>
      </w:tblGrid>
      <w:tr>
        <w:trPr>
          <w:trHeight w:val="706" w:hRule="atLeast"/>
        </w:trPr>
        <w:tc>
          <w:tcPr>
            <w:tcW w:type="dxa" w:w="1051"/>
            <w:vAlign w:val="top"/>
          </w:tcPr>
          <w:p>
            <w:pPr>
              <w:spacing w:before="76" w:after="0" w:line="240" w:lineRule="auto"/>
              <w:jc w:val="center"/>
            </w:pPr>
            <w:r>
              <w:rPr>
                <w:b/>
                <w:sz w:val="24"/>
              </w:rPr>
              <w:t>Audit</w:t>
              <w:br/>
              <w:t>Finding #</w:t>
            </w:r>
          </w:p>
        </w:tc>
        <w:tc>
          <w:tcPr>
            <w:tcW w:type="dxa" w:w="2002"/>
            <w:vAlign w:val="top"/>
          </w:tcPr>
          <w:p>
            <w:pPr>
              <w:spacing w:before="76" w:after="0" w:line="240" w:lineRule="auto"/>
              <w:jc w:val="center"/>
            </w:pPr>
            <w:r>
              <w:rPr>
                <w:b/>
                <w:sz w:val="24"/>
              </w:rPr>
              <w:t>Compliance Type -</w:t>
              <w:br/>
              <w:t>Audit Finding Summary</w:t>
            </w:r>
          </w:p>
        </w:tc>
        <w:tc>
          <w:tcPr>
            <w:tcW w:type="dxa" w:w="1440"/>
            <w:vAlign w:val="top"/>
          </w:tcPr>
          <w:p>
            <w:pPr>
              <w:spacing w:before="76" w:after="0" w:line="240" w:lineRule="auto"/>
              <w:jc w:val="center"/>
            </w:pPr>
            <w:r>
              <w:rPr>
                <w:b/>
                <w:sz w:val="24"/>
              </w:rPr>
              <w:t>Audit Finding</w:t>
              <w:br/>
              <w:t>Determination</w:t>
            </w:r>
          </w:p>
        </w:tc>
        <w:tc>
          <w:tcPr>
            <w:tcW w:type="dxa" w:w="1786"/>
            <w:vAlign w:val="top"/>
          </w:tcPr>
          <w:p>
            <w:pPr>
              <w:spacing w:before="76" w:after="0" w:line="240" w:lineRule="auto"/>
              <w:jc w:val="center"/>
            </w:pPr>
            <w:r>
              <w:rPr>
                <w:b/>
                <w:sz w:val="24"/>
              </w:rPr>
              <w:t>Questioned Cost</w:t>
              <w:br/>
              <w:t>Determination</w:t>
            </w:r>
          </w:p>
        </w:tc>
        <w:tc>
          <w:tcPr>
            <w:tcW w:type="dxa" w:w="1570"/>
            <w:vAlign w:val="top"/>
          </w:tcPr>
          <w:p>
            <w:pPr>
              <w:spacing w:before="76" w:after="0" w:line="240" w:lineRule="auto"/>
              <w:jc w:val="center"/>
            </w:pPr>
            <w:r>
              <w:rPr>
                <w:b/>
                <w:sz w:val="24"/>
              </w:rPr>
              <w:t>CAP</w:t>
              <w:br/>
              <w:t>Determination</w:t>
            </w:r>
          </w:p>
        </w:tc>
        <w:tc>
          <w:tcPr>
            <w:tcW w:type="dxa" w:w="1152"/>
            <w:vAlign w:val="top"/>
          </w:tcPr>
          <w:p>
            <w:pPr>
              <w:spacing w:before="76" w:after="0" w:line="240" w:lineRule="auto"/>
              <w:jc w:val="center"/>
            </w:pPr>
            <w:r>
              <w:rPr>
                <w:b/>
                <w:sz w:val="24"/>
              </w:rPr>
              <w:t>Repeat</w:t>
              <w:br/>
              <w:t>Finding</w:t>
            </w:r>
          </w:p>
        </w:tc>
      </w:tr>
      <w:tr>
        <w:trPr>
          <w:trHeight w:val="706" w:hRule="atLeast"/>
        </w:trPr>
        <w:tc>
          <w:tcPr>
            <w:tcW w:type="dxa" w:w="1051"/>
            <w:vAlign w:val="top"/>
          </w:tcPr>
          <w:p>
            <w:pPr>
              <w:spacing w:before="200"/>
              <w:jc w:val="center"/>
            </w:pPr>
            <w:r>
              <w:rPr>
                <w:sz w:val="24"/>
              </w:rPr>
              <w:t>2024-004</w:t>
            </w:r>
          </w:p>
        </w:tc>
        <w:tc>
          <w:tcPr>
            <w:tcW w:type="dxa" w:w="2002"/>
            <w:vAlign w:val="top"/>
          </w:tcPr>
          <w:p>
            <w:pPr>
              <w:spacing w:before="0"/>
              <w:jc w:val="left"/>
            </w:pPr>
            <w:r>
              <w:rPr>
                <w:b/>
                <w:sz w:val="24"/>
              </w:rPr>
              <w:t>Other</w:t>
            </w:r>
            <w:r>
              <w:rPr>
                <w:sz w:val="24"/>
              </w:rPr>
              <w:t xml:space="preserve"> - </w:t>
            </w:r>
            <w:r>
              <w:rPr>
                <w:sz w:val="24"/>
              </w:rPr>
              <w:br/>
            </w:r>
            <w:r>
              <w:rPr>
                <w:sz w:val="24"/>
              </w:rPr>
              <w:br/>
            </w:r>
            <w:r>
              <w:rPr>
                <w:sz w:val="24"/>
              </w:rPr>
              <w:t>Lack of Written Policies and/or Procedures - Management of Federal Funds</w:t>
            </w:r>
          </w:p>
        </w:tc>
        <w:tc>
          <w:tcPr>
            <w:tcW w:type="dxa" w:w="1440"/>
            <w:vAlign w:val="top"/>
          </w:tcPr>
          <w:p>
            <w:pPr>
              <w:spacing w:before="200"/>
              <w:jc w:val="center"/>
            </w:pPr>
            <w:r>
              <w:rPr>
                <w:sz w:val="24"/>
              </w:rPr>
              <w:t>Sustained</w:t>
            </w:r>
          </w:p>
        </w:tc>
        <w:tc>
          <w:tcPr>
            <w:tcW w:type="dxa" w:w="1786"/>
            <w:vAlign w:val="top"/>
          </w:tcPr>
          <w:p>
            <w:pPr>
              <w:spacing w:before="76"/>
              <w:jc w:val="center"/>
            </w:pPr>
            <w:r>
              <w:rPr>
                <w:sz w:val="24"/>
              </w:rPr>
              <w:t>Questioned Cost:</w:t>
              <w:br/>
              <w:t>None</w:t>
              <w:br/>
              <w:t>Disallowed Cost:</w:t>
              <w:br/>
              <w:t>None</w:t>
            </w:r>
          </w:p>
        </w:tc>
        <w:tc>
          <w:tcPr>
            <w:tcW w:type="dxa" w:w="1570"/>
            <w:vAlign w:val="top"/>
          </w:tcPr>
          <w:p>
            <w:pPr>
              <w:spacing w:before="200"/>
              <w:jc w:val="center"/>
            </w:pPr>
            <w:r>
              <w:rPr>
                <w:sz w:val="24"/>
              </w:rPr>
              <w:t>Accepted</w:t>
            </w:r>
          </w:p>
        </w:tc>
        <w:tc>
          <w:tcPr>
            <w:tcW w:type="dxa" w:w="1152"/>
            <w:vAlign w:val="top"/>
          </w:tcPr>
          <w:p>
            <w:pPr>
              <w:jc w:val="center"/>
            </w:pPr>
            <w:r>
              <w:rPr>
                <w:sz w:val="24"/>
              </w:rPr>
              <w:t>No</w:t>
            </w:r>
          </w:p>
        </w:tc>
      </w:tr>
      <w:tr>
        <w:trPr>
          <w:trHeight w:val="706" w:hRule="atLeast"/>
        </w:trPr>
        <w:tc>
          <w:tcPr>
            <w:tcW w:type="dxa" w:w="1051"/>
            <w:vAlign w:val="top"/>
          </w:tcPr>
          <w:p>
            <w:pPr>
              <w:spacing w:before="200"/>
              <w:jc w:val="center"/>
            </w:pPr>
            <w:r>
              <w:rPr>
                <w:sz w:val="24"/>
              </w:rPr>
              <w:t>2024-005</w:t>
            </w:r>
          </w:p>
        </w:tc>
        <w:tc>
          <w:tcPr>
            <w:tcW w:type="dxa" w:w="2002"/>
            <w:vAlign w:val="top"/>
          </w:tcPr>
          <w:p>
            <w:pPr>
              <w:spacing w:before="0"/>
              <w:jc w:val="left"/>
            </w:pPr>
            <w:r>
              <w:rPr>
                <w:b/>
                <w:sz w:val="24"/>
              </w:rPr>
              <w:t>Reporting</w:t>
            </w:r>
            <w:r>
              <w:rPr>
                <w:sz w:val="24"/>
              </w:rPr>
              <w:t xml:space="preserve"> - </w:t>
            </w:r>
            <w:r>
              <w:rPr>
                <w:sz w:val="24"/>
              </w:rPr>
              <w:br/>
            </w:r>
            <w:r>
              <w:rPr>
                <w:sz w:val="24"/>
              </w:rPr>
              <w:br/>
            </w:r>
            <w:r>
              <w:rPr>
                <w:sz w:val="24"/>
              </w:rPr>
              <w:t>Lack of Internal Controls- Equipment and Real Property Management</w:t>
            </w:r>
          </w:p>
        </w:tc>
        <w:tc>
          <w:tcPr>
            <w:tcW w:type="dxa" w:w="1440"/>
            <w:vAlign w:val="top"/>
          </w:tcPr>
          <w:p>
            <w:pPr>
              <w:spacing w:before="200"/>
              <w:jc w:val="center"/>
            </w:pPr>
            <w:r>
              <w:rPr>
                <w:sz w:val="24"/>
              </w:rPr>
              <w:t>Sustained</w:t>
            </w:r>
          </w:p>
        </w:tc>
        <w:tc>
          <w:tcPr>
            <w:tcW w:type="dxa" w:w="1786"/>
            <w:vAlign w:val="top"/>
          </w:tcPr>
          <w:p>
            <w:pPr>
              <w:spacing w:before="76"/>
              <w:jc w:val="center"/>
            </w:pPr>
            <w:r>
              <w:rPr>
                <w:sz w:val="24"/>
              </w:rPr>
              <w:t>Questioned Cost:</w:t>
              <w:br/>
              <w:t>None</w:t>
              <w:br/>
              <w:t>Disallowed Cost:</w:t>
              <w:br/>
              <w:t>None</w:t>
            </w:r>
          </w:p>
        </w:tc>
        <w:tc>
          <w:tcPr>
            <w:tcW w:type="dxa" w:w="1570"/>
            <w:vAlign w:val="top"/>
          </w:tcPr>
          <w:p>
            <w:pPr>
              <w:spacing w:before="200"/>
              <w:jc w:val="center"/>
            </w:pPr>
            <w:r>
              <w:rPr>
                <w:sz w:val="24"/>
              </w:rPr>
              <w:t>Accepted</w:t>
            </w:r>
          </w:p>
        </w:tc>
        <w:tc>
          <w:tcPr>
            <w:tcW w:type="dxa" w:w="1152"/>
            <w:vAlign w:val="top"/>
          </w:tcPr>
          <w:p>
            <w:pPr>
              <w:jc w:val="center"/>
            </w:pPr>
            <w:r>
              <w:rPr>
                <w:sz w:val="24"/>
              </w:rPr>
              <w:t>No</w:t>
            </w:r>
          </w:p>
        </w:tc>
      </w:tr>
      <w:tr>
        <w:trPr>
          <w:trHeight w:val="706" w:hRule="atLeast"/>
        </w:trPr>
        <w:tc>
          <w:tcPr>
            <w:tcW w:type="dxa" w:w="1051"/>
            <w:vAlign w:val="top"/>
          </w:tcPr>
          <w:p>
            <w:pPr>
              <w:spacing w:before="200"/>
              <w:jc w:val="center"/>
            </w:pPr>
            <w:r>
              <w:rPr>
                <w:sz w:val="24"/>
              </w:rPr>
              <w:t>2024-006</w:t>
            </w:r>
          </w:p>
        </w:tc>
        <w:tc>
          <w:tcPr>
            <w:tcW w:type="dxa" w:w="2002"/>
            <w:vAlign w:val="top"/>
          </w:tcPr>
          <w:p>
            <w:pPr>
              <w:spacing w:before="0"/>
              <w:jc w:val="left"/>
            </w:pPr>
            <w:r>
              <w:rPr>
                <w:b/>
                <w:sz w:val="24"/>
              </w:rPr>
              <w:t>Procurement and suspension and debarment</w:t>
            </w:r>
            <w:r>
              <w:rPr>
                <w:sz w:val="24"/>
              </w:rPr>
              <w:t xml:space="preserve"> - </w:t>
            </w:r>
            <w:r>
              <w:rPr>
                <w:sz w:val="24"/>
              </w:rPr>
              <w:br/>
            </w:r>
            <w:r>
              <w:rPr>
                <w:sz w:val="24"/>
              </w:rPr>
              <w:br/>
            </w:r>
            <w:r>
              <w:rPr>
                <w:sz w:val="24"/>
              </w:rPr>
              <w:t>Lack of Federal Government Approval</w:t>
            </w:r>
          </w:p>
        </w:tc>
        <w:tc>
          <w:tcPr>
            <w:tcW w:type="dxa" w:w="1440"/>
            <w:vAlign w:val="top"/>
          </w:tcPr>
          <w:p>
            <w:pPr>
              <w:spacing w:before="200"/>
              <w:jc w:val="center"/>
            </w:pPr>
            <w:r>
              <w:rPr>
                <w:sz w:val="24"/>
              </w:rPr>
              <w:t>Sustained</w:t>
            </w:r>
          </w:p>
        </w:tc>
        <w:tc>
          <w:tcPr>
            <w:tcW w:type="dxa" w:w="1786"/>
            <w:vAlign w:val="top"/>
          </w:tcPr>
          <w:p>
            <w:pPr>
              <w:spacing w:before="76"/>
              <w:jc w:val="center"/>
            </w:pPr>
            <w:r>
              <w:rPr>
                <w:sz w:val="24"/>
              </w:rPr>
              <w:t>Questioned Cost:</w:t>
              <w:br/>
              <w:t>None</w:t>
              <w:br/>
              <w:t>Disallowed Cost:</w:t>
              <w:br/>
              <w:t>None</w:t>
            </w:r>
          </w:p>
        </w:tc>
        <w:tc>
          <w:tcPr>
            <w:tcW w:type="dxa" w:w="1570"/>
            <w:vAlign w:val="top"/>
          </w:tcPr>
          <w:p>
            <w:pPr>
              <w:spacing w:before="200"/>
              <w:jc w:val="center"/>
            </w:pPr>
            <w:r>
              <w:rPr>
                <w:sz w:val="24"/>
              </w:rPr>
              <w:t>Accepted</w:t>
            </w:r>
          </w:p>
        </w:tc>
        <w:tc>
          <w:tcPr>
            <w:tcW w:type="dxa" w:w="1152"/>
            <w:vAlign w:val="top"/>
          </w:tcPr>
          <w:p>
            <w:pPr>
              <w:jc w:val="center"/>
            </w:pPr>
            <w:r>
              <w:rPr>
                <w:sz w:val="24"/>
              </w:rPr>
              <w:t>No</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findings are sustained as the identified issues violates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actions are subject to review during this recipient’s next annual single audit or program-specific audit, as applicable, to determine adequacy. If the same audit findings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Town of Elkton, Virginia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