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sz w:val="24"/>
          <w:u w:val="none"/>
        </w:rPr>
        <w:t>December 18, 2025</w:t>
      </w:r>
      <w:r>
        <w:rPr>
          <w:b w:val="0"/>
          <w:i w:val="0"/>
          <w:sz w:val="24"/>
          <w:u w:val="none"/>
        </w:rPr>
        <w:br/>
      </w:r>
      <w:r>
        <w:rPr>
          <w:b w:val="0"/>
          <w:i w:val="0"/>
          <w:sz w:val="24"/>
          <w:u w:val="none"/>
        </w:rPr>
        <w:br/>
      </w:r>
      <w:r>
        <w:rPr>
          <w:b/>
          <w:i w:val="0"/>
          <w:sz w:val="24"/>
          <w:u w:val="none"/>
        </w:rPr>
        <w:t>DEPARTMENT OF THE TREASURY</w:t>
      </w:r>
      <w:r>
        <w:rPr>
          <w:sz w:val="24"/>
        </w:rPr>
        <w:br/>
      </w:r>
      <w:r>
        <w:rPr>
          <w:b w:val="0"/>
          <w:i w:val="0"/>
          <w:sz w:val="24"/>
          <w:u w:val="none"/>
        </w:rPr>
        <w:br/>
        <w:t xml:space="preserve">        WASHINGTON, D.C.</w:t>
        <w:br/>
        <w:t xml:space="preserve">      </w:t>
      </w:r>
      <w:r>
        <w:rPr>
          <w:b w:val="0"/>
          <w:i w:val="0"/>
          <w:sz w:val="24"/>
          <w:u w:val="none"/>
        </w:rPr>
        <w:br/>
      </w:r>
      <w:r>
        <w:rPr>
          <w:b w:val="0"/>
          <w:i w:val="0"/>
          <w:sz w:val="24"/>
          <w:u w:val="none"/>
        </w:rPr>
        <w:br/>
      </w:r>
      <w:r>
        <w:rPr>
          <w:b/>
          <w:i w:val="0"/>
          <w:sz w:val="24"/>
          <w:u w:val="none"/>
        </w:rPr>
        <w:t>GSA</w:t>
      </w:r>
      <w:r>
        <w:rPr>
          <w:sz w:val="24"/>
        </w:rPr>
        <w:br/>
      </w:r>
      <w:r>
        <w:rPr>
          <w:b w:val="0"/>
          <w:i w:val="0"/>
          <w:sz w:val="24"/>
          <w:u w:val="none"/>
        </w:rPr>
        <w:br/>
        <w:t xml:space="preserve">        EIN: 38-6004534</w:t>
      </w:r>
      <w:r>
        <w:rPr>
          <w:sz w:val="24"/>
        </w:rPr>
        <w:br/>
      </w:r>
      <w:r>
        <w:rPr>
          <w:b w:val="0"/>
          <w:i w:val="0"/>
          <w:sz w:val="24"/>
          <w:u w:val="none"/>
        </w:rPr>
        <w:br/>
      </w:r>
      <w:r>
        <w:rPr>
          <w:b w:val="0"/>
          <w:i w:val="0"/>
          <w:sz w:val="24"/>
          <w:u w:val="none"/>
        </w:rPr>
        <w:br/>
      </w:r>
      <w:r>
        <w:rPr>
          <w:b w:val="0"/>
          <w:i w:val="0"/>
          <w:sz w:val="24"/>
          <w:u w:val="none"/>
        </w:rPr>
        <w:br/>
      </w:r>
      <w:r>
        <w:rPr>
          <w:b/>
          <w:i w:val="0"/>
          <w:sz w:val="24"/>
          <w:u w:val="none"/>
        </w:rPr>
        <w:t>Subject:</w:t>
      </w:r>
      <w:r>
        <w:rPr>
          <w:b w:val="0"/>
          <w:i w:val="0"/>
          <w:sz w:val="24"/>
          <w:u w:val="none"/>
        </w:rPr>
        <w:t xml:space="preserve"> U.S. Department of the Treasury’s Management Decision Letter (MDL) for Single Audit Report for the period ending on June 30, 2024</w:t>
        <w:br/>
        <w:t xml:space="preserve">      </w:t>
      </w:r>
      <w:r>
        <w:rPr>
          <w:b w:val="0"/>
          <w:i w:val="0"/>
          <w:sz w:val="24"/>
          <w:u w:val="none"/>
        </w:rPr>
        <w:br/>
      </w:r>
      <w:r>
        <w:rPr>
          <w:b w:val="0"/>
          <w:i w:val="0"/>
          <w:sz w:val="24"/>
          <w:u w:val="none"/>
        </w:rPr>
        <w:br/>
        <w:t xml:space="preserve">        In accordance with 2 C.F.R. § 200.521(b), the U.S. Department of the Treasury (Treasury)</w:t>
        <w:br/>
        <w:t xml:space="preserve">        is required to issue a management decision for single audit findings pertaining to awards under</w:t>
        <w:br/>
        <w:t xml:space="preserve">        Treasury’s programs. Treasury’s review as part of its responsibilities under 2 C.F.R § 200.513(c)</w:t>
        <w:br/>
        <w:t xml:space="preserve">        includes an assessment of Treasury’s award recipients’ single audit findings, corrective action plans (CAPs),</w:t>
        <w:br/>
        <w:t xml:space="preserve">        and questioned costs, if any.</w:t>
        <w:br/>
        <w:t xml:space="preserve">      </w:t>
      </w:r>
      <w:r>
        <w:rPr>
          <w:b w:val="0"/>
          <w:i w:val="0"/>
          <w:sz w:val="24"/>
          <w:u w:val="none"/>
        </w:rPr>
        <w:br/>
      </w:r>
      <w:r>
        <w:rPr>
          <w:b w:val="0"/>
          <w:i w:val="0"/>
          <w:sz w:val="24"/>
          <w:u w:val="none"/>
        </w:rPr>
        <w:br/>
        <w:t xml:space="preserve">        Treasury has reviewed the single audit report for The GSA,</w:t>
        <w:br/>
        <w:t xml:space="preserve">        prepared by the  for the fiscal year ending on</w:t>
        <w:br/>
        <w:t xml:space="preserve">        June 30, 2024.</w:t>
        <w:br/>
        <w:t xml:space="preserve">        Treasury has made the following determinations regarding the audit finding(s) and CAP(s) listed below.</w:t>
        <w:br/>
        <w:t xml:space="preserve">    </w:t>
      </w:r>
      <w:r>
        <w:rPr>
          <w:b w:val="0"/>
          <w:i w:val="0"/>
          <w:sz w:val="24"/>
          <w:u w:val="none"/>
        </w:rPr>
        <w:br/>
      </w:r>
      <w:r>
        <w:rPr>
          <w:b w:val="0"/>
          <w:i w:val="0"/>
          <w:sz w:val="24"/>
          <w:u w:val="none"/>
        </w:rPr>
        <w:t>No questioned costs are included in this single audit report.</w:t>
      </w:r>
      <w:r>
        <w:rPr>
          <w:b w:val="0"/>
          <w:i w:val="0"/>
          <w:sz w:val="24"/>
          <w:u w:val="none"/>
        </w:rPr>
        <w:br/>
      </w:r>
      <w:r>
        <w:rPr>
          <w:b w:val="0"/>
          <w:i w:val="0"/>
          <w:sz w:val="24"/>
          <w:u w:val="none"/>
        </w:rPr>
        <w:br/>
      </w:r>
      <w:r>
        <w:rPr>
          <w:b w:val="0"/>
          <w:i w:val="0"/>
          <w:sz w:val="24"/>
          <w:u w:val="none"/>
        </w:rPr>
        <w:br/>
      </w:r>
      <w:r>
        <w:rPr>
          <w:b w:val="0"/>
          <w:i w:val="0"/>
          <w:sz w:val="24"/>
          <w:u w:val="none"/>
        </w:rPr>
        <w:t>Audit</w:t>
      </w:r>
      <w:r>
        <w:rPr>
          <w:sz w:val="24"/>
        </w:rPr>
        <w:br/>
      </w:r>
      <w:r>
        <w:rPr>
          <w:b w:val="0"/>
          <w:i w:val="0"/>
          <w:sz w:val="24"/>
          <w:u w:val="none"/>
        </w:rPr>
        <w:t>Finding #</w:t>
      </w:r>
      <w:r>
        <w:rPr>
          <w:b w:val="0"/>
          <w:i w:val="0"/>
          <w:sz w:val="24"/>
          <w:u w:val="none"/>
        </w:rPr>
        <w:br/>
      </w:r>
      <w:r>
        <w:rPr>
          <w:b w:val="0"/>
          <w:i w:val="0"/>
          <w:sz w:val="24"/>
          <w:u w:val="none"/>
        </w:rPr>
        <w:t>Compliance Type -</w:t>
      </w:r>
      <w:r>
        <w:rPr>
          <w:sz w:val="24"/>
        </w:rPr>
        <w:br/>
      </w:r>
      <w:r>
        <w:rPr>
          <w:b w:val="0"/>
          <w:i w:val="0"/>
          <w:sz w:val="24"/>
          <w:u w:val="none"/>
        </w:rPr>
        <w:t>Audit Finding Summary</w:t>
      </w:r>
      <w:r>
        <w:rPr>
          <w:b w:val="0"/>
          <w:i w:val="0"/>
          <w:sz w:val="24"/>
          <w:u w:val="none"/>
        </w:rPr>
        <w:br/>
      </w:r>
      <w:r>
        <w:rPr>
          <w:b w:val="0"/>
          <w:i w:val="0"/>
          <w:sz w:val="24"/>
          <w:u w:val="none"/>
        </w:rPr>
        <w:t>Audit Finding</w:t>
      </w:r>
      <w:r>
        <w:rPr>
          <w:sz w:val="24"/>
        </w:rPr>
        <w:br/>
      </w:r>
      <w:r>
        <w:rPr>
          <w:b w:val="0"/>
          <w:i w:val="0"/>
          <w:sz w:val="24"/>
          <w:u w:val="none"/>
        </w:rPr>
        <w:t>Determination</w:t>
      </w:r>
      <w:r>
        <w:rPr>
          <w:b w:val="0"/>
          <w:i w:val="0"/>
          <w:sz w:val="24"/>
          <w:u w:val="none"/>
        </w:rPr>
        <w:br/>
      </w:r>
      <w:r>
        <w:rPr>
          <w:b w:val="0"/>
          <w:i w:val="0"/>
          <w:sz w:val="24"/>
          <w:u w:val="none"/>
        </w:rPr>
        <w:t>Questioned Cost</w:t>
      </w:r>
      <w:r>
        <w:rPr>
          <w:sz w:val="24"/>
        </w:rPr>
        <w:br/>
      </w:r>
      <w:r>
        <w:rPr>
          <w:b w:val="0"/>
          <w:i w:val="0"/>
          <w:sz w:val="24"/>
          <w:u w:val="none"/>
        </w:rPr>
        <w:t>Determination</w:t>
      </w:r>
      <w:r>
        <w:rPr>
          <w:b w:val="0"/>
          <w:i w:val="0"/>
          <w:sz w:val="24"/>
          <w:u w:val="none"/>
        </w:rPr>
        <w:br/>
      </w:r>
      <w:r>
        <w:rPr>
          <w:b w:val="0"/>
          <w:i w:val="0"/>
          <w:sz w:val="24"/>
          <w:u w:val="none"/>
        </w:rPr>
        <w:t>CAP</w:t>
      </w:r>
      <w:r>
        <w:rPr>
          <w:sz w:val="24"/>
        </w:rPr>
        <w:br/>
      </w:r>
      <w:r>
        <w:rPr>
          <w:b w:val="0"/>
          <w:i w:val="0"/>
          <w:sz w:val="24"/>
          <w:u w:val="none"/>
        </w:rPr>
        <w:t>Determination</w:t>
      </w:r>
      <w:r>
        <w:rPr>
          <w:b w:val="0"/>
          <w:i w:val="0"/>
          <w:sz w:val="24"/>
          <w:u w:val="none"/>
        </w:rPr>
        <w:br/>
      </w:r>
      <w:r>
        <w:rPr>
          <w:b w:val="0"/>
          <w:i w:val="0"/>
          <w:sz w:val="24"/>
          <w:u w:val="none"/>
        </w:rPr>
        <w:br/>
      </w:r>
      <w:r>
        <w:rPr>
          <w:b w:val="0"/>
          <w:i w:val="0"/>
          <w:sz w:val="24"/>
          <w:u w:val="none"/>
        </w:rPr>
        <w:br/>
      </w:r>
      <w:r>
        <w:rPr>
          <w:b w:val="0"/>
          <w:i w:val="0"/>
          <w:sz w:val="24"/>
          <w:u w:val="none"/>
        </w:rPr>
        <w:t>2024-002</w:t>
      </w:r>
      <w:r>
        <w:rPr>
          <w:b w:val="0"/>
          <w:i w:val="0"/>
          <w:sz w:val="24"/>
          <w:u w:val="none"/>
        </w:rPr>
        <w:br/>
      </w:r>
      <w:r>
        <w:rPr>
          <w:b w:val="0"/>
          <w:i w:val="0"/>
          <w:sz w:val="24"/>
          <w:u w:val="none"/>
        </w:rPr>
        <w:t>Procurement and suspension and debarment – Lack of Internal Controls- Grants Management</w:t>
      </w:r>
      <w:r>
        <w:rPr>
          <w:b w:val="0"/>
          <w:i w:val="0"/>
          <w:sz w:val="24"/>
          <w:u w:val="none"/>
        </w:rPr>
        <w:br/>
      </w:r>
      <w:r>
        <w:rPr>
          <w:b w:val="0"/>
          <w:i w:val="0"/>
          <w:sz w:val="24"/>
          <w:u w:val="none"/>
        </w:rPr>
        <w:t>Sustained</w:t>
      </w:r>
      <w:r>
        <w:rPr>
          <w:b w:val="0"/>
          <w:i w:val="0"/>
          <w:sz w:val="24"/>
          <w:u w:val="none"/>
        </w:rPr>
        <w:br/>
      </w:r>
      <w:r>
        <w:rPr>
          <w:b w:val="0"/>
          <w:i w:val="0"/>
          <w:sz w:val="24"/>
          <w:u w:val="none"/>
        </w:rPr>
        <w:t>Questioned Cost:</w:t>
        <w:br/>
        <w:t>None</w:t>
        <w:br/>
        <w:t>Disallowed Cost:</w:t>
        <w:br/>
        <w:t>None</w:t>
      </w:r>
      <w:r>
        <w:rPr>
          <w:b w:val="0"/>
          <w:i w:val="0"/>
          <w:sz w:val="24"/>
          <w:u w:val="none"/>
        </w:rPr>
        <w:br/>
      </w:r>
      <w:r>
        <w:rPr>
          <w:b w:val="0"/>
          <w:i w:val="0"/>
          <w:sz w:val="24"/>
          <w:u w:val="none"/>
        </w:rPr>
        <w:t>Accepted</w:t>
      </w:r>
      <w:r>
        <w:rPr>
          <w:b w:val="0"/>
          <w:i w:val="0"/>
          <w:sz w:val="24"/>
          <w:u w:val="none"/>
        </w:rPr>
        <w:br/>
      </w:r>
      <w:r>
        <w:rPr>
          <w:b w:val="0"/>
          <w:i w:val="0"/>
          <w:sz w:val="24"/>
          <w:u w:val="none"/>
        </w:rPr>
        <w:br/>
      </w:r>
      <w:r>
        <w:rPr>
          <w:b w:val="0"/>
          <w:i w:val="0"/>
          <w:sz w:val="24"/>
          <w:u w:val="none"/>
        </w:rPr>
        <w:br/>
      </w:r>
      <w:r>
        <w:rPr>
          <w:b w:val="0"/>
          <w:i w:val="0"/>
          <w:sz w:val="24"/>
          <w:u w:val="none"/>
        </w:rPr>
        <w:t>Corrective Action Plan – 2024-002</w:t>
      </w:r>
      <w:r>
        <w:rPr>
          <w:b w:val="0"/>
          <w:i w:val="0"/>
          <w:sz w:val="24"/>
          <w:u w:val="none"/>
        </w:rPr>
        <w:br/>
      </w:r>
      <w:r>
        <w:rPr>
          <w:b w:val="0"/>
          <w:i w:val="0"/>
          <w:sz w:val="24"/>
          <w:u w:val="none"/>
        </w:rPr>
        <w:t>2024-002 – Suspension and Debarment – Verification. Auditor Description of Condition and Effect. The City did not provide evidence that two out of three  vendors being awarded procurements are not suspended, debarred or otherwise excluded when the City  hired the vendors to provide goods or services. The failure to monitor suspension and debarment could  cause funds to be disbursed to contractors or vendors who are not eligible to have goods or services  purchased with federal monies. Auditor Recommendation. We recommend that the City review its written policies and procedures over  federal awards and enforce to ensure that the appropriate suspension and debarment evidence of  verifications are retained for all vendors providing goods or services in excess of$25,000. Responsible Person: Marti Praschan, Chief Financial Officer. Corrective Action. Management concurs with the finding. The City has recently hired a Finance Specialist who will be responsible for federal award compliance, including suspension and debarment verifications. This person will be tasked with retaining documentation for all vendors awarded federal funding in excess of $25,000. Anticipated Completion Date: June 30, 2025.</w:t>
      </w:r>
      <w:r>
        <w:rPr>
          <w:b w:val="0"/>
          <w:i w:val="0"/>
          <w:sz w:val="24"/>
          <w:u w:val="none"/>
        </w:rPr>
        <w:br/>
      </w:r>
      <w:r>
        <w:rPr>
          <w:b w:val="0"/>
          <w:i w:val="0"/>
          <w:sz w:val="24"/>
          <w:u w:val="none"/>
        </w:rPr>
        <w:br/>
        <w:t xml:space="preserve">        Please note, the corrective action(s) are subject to review during the recipient’s next annual single audit</w:t>
        <w:br/>
        <w:t xml:space="preserve">        or program-specific audit, as applicable, to determine adequacy. If the same audit finding(s) appear in a future single</w:t>
        <w:br/>
        <w:t xml:space="preserve">        audit report for this recipient, its current or future award funding under Treasury’s programs may be adversely impacted.</w:t>
        <w:br/>
        <w:t xml:space="preserve">      </w:t>
      </w:r>
      <w:r>
        <w:rPr>
          <w:b w:val="0"/>
          <w:i w:val="0"/>
          <w:sz w:val="24"/>
          <w:u w:val="none"/>
        </w:rPr>
        <w:br/>
      </w:r>
      <w:r>
        <w:rPr>
          <w:b w:val="0"/>
          <w:i w:val="0"/>
          <w:sz w:val="24"/>
          <w:u w:val="none"/>
        </w:rPr>
        <w:br/>
        <w:t xml:space="preserve">        For questions regarding the audit finding(s), please email us at</w:t>
        <w:br/>
        <w:t xml:space="preserve">        </w:t>
      </w:r>
      <w:r>
        <w:rPr>
          <w:b w:val="0"/>
          <w:i w:val="0"/>
          <w:sz w:val="24"/>
          <w:u w:val="none"/>
        </w:rPr>
        <w:t>{html.escape(treasury_contact_email)}</w:t>
      </w:r>
      <w:r>
        <w:rPr>
          <w:b w:val="0"/>
          <w:i w:val="0"/>
          <w:sz w:val="24"/>
          <w:u w:val="none"/>
        </w:rPr>
        <w:t>.</w:t>
        <w:br/>
        <w:t xml:space="preserve">        Thank you.</w:t>
        <w:br/>
        <w:t xml:space="preserve">    </w:t>
      </w:r>
      <w:r>
        <w:rPr>
          <w:b w:val="0"/>
          <w:i w:val="0"/>
          <w:sz w:val="24"/>
          <w:u w:val="none"/>
        </w:rPr>
        <w:br/>
      </w:r>
      <w:r>
        <w:rPr>
          <w:b w:val="0"/>
          <w:i w:val="0"/>
          <w:sz w:val="24"/>
          <w:u w:val="none"/>
        </w:rPr>
        <w:t>Sincerely,</w:t>
      </w:r>
      <w:r>
        <w:rPr>
          <w:sz w:val="24"/>
        </w:rPr>
        <w:br/>
      </w:r>
      <w:r>
        <w:rPr>
          <w:sz w:val="24"/>
        </w:rPr>
        <w:br/>
      </w:r>
      <w:r>
        <w:rPr>
          <w:b w:val="0"/>
          <w:i w:val="0"/>
          <w:sz w:val="24"/>
          <w:u w:val="none"/>
        </w:rPr>
        <w:br/>
        <w:t xml:space="preserve">      Audit and Compliance Resolution Team</w:t>
      </w:r>
      <w:r>
        <w:rPr>
          <w:sz w:val="24"/>
        </w:rPr>
        <w:br/>
      </w:r>
      <w:r>
        <w:rPr>
          <w:b w:val="0"/>
          <w:i w:val="0"/>
          <w:sz w:val="24"/>
          <w:u w:val="none"/>
        </w:rPr>
        <w:br/>
        <w:t xml:space="preserve">      Office of Capital Access</w:t>
      </w:r>
      <w:r>
        <w:rPr>
          <w:sz w:val="24"/>
        </w:rPr>
        <w:br/>
      </w:r>
      <w:r>
        <w:rPr>
          <w:b w:val="0"/>
          <w:i w:val="0"/>
          <w:sz w:val="24"/>
          <w:u w:val="none"/>
        </w:rPr>
        <w:br/>
        <w:t xml:space="preserve">      U.S. Department of the Treasury</w:t>
      </w:r>
      <w:r>
        <w:rPr>
          <w:b w:val="0"/>
          <w:i w:val="0"/>
          <w:sz w:val="24"/>
          <w:u w:val="none"/>
        </w:rPr>
        <w:br/>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