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Campo Band of Mission Indians</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95-2995028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36190 Church Rd., Suite 3</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Campo, CA 91906</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Annah Ceballos, Director of Finance</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Campo Band of Mission Indians</w:t>
      </w:r>
      <w:r>
        <w:rPr>
          <w:sz w:val="24"/>
        </w:rPr>
        <w:t xml:space="preserve"> prepared by </w:t>
      </w:r>
      <w:r>
        <w:rPr>
          <w:sz w:val="24"/>
        </w:rPr>
        <w:t>Donham &amp; Associates, CPA, LLC</w:t>
      </w:r>
      <w:r>
        <w:rPr>
          <w:sz w:val="24"/>
        </w:rPr>
        <w:t xml:space="preserve"> for the fiscal year ending on </w:t>
      </w:r>
      <w:r>
        <w:rPr>
          <w:b/>
          <w:sz w:val="24"/>
        </w:rPr>
        <w:t>December 31, 2023</w:t>
      </w:r>
      <w:r>
        <w:rPr>
          <w:sz w:val="24"/>
        </w:rPr>
        <w:t>. No questioned costs are included in this single audit report. Treasury has made the following determinations regarding the audit findings and CAPs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2023-001</w:t>
            </w:r>
          </w:p>
        </w:tc>
        <w:tc>
          <w:tcPr>
            <w:tcW w:type="dxa" w:w="2290"/>
            <w:vAlign w:val="top"/>
          </w:tcPr>
          <w:p>
            <w:pPr>
              <w:spacing w:before="0"/>
              <w:jc w:val="left"/>
            </w:pPr>
            <w:r>
              <w:rPr>
                <w:b/>
                <w:sz w:val="24"/>
              </w:rPr>
              <w:t>Other</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p>
      <w:pPr>
        <w:spacing w:before="240" w:after="160" w:line="240" w:lineRule="auto"/>
      </w:pPr>
      <w:r>
        <w:rPr>
          <w:b/>
          <w:sz w:val="24"/>
        </w:rPr>
        <w:t>Assistance Listing Number/Program Name:</w:t>
      </w:r>
      <w:r>
        <w:rPr>
          <w:sz w:val="24"/>
        </w:rPr>
        <w:br/>
      </w:r>
      <w:r>
        <w:rPr>
          <w:sz w:val="24"/>
        </w:rPr>
        <w:t>21.026 / Homeowner Assistance Fund (HAF)</w:t>
      </w: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2023-001</w:t>
            </w:r>
          </w:p>
        </w:tc>
        <w:tc>
          <w:tcPr>
            <w:tcW w:type="dxa" w:w="2290"/>
            <w:vAlign w:val="top"/>
          </w:tcPr>
          <w:p>
            <w:pPr>
              <w:spacing w:before="0"/>
              <w:jc w:val="left"/>
            </w:pPr>
            <w:r>
              <w:rPr>
                <w:b/>
                <w:sz w:val="24"/>
              </w:rPr>
              <w:t>Other</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p>
      <w:pPr>
        <w:spacing w:before="240" w:after="160" w:line="240" w:lineRule="auto"/>
      </w:pPr>
      <w:r>
        <w:rPr>
          <w:b/>
          <w:sz w:val="24"/>
        </w:rPr>
        <w:t>Assistance Listing Number/Program Name:</w:t>
      </w:r>
      <w:r>
        <w:rPr>
          <w:sz w:val="24"/>
        </w:rPr>
        <w:br/>
      </w:r>
      <w:r>
        <w:rPr>
          <w:sz w:val="24"/>
        </w:rPr>
        <w:t>21.023 / Emergency Rental Assistance Program (ERA)</w:t>
      </w: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2023-001</w:t>
            </w:r>
          </w:p>
        </w:tc>
        <w:tc>
          <w:tcPr>
            <w:tcW w:type="dxa" w:w="2290"/>
            <w:vAlign w:val="top"/>
          </w:tcPr>
          <w:p>
            <w:pPr>
              <w:spacing w:before="0"/>
              <w:jc w:val="left"/>
            </w:pPr>
            <w:r>
              <w:rPr>
                <w:b/>
                <w:sz w:val="24"/>
              </w:rPr>
              <w:t>Other</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findings are sustained as the identified issues violate the terms and conditions of the above-referenced awards. The CAPs, if implemented, are responsive to the audit findings, address the cause of the audit findings and should be completed in accordance with the action dates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actions are subject to review during this recipient’s next annual single audit or program-specific audit, as applicable, to determine adequacy. If the same audit findings appear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Campo Band of Mission Indians may appeal Treasury’s decision for the audit findings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findings,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