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B2603">
      <w:pPr>
        <w:pStyle w:val="2"/>
        <w:bidi w:val="0"/>
        <w:rPr>
          <w:rFonts w:hint="default"/>
          <w:sz w:val="48"/>
          <w:szCs w:val="48"/>
        </w:rPr>
      </w:pPr>
      <w:r>
        <w:rPr>
          <w:rFonts w:hint="default"/>
          <w:sz w:val="48"/>
          <w:szCs w:val="48"/>
        </w:rPr>
        <w:t>Questions</w:t>
      </w:r>
    </w:p>
    <w:p w14:paraId="74F9D737">
      <w:pPr>
        <w:rPr>
          <w:rFonts w:hint="default"/>
        </w:rPr>
      </w:pPr>
    </w:p>
    <w:p w14:paraId="50452CA7">
      <w:pPr>
        <w:pStyle w:val="3"/>
        <w:keepNext w:val="0"/>
        <w:keepLines w:val="0"/>
        <w:widowControl/>
        <w:suppressLineNumbers w:val="0"/>
        <w:rPr>
          <w:rFonts w:hint="default" w:asciiTheme="minorAscii" w:hAnsiTheme="minorAscii"/>
        </w:rPr>
      </w:pPr>
      <w:r>
        <w:rPr>
          <w:rFonts w:hint="default" w:asciiTheme="minorAscii" w:hAnsiTheme="minorAscii"/>
        </w:rPr>
        <w:t>1. Factors Affecting the Composition of Current vs. Long-term Assets</w:t>
      </w:r>
    </w:p>
    <w:p w14:paraId="685B6DA8">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Current Assets</w:t>
      </w:r>
      <w:r>
        <w:rPr>
          <w:rFonts w:hint="default" w:asciiTheme="minorAscii" w:hAnsiTheme="minorAscii"/>
        </w:rPr>
        <w:t xml:space="preserve"> are generally assets that are expected to be converted to cash or consumed within a year. These include </w:t>
      </w:r>
      <w:r>
        <w:rPr>
          <w:rStyle w:val="7"/>
          <w:rFonts w:hint="default" w:asciiTheme="minorAscii" w:hAnsiTheme="minorAscii"/>
        </w:rPr>
        <w:t>cash and equivalents, receivables, and inventory</w:t>
      </w:r>
      <w:r>
        <w:rPr>
          <w:rFonts w:hint="default" w:asciiTheme="minorAscii" w:hAnsiTheme="minorAscii"/>
        </w:rPr>
        <w:t>. The composition of current assets can be influenced by:</w:t>
      </w:r>
    </w:p>
    <w:p w14:paraId="14B96805">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Sales cycle length</w:t>
      </w:r>
      <w:r>
        <w:rPr>
          <w:rFonts w:hint="default" w:asciiTheme="minorAscii" w:hAnsiTheme="minorAscii"/>
        </w:rPr>
        <w:t>: Companies with short sales cycles tend to have higher receivables and cash balances.</w:t>
      </w:r>
    </w:p>
    <w:p w14:paraId="06A55898">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Inventory turnover</w:t>
      </w:r>
      <w:r>
        <w:rPr>
          <w:rFonts w:hint="default" w:asciiTheme="minorAscii" w:hAnsiTheme="minorAscii"/>
        </w:rPr>
        <w:t>: High turnover can reduce inventory levels, while low turnover often increases it.</w:t>
      </w:r>
    </w:p>
    <w:p w14:paraId="2AF231BB">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Style w:val="7"/>
          <w:rFonts w:hint="default" w:asciiTheme="minorAscii" w:hAnsiTheme="minorAscii"/>
        </w:rPr>
        <w:t>Market conditions</w:t>
      </w:r>
      <w:r>
        <w:rPr>
          <w:rFonts w:hint="default" w:asciiTheme="minorAscii" w:hAnsiTheme="minorAscii"/>
        </w:rPr>
        <w:t>: High liquidity may be needed in unstable markets, affecting cash levels.</w:t>
      </w:r>
    </w:p>
    <w:p w14:paraId="795582E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Long-term Assets</w:t>
      </w:r>
      <w:r>
        <w:rPr>
          <w:rFonts w:hint="default" w:asciiTheme="minorAscii" w:hAnsiTheme="minorAscii"/>
        </w:rPr>
        <w:t xml:space="preserve"> (Property, Equipment, Intangibles) are influenced by:</w:t>
      </w:r>
    </w:p>
    <w:p w14:paraId="56EA014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rPr>
      </w:pPr>
      <w:r>
        <w:rPr>
          <w:rStyle w:val="7"/>
          <w:rFonts w:hint="default" w:asciiTheme="minorAscii" w:hAnsiTheme="minorAscii"/>
        </w:rPr>
        <w:t>Capital expenditure needs</w:t>
      </w:r>
      <w:r>
        <w:rPr>
          <w:rFonts w:hint="default" w:asciiTheme="minorAscii" w:hAnsiTheme="minorAscii"/>
        </w:rPr>
        <w:t>: Companies requiring heavy equipment or real estate investments will have higher long-term assets.</w:t>
      </w:r>
    </w:p>
    <w:p w14:paraId="1EC2B6CC">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rPr>
      </w:pPr>
      <w:r>
        <w:rPr>
          <w:rStyle w:val="7"/>
          <w:rFonts w:hint="default" w:asciiTheme="minorAscii" w:hAnsiTheme="minorAscii"/>
        </w:rPr>
        <w:t>Depreciation policies</w:t>
      </w:r>
      <w:r>
        <w:rPr>
          <w:rFonts w:hint="default" w:asciiTheme="minorAscii" w:hAnsiTheme="minorAscii"/>
        </w:rPr>
        <w:t>: The rate of depreciation affects the book value of assets, impacting their composition.</w:t>
      </w:r>
    </w:p>
    <w:p w14:paraId="23D7F76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rPr>
      </w:pPr>
      <w:r>
        <w:rPr>
          <w:rStyle w:val="7"/>
          <w:rFonts w:hint="default" w:asciiTheme="minorAscii" w:hAnsiTheme="minorAscii"/>
        </w:rPr>
        <w:t>Strategic investments</w:t>
      </w:r>
      <w:r>
        <w:rPr>
          <w:rFonts w:hint="default" w:asciiTheme="minorAscii" w:hAnsiTheme="minorAscii"/>
        </w:rPr>
        <w:t>: Investments in patents, technology, or facilities may increase long-term assets if the company plans for growth.</w:t>
      </w:r>
    </w:p>
    <w:p w14:paraId="44691059">
      <w:pPr>
        <w:pStyle w:val="3"/>
        <w:keepNext w:val="0"/>
        <w:keepLines w:val="0"/>
        <w:widowControl/>
        <w:suppressLineNumbers w:val="0"/>
        <w:rPr>
          <w:rFonts w:hint="default" w:asciiTheme="minorAscii" w:hAnsiTheme="minorAscii"/>
        </w:rPr>
      </w:pPr>
      <w:r>
        <w:rPr>
          <w:rFonts w:hint="default" w:asciiTheme="minorAscii" w:hAnsiTheme="minorAscii"/>
        </w:rPr>
        <w:t>2. Debt-to-Equity Ratio Impact on Creditworthiness and Access to Capital</w:t>
      </w:r>
    </w:p>
    <w:p w14:paraId="4240AF61">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 xml:space="preserve">The </w:t>
      </w:r>
      <w:r>
        <w:rPr>
          <w:rStyle w:val="7"/>
          <w:rFonts w:hint="default" w:asciiTheme="minorAscii" w:hAnsiTheme="minorAscii"/>
        </w:rPr>
        <w:t>debt-to-equity (D/E) ratio</w:t>
      </w:r>
      <w:r>
        <w:rPr>
          <w:rFonts w:hint="default" w:asciiTheme="minorAscii" w:hAnsiTheme="minorAscii"/>
        </w:rPr>
        <w:t xml:space="preserve"> measures the proportion of debt financing relative to equity. A high D/E ratio indicates reliance on debt, which can affect:</w:t>
      </w:r>
    </w:p>
    <w:p w14:paraId="3135812B">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rPr>
      </w:pPr>
      <w:r>
        <w:rPr>
          <w:rStyle w:val="7"/>
          <w:rFonts w:hint="default" w:asciiTheme="minorAscii" w:hAnsiTheme="minorAscii"/>
        </w:rPr>
        <w:t>Creditworthiness</w:t>
      </w:r>
      <w:r>
        <w:rPr>
          <w:rFonts w:hint="default" w:asciiTheme="minorAscii" w:hAnsiTheme="minorAscii"/>
        </w:rPr>
        <w:t>: Lenders may view a high D/E ratio as risky, which could increase borrowing costs or limit loan options.</w:t>
      </w:r>
    </w:p>
    <w:p w14:paraId="50B31C1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rPr>
      </w:pPr>
      <w:r>
        <w:rPr>
          <w:rStyle w:val="7"/>
          <w:rFonts w:hint="default" w:asciiTheme="minorAscii" w:hAnsiTheme="minorAscii"/>
        </w:rPr>
        <w:t>Capital access</w:t>
      </w:r>
      <w:r>
        <w:rPr>
          <w:rFonts w:hint="default" w:asciiTheme="minorAscii" w:hAnsiTheme="minorAscii"/>
        </w:rPr>
        <w:t>: High reliance on debt may lead investors to demand higher returns due to perceived risk, potentially limiting equity investment.</w:t>
      </w:r>
    </w:p>
    <w:p w14:paraId="70FB692A">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Optimal D/E Ratio</w:t>
      </w:r>
      <w:r>
        <w:rPr>
          <w:rFonts w:hint="default" w:asciiTheme="minorAscii" w:hAnsiTheme="minorAscii"/>
        </w:rPr>
        <w:t xml:space="preserve"> depends on the industry, but very high ratios might hinder credit access and increase interest expenses, affecting profitability.</w:t>
      </w:r>
    </w:p>
    <w:p w14:paraId="75C972F7">
      <w:pPr>
        <w:pStyle w:val="3"/>
        <w:keepNext w:val="0"/>
        <w:keepLines w:val="0"/>
        <w:widowControl/>
        <w:suppressLineNumbers w:val="0"/>
        <w:rPr>
          <w:rFonts w:hint="default" w:asciiTheme="minorAscii" w:hAnsiTheme="minorAscii"/>
        </w:rPr>
      </w:pPr>
      <w:r>
        <w:rPr>
          <w:rFonts w:hint="default" w:asciiTheme="minorAscii" w:hAnsiTheme="minorAscii"/>
        </w:rPr>
        <w:t>3. Debt-to-Equity Ratio Analysis (Change Over Four Years)</w:t>
      </w:r>
    </w:p>
    <w:p w14:paraId="4D92489A">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Calculate</w:t>
      </w:r>
      <w:r>
        <w:rPr>
          <w:rFonts w:hint="default" w:asciiTheme="minorAscii" w:hAnsiTheme="minorAscii"/>
          <w:lang w:val="en-IN"/>
        </w:rPr>
        <w:t>d</w:t>
      </w:r>
      <w:r>
        <w:rPr>
          <w:rFonts w:hint="default" w:asciiTheme="minorAscii" w:hAnsiTheme="minorAscii"/>
        </w:rPr>
        <w:t xml:space="preserve"> this ratio by dividing </w:t>
      </w:r>
      <w:r>
        <w:rPr>
          <w:rStyle w:val="7"/>
          <w:rFonts w:hint="default" w:asciiTheme="minorAscii" w:hAnsiTheme="minorAscii"/>
        </w:rPr>
        <w:t>total liabilities</w:t>
      </w:r>
      <w:r>
        <w:rPr>
          <w:rFonts w:hint="default" w:asciiTheme="minorAscii" w:hAnsiTheme="minorAscii"/>
        </w:rPr>
        <w:t xml:space="preserve"> by </w:t>
      </w:r>
      <w:r>
        <w:rPr>
          <w:rStyle w:val="7"/>
          <w:rFonts w:hint="default" w:asciiTheme="minorAscii" w:hAnsiTheme="minorAscii"/>
        </w:rPr>
        <w:t>total equity</w:t>
      </w:r>
      <w:r>
        <w:rPr>
          <w:rFonts w:hint="default" w:asciiTheme="minorAscii" w:hAnsiTheme="minorAscii"/>
        </w:rPr>
        <w:t xml:space="preserve"> for each year. Look</w:t>
      </w:r>
      <w:r>
        <w:rPr>
          <w:rFonts w:hint="default" w:asciiTheme="minorAscii" w:hAnsiTheme="minorAscii"/>
          <w:lang w:val="en-IN"/>
        </w:rPr>
        <w:t>ing</w:t>
      </w:r>
      <w:r>
        <w:rPr>
          <w:rFonts w:hint="default" w:asciiTheme="minorAscii" w:hAnsiTheme="minorAscii"/>
        </w:rPr>
        <w:t xml:space="preserve"> at the “Total Liabilities” and “Total Equity” sections in the Balance Sheet.</w:t>
      </w:r>
    </w:p>
    <w:p w14:paraId="5CBFE312">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This analysis reveals whether the company has shifted towards debt or equity financing over time:</w:t>
      </w:r>
    </w:p>
    <w:p w14:paraId="0CF13810">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 xml:space="preserve">The </w:t>
      </w:r>
      <w:r>
        <w:rPr>
          <w:rFonts w:hint="default" w:asciiTheme="minorAscii" w:hAnsiTheme="minorAscii"/>
          <w:b/>
          <w:bCs/>
        </w:rPr>
        <w:t>debt-to-equity ratio</w:t>
      </w:r>
      <w:r>
        <w:rPr>
          <w:rFonts w:hint="default" w:asciiTheme="minorAscii" w:hAnsiTheme="minorAscii"/>
        </w:rPr>
        <w:t xml:space="preserve"> has remained relatively stable over the four years, indicating a consistent approach to financing. A higher debt-to-equity ratio can negatively impact a company's creditworthiness and access to capital. However, the company seems to have maintained a balanced approach, which could be beneficial.</w:t>
      </w:r>
    </w:p>
    <w:p w14:paraId="40F30BFC">
      <w:pPr>
        <w:pStyle w:val="3"/>
        <w:keepNext w:val="0"/>
        <w:keepLines w:val="0"/>
        <w:widowControl/>
        <w:suppressLineNumbers w:val="0"/>
        <w:rPr>
          <w:rFonts w:hint="default" w:asciiTheme="minorAscii" w:hAnsiTheme="minorAscii"/>
        </w:rPr>
      </w:pPr>
      <w:r>
        <w:rPr>
          <w:rFonts w:hint="default" w:asciiTheme="minorAscii" w:hAnsiTheme="minorAscii"/>
        </w:rPr>
        <w:t>4. Revenue Growth Analysis Over Three Years and Segment Drivers</w:t>
      </w:r>
    </w:p>
    <w:p w14:paraId="5517060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b w:val="0"/>
          <w:bCs w:val="0"/>
        </w:rPr>
      </w:pPr>
      <w:r>
        <w:rPr>
          <w:rStyle w:val="7"/>
          <w:rFonts w:hint="default" w:asciiTheme="minorAscii" w:hAnsiTheme="minorAscii"/>
        </w:rPr>
        <w:t>Revenue Growth</w:t>
      </w:r>
      <w:r>
        <w:rPr>
          <w:rStyle w:val="7"/>
          <w:rFonts w:hint="default" w:asciiTheme="minorAscii" w:hAnsiTheme="minorAscii"/>
          <w:lang w:val="en-IN"/>
        </w:rPr>
        <w:t xml:space="preserve">: </w:t>
      </w:r>
      <w:r>
        <w:rPr>
          <w:rStyle w:val="7"/>
          <w:rFonts w:hint="default" w:asciiTheme="minorAscii" w:hAnsiTheme="minorAscii"/>
          <w:b w:val="0"/>
          <w:bCs w:val="0"/>
          <w:lang w:val="en-IN"/>
        </w:rPr>
        <w:t>The company has experienced consistent revenue growth over the three years, with a slight deceleration in the most recent year. The specific segments driving this growth are not provided, so it's difficult to pinpoint the exact drivers. However, the company seems to be executing its growth strategy effectively.</w:t>
      </w:r>
    </w:p>
    <w:p w14:paraId="60B9AD16">
      <w:pPr>
        <w:pStyle w:val="3"/>
        <w:keepNext w:val="0"/>
        <w:keepLines w:val="0"/>
        <w:widowControl/>
        <w:suppressLineNumbers w:val="0"/>
        <w:rPr>
          <w:rFonts w:hint="default" w:asciiTheme="minorAscii" w:hAnsiTheme="minorAscii"/>
        </w:rPr>
      </w:pPr>
      <w:r>
        <w:rPr>
          <w:rFonts w:hint="default" w:asciiTheme="minorAscii" w:hAnsiTheme="minorAscii"/>
        </w:rPr>
        <w:t>5. Gross Margin Comparison Over Three Years</w:t>
      </w:r>
    </w:p>
    <w:p w14:paraId="7B235909">
      <w:pPr>
        <w:keepNext w:val="0"/>
        <w:keepLines w:val="0"/>
        <w:widowControl/>
        <w:numPr>
          <w:ilvl w:val="0"/>
          <w:numId w:val="7"/>
        </w:numPr>
        <w:suppressLineNumbers w:val="0"/>
        <w:spacing w:before="0" w:beforeAutospacing="1" w:after="0" w:afterAutospacing="1"/>
        <w:ind w:left="420" w:leftChars="0" w:hanging="420" w:firstLineChars="0"/>
        <w:rPr>
          <w:rFonts w:hint="default" w:asciiTheme="minorAscii" w:hAnsiTheme="minorAscii"/>
          <w:b w:val="0"/>
          <w:bCs w:val="0"/>
        </w:rPr>
      </w:pPr>
      <w:r>
        <w:rPr>
          <w:rStyle w:val="7"/>
          <w:rFonts w:hint="default" w:asciiTheme="minorAscii" w:hAnsiTheme="minorAscii"/>
        </w:rPr>
        <w:t>Gross Margin</w:t>
      </w:r>
      <w:r>
        <w:rPr>
          <w:rStyle w:val="7"/>
          <w:rFonts w:hint="default" w:asciiTheme="minorAscii" w:hAnsiTheme="minorAscii"/>
          <w:lang w:val="en-IN"/>
        </w:rPr>
        <w:t>:</w:t>
      </w:r>
      <w:r>
        <w:rPr>
          <w:rStyle w:val="7"/>
          <w:rFonts w:hint="default" w:asciiTheme="minorAscii" w:hAnsiTheme="minorAscii"/>
        </w:rPr>
        <w:t xml:space="preserve"> </w:t>
      </w:r>
      <w:r>
        <w:rPr>
          <w:rStyle w:val="7"/>
          <w:rFonts w:hint="default" w:asciiTheme="minorAscii" w:hAnsiTheme="minorAscii"/>
          <w:b w:val="0"/>
          <w:bCs w:val="0"/>
        </w:rPr>
        <w:t>The gross margin has remained relatively stable over the three years, indicating that the company is maintaining its pricing power and cost control. A stable or increasing gross margin is a positive sign of profitability.</w:t>
      </w:r>
    </w:p>
    <w:p w14:paraId="5BD2C149">
      <w:pPr>
        <w:pStyle w:val="3"/>
        <w:keepNext w:val="0"/>
        <w:keepLines w:val="0"/>
        <w:widowControl/>
        <w:suppressLineNumbers w:val="0"/>
        <w:rPr>
          <w:rFonts w:hint="default" w:asciiTheme="minorAscii" w:hAnsiTheme="minorAscii"/>
        </w:rPr>
      </w:pPr>
      <w:r>
        <w:rPr>
          <w:rFonts w:hint="default" w:asciiTheme="minorAscii" w:hAnsiTheme="minorAscii"/>
        </w:rPr>
        <w:t>6. Use of Free Cash Flow (FCF) Analysis for Investors</w:t>
      </w:r>
    </w:p>
    <w:p w14:paraId="4D992630">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b/>
          <w:bCs/>
          <w:lang w:val="en-IN"/>
        </w:rPr>
        <w:t xml:space="preserve">Free cash flow (FCF) </w:t>
      </w:r>
      <w:r>
        <w:rPr>
          <w:rFonts w:hint="default" w:asciiTheme="minorAscii" w:hAnsiTheme="minorAscii"/>
          <w:lang w:val="en-IN"/>
        </w:rPr>
        <w:t>is a crucial metric for investors to assess a company's financial health and future prospects. By analyzing a company's FCF, investors can compare different companies within the same industry and make informed investment decisions.</w:t>
      </w:r>
    </w:p>
    <w:p w14:paraId="19D3B137">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Here's how investors can utilize </w:t>
      </w:r>
      <w:r>
        <w:rPr>
          <w:rFonts w:hint="default" w:asciiTheme="minorAscii" w:hAnsiTheme="minorAscii"/>
          <w:b/>
          <w:bCs/>
          <w:lang w:val="en-IN"/>
        </w:rPr>
        <w:t>FCF</w:t>
      </w:r>
      <w:r>
        <w:rPr>
          <w:rFonts w:hint="default" w:asciiTheme="minorAscii" w:hAnsiTheme="minorAscii"/>
          <w:lang w:val="en-IN"/>
        </w:rPr>
        <w:t xml:space="preserve"> analysis:</w:t>
      </w:r>
    </w:p>
    <w:p w14:paraId="0C4E1617">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1. </w:t>
      </w:r>
      <w:r>
        <w:rPr>
          <w:rFonts w:hint="default" w:asciiTheme="minorAscii" w:hAnsiTheme="minorAscii"/>
          <w:b/>
          <w:bCs/>
          <w:lang w:val="en-IN"/>
        </w:rPr>
        <w:t>Evaluating Financial Health and Strength</w:t>
      </w:r>
      <w:r>
        <w:rPr>
          <w:rFonts w:hint="default" w:asciiTheme="minorAscii" w:hAnsiTheme="minorAscii"/>
          <w:lang w:val="en-IN"/>
        </w:rPr>
        <w:t>:</w:t>
      </w:r>
    </w:p>
    <w:p w14:paraId="5A7F3F91">
      <w:pPr>
        <w:keepNext w:val="0"/>
        <w:keepLines w:val="0"/>
        <w:widowControl/>
        <w:numPr>
          <w:ilvl w:val="0"/>
          <w:numId w:val="7"/>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Cash Generation Ability</w:t>
      </w:r>
      <w:r>
        <w:rPr>
          <w:rFonts w:hint="default" w:asciiTheme="minorAscii" w:hAnsiTheme="minorAscii"/>
          <w:lang w:val="en-IN"/>
        </w:rPr>
        <w:t xml:space="preserve">: A company with positive FCF demonstrates its ability to generate cash from operations, which can be used to: </w:t>
      </w:r>
    </w:p>
    <w:p w14:paraId="17761068">
      <w:pPr>
        <w:keepNext w:val="0"/>
        <w:keepLines w:val="0"/>
        <w:widowControl/>
        <w:numPr>
          <w:ilvl w:val="0"/>
          <w:numId w:val="8"/>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Pay off debt</w:t>
      </w:r>
    </w:p>
    <w:p w14:paraId="521B5E75">
      <w:pPr>
        <w:keepNext w:val="0"/>
        <w:keepLines w:val="0"/>
        <w:widowControl/>
        <w:numPr>
          <w:ilvl w:val="0"/>
          <w:numId w:val="8"/>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Invest in growth opportunities</w:t>
      </w:r>
    </w:p>
    <w:p w14:paraId="7534F68B">
      <w:pPr>
        <w:keepNext w:val="0"/>
        <w:keepLines w:val="0"/>
        <w:widowControl/>
        <w:numPr>
          <w:ilvl w:val="0"/>
          <w:numId w:val="8"/>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Return capital to shareholders through dividends or share buybacks</w:t>
      </w:r>
    </w:p>
    <w:p w14:paraId="06E4C523">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Financial Flexibility</w:t>
      </w:r>
      <w:r>
        <w:rPr>
          <w:rFonts w:hint="default" w:asciiTheme="minorAscii" w:hAnsiTheme="minorAscii"/>
          <w:lang w:val="en-IN"/>
        </w:rPr>
        <w:t>: A company with strong FCF is better equipped to weather economic downturns or industry-specific challenges.</w:t>
      </w:r>
    </w:p>
    <w:p w14:paraId="4E7980C1">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2. </w:t>
      </w:r>
      <w:r>
        <w:rPr>
          <w:rFonts w:hint="default" w:asciiTheme="minorAscii" w:hAnsiTheme="minorAscii"/>
          <w:b/>
          <w:bCs/>
          <w:lang w:val="en-IN"/>
        </w:rPr>
        <w:t>Comparing Companies within the Same Industry</w:t>
      </w:r>
      <w:r>
        <w:rPr>
          <w:rFonts w:hint="default" w:asciiTheme="minorAscii" w:hAnsiTheme="minorAscii"/>
          <w:lang w:val="en-IN"/>
        </w:rPr>
        <w:t>:</w:t>
      </w:r>
    </w:p>
    <w:p w14:paraId="5A18CD80">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Relative Performance</w:t>
      </w:r>
      <w:r>
        <w:rPr>
          <w:rFonts w:hint="default" w:asciiTheme="minorAscii" w:hAnsiTheme="minorAscii"/>
          <w:lang w:val="en-IN"/>
        </w:rPr>
        <w:t>: By comparing the FCF of different companies in the same industry, investors can identify companies with superior cash generation capabilities.</w:t>
      </w:r>
    </w:p>
    <w:p w14:paraId="45302E1B">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Identifying Undervalued Stocks</w:t>
      </w:r>
      <w:r>
        <w:rPr>
          <w:rFonts w:hint="default" w:asciiTheme="minorAscii" w:hAnsiTheme="minorAscii"/>
          <w:lang w:val="en-IN"/>
        </w:rPr>
        <w:t>: A company with strong FCF but a lower valuation relative to its peers may be undervalued.</w:t>
      </w:r>
    </w:p>
    <w:p w14:paraId="22FCF51B">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Assessing Growth Potential</w:t>
      </w:r>
      <w:r>
        <w:rPr>
          <w:rFonts w:hint="default" w:asciiTheme="minorAscii" w:hAnsiTheme="minorAscii"/>
          <w:lang w:val="en-IN"/>
        </w:rPr>
        <w:t>: Companies with high FCF can invest in growth initiatives, such as research and development or acquisitions, to drive future growth.</w:t>
      </w:r>
    </w:p>
    <w:p w14:paraId="2F2087C1">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3. </w:t>
      </w:r>
      <w:r>
        <w:rPr>
          <w:rFonts w:hint="default" w:asciiTheme="minorAscii" w:hAnsiTheme="minorAscii"/>
          <w:b/>
          <w:bCs/>
          <w:lang w:val="en-IN"/>
        </w:rPr>
        <w:t>Evaluating Management's Capital Allocation</w:t>
      </w:r>
      <w:r>
        <w:rPr>
          <w:rFonts w:hint="default" w:asciiTheme="minorAscii" w:hAnsiTheme="minorAscii"/>
          <w:lang w:val="en-IN"/>
        </w:rPr>
        <w:t>:</w:t>
      </w:r>
    </w:p>
    <w:p w14:paraId="445BF7E7">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Effective Capital Allocation</w:t>
      </w:r>
      <w:r>
        <w:rPr>
          <w:rFonts w:hint="default" w:asciiTheme="minorAscii" w:hAnsiTheme="minorAscii"/>
          <w:lang w:val="en-IN"/>
        </w:rPr>
        <w:t>: Investors can assess how effectively management is allocating capital by analyzing the company's FCF and its use of funds.</w:t>
      </w:r>
    </w:p>
    <w:p w14:paraId="26FAD3DB">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Avoiding Capital Misallocation</w:t>
      </w:r>
      <w:r>
        <w:rPr>
          <w:rFonts w:hint="default" w:asciiTheme="minorAscii" w:hAnsiTheme="minorAscii"/>
          <w:lang w:val="en-IN"/>
        </w:rPr>
        <w:t>: Companies with poor capital allocation decisions may have lower FCF and lower shareholder returns.</w:t>
      </w:r>
    </w:p>
    <w:p w14:paraId="6CB284F4">
      <w:pPr>
        <w:keepNext w:val="0"/>
        <w:keepLines w:val="0"/>
        <w:widowControl/>
        <w:numPr>
          <w:numId w:val="0"/>
        </w:numPr>
        <w:suppressLineNumbers w:val="0"/>
        <w:spacing w:before="0" w:beforeAutospacing="1" w:after="0" w:afterAutospacing="1"/>
        <w:rPr>
          <w:rFonts w:hint="default" w:asciiTheme="minorAscii" w:hAnsiTheme="minorAscii"/>
          <w:lang w:val="en-IN"/>
        </w:rPr>
      </w:pPr>
    </w:p>
    <w:p w14:paraId="011AEFCC">
      <w:pPr>
        <w:keepNext w:val="0"/>
        <w:keepLines w:val="0"/>
        <w:widowControl/>
        <w:numPr>
          <w:numId w:val="0"/>
        </w:numPr>
        <w:suppressLineNumbers w:val="0"/>
        <w:spacing w:before="0" w:beforeAutospacing="1" w:after="0" w:afterAutospacing="1"/>
        <w:rPr>
          <w:rFonts w:hint="default" w:asciiTheme="minorAscii" w:hAnsiTheme="minorAscii"/>
          <w:lang w:val="en-IN"/>
        </w:rPr>
      </w:pPr>
    </w:p>
    <w:p w14:paraId="49A2F924">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4. </w:t>
      </w:r>
      <w:r>
        <w:rPr>
          <w:rFonts w:hint="default" w:asciiTheme="minorAscii" w:hAnsiTheme="minorAscii"/>
          <w:b/>
          <w:bCs/>
          <w:lang w:val="en-IN"/>
        </w:rPr>
        <w:t>Assessing Valuation</w:t>
      </w:r>
      <w:r>
        <w:rPr>
          <w:rFonts w:hint="default" w:asciiTheme="minorAscii" w:hAnsiTheme="minorAscii"/>
          <w:lang w:val="en-IN"/>
        </w:rPr>
        <w:t>:</w:t>
      </w:r>
    </w:p>
    <w:p w14:paraId="7F24F39C">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Discounted Cash Flow (DCF) Analysis</w:t>
      </w:r>
      <w:r>
        <w:rPr>
          <w:rFonts w:hint="default" w:asciiTheme="minorAscii" w:hAnsiTheme="minorAscii"/>
          <w:lang w:val="en-IN"/>
        </w:rPr>
        <w:t>: FCF is a key input in DCF analysis, which is a widely used valuation method. By projecting future FCF and discounting it back to the present value, investors can estimate a company's intrinsic value.</w:t>
      </w:r>
    </w:p>
    <w:p w14:paraId="69EC2994">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b/>
          <w:bCs/>
          <w:lang w:val="en-IN"/>
        </w:rPr>
        <w:t>Comparing Valuation Multiples</w:t>
      </w:r>
      <w:r>
        <w:rPr>
          <w:rFonts w:hint="default" w:asciiTheme="minorAscii" w:hAnsiTheme="minorAscii"/>
          <w:lang w:val="en-IN"/>
        </w:rPr>
        <w:t>: FCF can be used to calculate valuation multiples like EV/FCF, which can be compared to industry averages to identify undervalued or overvalued stocks.</w:t>
      </w:r>
    </w:p>
    <w:p w14:paraId="3CCCFB89">
      <w:pPr>
        <w:keepNext w:val="0"/>
        <w:keepLines w:val="0"/>
        <w:widowControl/>
        <w:numPr>
          <w:numId w:val="0"/>
        </w:numPr>
        <w:suppressLineNumbers w:val="0"/>
        <w:spacing w:before="0" w:beforeAutospacing="1" w:after="0" w:afterAutospacing="1"/>
        <w:rPr>
          <w:rFonts w:hint="default" w:asciiTheme="minorAscii" w:hAnsiTheme="minorAscii"/>
          <w:lang w:val="en-IN"/>
        </w:rPr>
      </w:pPr>
      <w:r>
        <w:rPr>
          <w:rFonts w:hint="default" w:asciiTheme="minorAscii" w:hAnsiTheme="minorAscii"/>
          <w:lang w:val="en-IN"/>
        </w:rPr>
        <w:t xml:space="preserve">In the specific context of the provided </w:t>
      </w:r>
      <w:r>
        <w:rPr>
          <w:rFonts w:hint="default" w:asciiTheme="minorAscii" w:hAnsiTheme="minorAscii"/>
          <w:b w:val="0"/>
          <w:bCs w:val="0"/>
          <w:lang w:val="en-IN"/>
        </w:rPr>
        <w:t>data</w:t>
      </w:r>
      <w:r>
        <w:rPr>
          <w:rFonts w:hint="default" w:asciiTheme="minorAscii" w:hAnsiTheme="minorAscii"/>
          <w:lang w:val="en-IN"/>
        </w:rPr>
        <w:t>:</w:t>
      </w:r>
    </w:p>
    <w:p w14:paraId="1E5A4A25">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The co</w:t>
      </w:r>
      <w:bookmarkStart w:id="0" w:name="_GoBack"/>
      <w:bookmarkEnd w:id="0"/>
      <w:r>
        <w:rPr>
          <w:rFonts w:hint="default" w:asciiTheme="minorAscii" w:hAnsiTheme="minorAscii"/>
          <w:lang w:val="en-IN"/>
        </w:rPr>
        <w:t xml:space="preserve">mpany has shown a </w:t>
      </w:r>
      <w:r>
        <w:rPr>
          <w:rFonts w:hint="default" w:asciiTheme="minorAscii" w:hAnsiTheme="minorAscii"/>
          <w:b/>
          <w:bCs/>
          <w:lang w:val="en-IN"/>
        </w:rPr>
        <w:t>fluctuating FCF</w:t>
      </w:r>
      <w:r>
        <w:rPr>
          <w:rFonts w:hint="default" w:asciiTheme="minorAscii" w:hAnsiTheme="minorAscii"/>
          <w:lang w:val="en-IN"/>
        </w:rPr>
        <w:t xml:space="preserve"> over the years.</w:t>
      </w:r>
    </w:p>
    <w:p w14:paraId="374668F9">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Investors should analyze the reasons behind these fluctuations, such as changes in capital expenditure or working capital requirements.</w:t>
      </w:r>
    </w:p>
    <w:p w14:paraId="19783168">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Comparing the company's FCF to industry peers can provide insights into its relative performance and valuation.</w:t>
      </w:r>
    </w:p>
    <w:p w14:paraId="425209D0">
      <w:pPr>
        <w:keepNext w:val="0"/>
        <w:keepLines w:val="0"/>
        <w:widowControl/>
        <w:numPr>
          <w:ilvl w:val="0"/>
          <w:numId w:val="9"/>
        </w:numPr>
        <w:suppressLineNumbers w:val="0"/>
        <w:spacing w:before="0" w:beforeAutospacing="1" w:after="0" w:afterAutospacing="1"/>
        <w:ind w:left="420" w:leftChars="0" w:hanging="420" w:firstLineChars="0"/>
        <w:rPr>
          <w:rFonts w:hint="default" w:asciiTheme="minorAscii" w:hAnsiTheme="minorAscii"/>
          <w:lang w:val="en-IN"/>
        </w:rPr>
      </w:pPr>
      <w:r>
        <w:rPr>
          <w:rFonts w:hint="default" w:asciiTheme="minorAscii" w:hAnsiTheme="minorAscii"/>
          <w:lang w:val="en-IN"/>
        </w:rPr>
        <w:t>By using FCF analysis as a tool, investors can make more informed decisions about which companies to invest in and which to avoid.</w:t>
      </w:r>
    </w:p>
    <w:p w14:paraId="45D3926C">
      <w:pPr>
        <w:keepNext w:val="0"/>
        <w:keepLines w:val="0"/>
        <w:widowControl/>
        <w:numPr>
          <w:numId w:val="0"/>
        </w:numPr>
        <w:suppressLineNumbers w:val="0"/>
        <w:spacing w:before="0" w:beforeAutospacing="1" w:after="0" w:afterAutospacing="1"/>
        <w:rPr>
          <w:rFonts w:hint="default" w:asciiTheme="minorAscii" w:hAnsiTheme="minorAscii"/>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71E31"/>
    <w:multiLevelType w:val="multilevel"/>
    <w:tmpl w:val="A7471E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3AF731"/>
    <w:multiLevelType w:val="singleLevel"/>
    <w:tmpl w:val="AE3AF731"/>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2">
    <w:nsid w:val="BFB90957"/>
    <w:multiLevelType w:val="multilevel"/>
    <w:tmpl w:val="BFB90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3D668E5"/>
    <w:multiLevelType w:val="multilevel"/>
    <w:tmpl w:val="E3D66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BB98CFF"/>
    <w:multiLevelType w:val="multilevel"/>
    <w:tmpl w:val="0BB98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AF8F96"/>
    <w:multiLevelType w:val="singleLevel"/>
    <w:tmpl w:val="1DAF8F96"/>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6">
    <w:nsid w:val="6AD9112F"/>
    <w:multiLevelType w:val="singleLevel"/>
    <w:tmpl w:val="6AD9112F"/>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4650D"/>
    <w:rsid w:val="5174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2024-10-30T13:38:00Z</dcterms:created>
  <dc:creator>Minisha</dc:creator>
  <cp:lastModifiedBy>jina regenez</cp:lastModifiedBy>
  <dcterms:modified xsi:type="dcterms:W3CDTF">2024-10-30T17:43:26Z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DBF54981983C4037987253726121F014_11</vt:lpwstr>
  </property>
</Properties>
</file>