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423" w:rsidRDefault="00C028C3">
      <w:pPr>
        <w:rPr>
          <w:b/>
          <w:sz w:val="32"/>
          <w:szCs w:val="32"/>
          <w:u w:val="single"/>
        </w:rPr>
      </w:pPr>
      <w:r w:rsidRPr="00C028C3">
        <w:rPr>
          <w:b/>
          <w:sz w:val="32"/>
          <w:szCs w:val="32"/>
          <w:u w:val="single"/>
        </w:rPr>
        <w:t>Solution Approach</w:t>
      </w:r>
    </w:p>
    <w:p w:rsidR="00C028C3" w:rsidRDefault="00C028C3">
      <w:r>
        <w:t>Features used in the application:</w:t>
      </w:r>
    </w:p>
    <w:p w:rsidR="00C028C3" w:rsidRDefault="00C028C3" w:rsidP="00C028C3">
      <w:pPr>
        <w:pStyle w:val="ListParagraph"/>
        <w:numPr>
          <w:ilvl w:val="0"/>
          <w:numId w:val="1"/>
        </w:numPr>
      </w:pPr>
      <w:r>
        <w:t>Core Java (JDK 1.7)</w:t>
      </w:r>
    </w:p>
    <w:p w:rsidR="00C028C3" w:rsidRDefault="00C028C3" w:rsidP="00C028C3">
      <w:pPr>
        <w:pStyle w:val="ListParagraph"/>
        <w:numPr>
          <w:ilvl w:val="0"/>
          <w:numId w:val="1"/>
        </w:numPr>
      </w:pPr>
      <w:r>
        <w:t>Spring core 3.2.0</w:t>
      </w:r>
    </w:p>
    <w:p w:rsidR="00C028C3" w:rsidRDefault="00C028C3" w:rsidP="00C028C3">
      <w:pPr>
        <w:pStyle w:val="ListParagraph"/>
        <w:numPr>
          <w:ilvl w:val="0"/>
          <w:numId w:val="1"/>
        </w:numPr>
      </w:pPr>
      <w:r>
        <w:t>Spring Test 3.2.0</w:t>
      </w:r>
    </w:p>
    <w:p w:rsidR="00C028C3" w:rsidRPr="00C028C3" w:rsidRDefault="00C028C3" w:rsidP="00C028C3">
      <w:pPr>
        <w:pStyle w:val="ListParagraph"/>
        <w:numPr>
          <w:ilvl w:val="0"/>
          <w:numId w:val="1"/>
        </w:numPr>
      </w:pPr>
      <w:proofErr w:type="spellStart"/>
      <w:r>
        <w:t>Junit</w:t>
      </w:r>
      <w:proofErr w:type="spellEnd"/>
      <w:r>
        <w:t xml:space="preserve"> 4.11</w:t>
      </w:r>
    </w:p>
    <w:p w:rsidR="00C028C3" w:rsidRDefault="00C028C3">
      <w:r>
        <w:t>This application is written using the core java concepts such as collections, interfaces, ENUMS, aggregations. All the beans are initialised using the spring IOC container and no explicit objects are created within the application including the tes</w:t>
      </w:r>
      <w:bookmarkStart w:id="0" w:name="_GoBack"/>
      <w:bookmarkEnd w:id="0"/>
      <w:r>
        <w:t xml:space="preserve">t scripts. </w:t>
      </w:r>
    </w:p>
    <w:p w:rsidR="00B00CB1" w:rsidRDefault="005703A9">
      <w:r>
        <w:t>The approach followed to develop the application is of production quality. All the results are currently being held</w:t>
      </w:r>
      <w:r w:rsidR="00B00CB1">
        <w:t xml:space="preserve"> in the memory and no database </w:t>
      </w:r>
      <w:r>
        <w:t xml:space="preserve">or I/O is used. However, the code </w:t>
      </w:r>
      <w:r w:rsidR="00B00CB1">
        <w:t>developed in modular so that</w:t>
      </w:r>
      <w:r>
        <w:t xml:space="preserve"> if in future</w:t>
      </w:r>
      <w:r w:rsidR="00B00CB1">
        <w:t>, a database needs to be incorporated then in can be easily done without much changes in the code.</w:t>
      </w:r>
    </w:p>
    <w:p w:rsidR="00B00CB1" w:rsidRDefault="00B00CB1">
      <w:r>
        <w:t>Below is the pictorial presentation of the code flow.</w:t>
      </w:r>
    </w:p>
    <w:p w:rsidR="00B00CB1" w:rsidRDefault="00877F31">
      <w:r>
        <w:rPr>
          <w:noProof/>
          <w:lang w:val="en-US" w:eastAsia="en-US"/>
        </w:rPr>
        <w:drawing>
          <wp:inline distT="0" distB="0" distL="0" distR="0">
            <wp:extent cx="6572250" cy="3124200"/>
            <wp:effectExtent l="38100" t="0" r="571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028C3" w:rsidRDefault="00C028C3"/>
    <w:p w:rsidR="00C028C3" w:rsidRDefault="00C028C3"/>
    <w:sectPr w:rsidR="00C0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8313B"/>
    <w:multiLevelType w:val="hybridMultilevel"/>
    <w:tmpl w:val="6DFCE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8C3"/>
    <w:rsid w:val="001715A5"/>
    <w:rsid w:val="00192A74"/>
    <w:rsid w:val="005703A9"/>
    <w:rsid w:val="007B4FA7"/>
    <w:rsid w:val="00877F31"/>
    <w:rsid w:val="0098257E"/>
    <w:rsid w:val="00B00CB1"/>
    <w:rsid w:val="00C0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79BAC-AB5F-4E07-845C-B16852ED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8C3"/>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28C3"/>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02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F2214A-2F5B-41C3-8B95-A29C5F55803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AF91502E-CDD8-4D28-BE82-EC8C498BD9EA}">
      <dgm:prSet phldrT="[Text]"/>
      <dgm:spPr/>
      <dgm:t>
        <a:bodyPr/>
        <a:lstStyle/>
        <a:p>
          <a:r>
            <a:rPr lang="en-US"/>
            <a:t>Service</a:t>
          </a:r>
        </a:p>
      </dgm:t>
    </dgm:pt>
    <dgm:pt modelId="{4490A5C7-B2B2-484A-9552-952BD5AD2EEA}" type="parTrans" cxnId="{F44EE109-4B00-4F4D-A34B-69ED05E7467B}">
      <dgm:prSet/>
      <dgm:spPr/>
      <dgm:t>
        <a:bodyPr/>
        <a:lstStyle/>
        <a:p>
          <a:endParaRPr lang="en-US"/>
        </a:p>
      </dgm:t>
    </dgm:pt>
    <dgm:pt modelId="{F801C135-BB8D-4853-A362-807738586797}" type="sibTrans" cxnId="{F44EE109-4B00-4F4D-A34B-69ED05E7467B}">
      <dgm:prSet/>
      <dgm:spPr/>
      <dgm:t>
        <a:bodyPr/>
        <a:lstStyle/>
        <a:p>
          <a:endParaRPr lang="en-US"/>
        </a:p>
      </dgm:t>
    </dgm:pt>
    <dgm:pt modelId="{105CF3E1-91B6-45D1-8F3F-5F05A1CE2B05}">
      <dgm:prSet phldrT="[Text]"/>
      <dgm:spPr/>
      <dgm:t>
        <a:bodyPr/>
        <a:lstStyle/>
        <a:p>
          <a:r>
            <a:rPr lang="en-US"/>
            <a:t>Service class has the implementation of the business logic for dividend yield calculation, P/E Ratio calculation, saving trade, saving dividend yield and P/E Ration, calculating and saving volume weighted stock price and calculating GBCE value. Exceptions are well handeled for each and every operation.</a:t>
          </a:r>
        </a:p>
      </dgm:t>
    </dgm:pt>
    <dgm:pt modelId="{B12C69AF-E746-455E-B643-A07562A2D91D}" type="parTrans" cxnId="{45D12168-1263-4E0C-BBD8-F22CA18014D3}">
      <dgm:prSet/>
      <dgm:spPr/>
      <dgm:t>
        <a:bodyPr/>
        <a:lstStyle/>
        <a:p>
          <a:endParaRPr lang="en-US"/>
        </a:p>
      </dgm:t>
    </dgm:pt>
    <dgm:pt modelId="{F4B330EA-F60C-429D-B21D-63A2F2404195}" type="sibTrans" cxnId="{45D12168-1263-4E0C-BBD8-F22CA18014D3}">
      <dgm:prSet/>
      <dgm:spPr/>
      <dgm:t>
        <a:bodyPr/>
        <a:lstStyle/>
        <a:p>
          <a:endParaRPr lang="en-US"/>
        </a:p>
      </dgm:t>
    </dgm:pt>
    <dgm:pt modelId="{637878B3-8A11-4374-80D3-BC0D85C20CA5}">
      <dgm:prSet phldrT="[Text]"/>
      <dgm:spPr/>
      <dgm:t>
        <a:bodyPr/>
        <a:lstStyle/>
        <a:p>
          <a:r>
            <a:rPr lang="en-US"/>
            <a:t>DAO</a:t>
          </a:r>
        </a:p>
      </dgm:t>
    </dgm:pt>
    <dgm:pt modelId="{BA012792-0B61-44B1-9D31-BFF43E8C36B9}" type="parTrans" cxnId="{875BB693-5441-41D7-B5BB-8467C3E459C2}">
      <dgm:prSet/>
      <dgm:spPr/>
      <dgm:t>
        <a:bodyPr/>
        <a:lstStyle/>
        <a:p>
          <a:endParaRPr lang="en-US"/>
        </a:p>
      </dgm:t>
    </dgm:pt>
    <dgm:pt modelId="{A0B0E7C4-92CC-4FBF-B014-D344E44B4DCF}" type="sibTrans" cxnId="{875BB693-5441-41D7-B5BB-8467C3E459C2}">
      <dgm:prSet/>
      <dgm:spPr/>
      <dgm:t>
        <a:bodyPr/>
        <a:lstStyle/>
        <a:p>
          <a:endParaRPr lang="en-US"/>
        </a:p>
      </dgm:t>
    </dgm:pt>
    <dgm:pt modelId="{BA5E8952-4E64-4045-AAF3-C769485157B4}">
      <dgm:prSet phldrT="[Text]"/>
      <dgm:spPr/>
      <dgm:t>
        <a:bodyPr/>
        <a:lstStyle/>
        <a:p>
          <a:r>
            <a:rPr lang="en-US"/>
            <a:t>Data Access Object  (DAO)</a:t>
          </a:r>
        </a:p>
      </dgm:t>
    </dgm:pt>
    <dgm:pt modelId="{8A8B800A-DB13-42BD-91DE-02694F435176}" type="parTrans" cxnId="{2AD4A866-776C-401F-B4EB-BD7E576D458D}">
      <dgm:prSet/>
      <dgm:spPr/>
      <dgm:t>
        <a:bodyPr/>
        <a:lstStyle/>
        <a:p>
          <a:endParaRPr lang="en-US"/>
        </a:p>
      </dgm:t>
    </dgm:pt>
    <dgm:pt modelId="{BD87893A-0125-4654-B1E1-47AE911C3DD4}" type="sibTrans" cxnId="{2AD4A866-776C-401F-B4EB-BD7E576D458D}">
      <dgm:prSet/>
      <dgm:spPr/>
      <dgm:t>
        <a:bodyPr/>
        <a:lstStyle/>
        <a:p>
          <a:endParaRPr lang="en-US"/>
        </a:p>
      </dgm:t>
    </dgm:pt>
    <dgm:pt modelId="{DA3AC7F0-26EB-4BDA-95CE-E797807ACA67}">
      <dgm:prSet phldrT="[Text]"/>
      <dgm:spPr/>
      <dgm:t>
        <a:bodyPr/>
        <a:lstStyle/>
        <a:p>
          <a:r>
            <a:rPr lang="en-US"/>
            <a:t>Model</a:t>
          </a:r>
        </a:p>
      </dgm:t>
    </dgm:pt>
    <dgm:pt modelId="{8396A5C6-4E54-456B-B324-CAB43F3D916B}" type="parTrans" cxnId="{BB6A4E82-BEFC-4B25-AD16-1B3E73BD8CE9}">
      <dgm:prSet/>
      <dgm:spPr/>
      <dgm:t>
        <a:bodyPr/>
        <a:lstStyle/>
        <a:p>
          <a:endParaRPr lang="en-US"/>
        </a:p>
      </dgm:t>
    </dgm:pt>
    <dgm:pt modelId="{E26BE43D-08BA-43FC-8B2F-2A27A4D25C95}" type="sibTrans" cxnId="{BB6A4E82-BEFC-4B25-AD16-1B3E73BD8CE9}">
      <dgm:prSet/>
      <dgm:spPr/>
      <dgm:t>
        <a:bodyPr/>
        <a:lstStyle/>
        <a:p>
          <a:endParaRPr lang="en-US"/>
        </a:p>
      </dgm:t>
    </dgm:pt>
    <dgm:pt modelId="{AAD21821-1044-4F9B-9DC9-E5BB07A2C1BC}">
      <dgm:prSet phldrT="[Text]"/>
      <dgm:spPr/>
      <dgm:t>
        <a:bodyPr/>
        <a:lstStyle/>
        <a:p>
          <a:r>
            <a:rPr lang="en-US"/>
            <a:t>Model -&gt; These are the business objects on which the busniness logic is implemented such as trade and stock</a:t>
          </a:r>
        </a:p>
      </dgm:t>
    </dgm:pt>
    <dgm:pt modelId="{A2E93987-2B6F-48EA-BD15-BA279F1DBA99}" type="parTrans" cxnId="{9C4FF9A7-4629-4AE6-A636-803E45BC5A16}">
      <dgm:prSet/>
      <dgm:spPr/>
      <dgm:t>
        <a:bodyPr/>
        <a:lstStyle/>
        <a:p>
          <a:endParaRPr lang="en-US"/>
        </a:p>
      </dgm:t>
    </dgm:pt>
    <dgm:pt modelId="{6FC423CD-C2C1-45AC-8DA4-D8C01AD2C375}" type="sibTrans" cxnId="{9C4FF9A7-4629-4AE6-A636-803E45BC5A16}">
      <dgm:prSet/>
      <dgm:spPr/>
      <dgm:t>
        <a:bodyPr/>
        <a:lstStyle/>
        <a:p>
          <a:endParaRPr lang="en-US"/>
        </a:p>
      </dgm:t>
    </dgm:pt>
    <dgm:pt modelId="{F4336567-4EC9-4463-A104-D827F27BDF60}">
      <dgm:prSet phldrT="[Text]"/>
      <dgm:spPr/>
      <dgm:t>
        <a:bodyPr/>
        <a:lstStyle/>
        <a:p>
          <a:r>
            <a:rPr lang="en-US"/>
            <a:t>Util -&gt; Util has the calendar functionality which will be used by the service class in implementing the business logic.</a:t>
          </a:r>
        </a:p>
      </dgm:t>
    </dgm:pt>
    <dgm:pt modelId="{242ACBDA-9FB6-444E-9F9A-76CA7A649AC6}" type="parTrans" cxnId="{388B5289-44DD-423E-97D3-02E06008B200}">
      <dgm:prSet/>
      <dgm:spPr/>
      <dgm:t>
        <a:bodyPr/>
        <a:lstStyle/>
        <a:p>
          <a:endParaRPr lang="en-US"/>
        </a:p>
      </dgm:t>
    </dgm:pt>
    <dgm:pt modelId="{BF8008AC-50D5-431F-9A14-32E67500C688}" type="sibTrans" cxnId="{388B5289-44DD-423E-97D3-02E06008B200}">
      <dgm:prSet/>
      <dgm:spPr/>
      <dgm:t>
        <a:bodyPr/>
        <a:lstStyle/>
        <a:p>
          <a:endParaRPr lang="en-US"/>
        </a:p>
      </dgm:t>
    </dgm:pt>
    <dgm:pt modelId="{3B4BE795-05CE-45E7-AA51-19B540B5D372}">
      <dgm:prSet phldrT="[Text]"/>
      <dgm:spPr/>
      <dgm:t>
        <a:bodyPr/>
        <a:lstStyle/>
        <a:p>
          <a:r>
            <a:rPr lang="en-US"/>
            <a:t>It contains the classes that would save the calculated values and fetch the saved values from memory.  All the values are being held in collections such as Array;lists and Hashmaps.</a:t>
          </a:r>
        </a:p>
      </dgm:t>
    </dgm:pt>
    <dgm:pt modelId="{30736CAC-7A73-4A79-B212-7057B86CE918}" type="parTrans" cxnId="{3B7B4C38-5E77-4FF9-B039-AA11CCA3F21B}">
      <dgm:prSet/>
      <dgm:spPr/>
      <dgm:t>
        <a:bodyPr/>
        <a:lstStyle/>
        <a:p>
          <a:endParaRPr lang="en-US"/>
        </a:p>
      </dgm:t>
    </dgm:pt>
    <dgm:pt modelId="{30DD8320-C97C-4596-8F8C-66E64343CEDB}" type="sibTrans" cxnId="{3B7B4C38-5E77-4FF9-B039-AA11CCA3F21B}">
      <dgm:prSet/>
      <dgm:spPr/>
      <dgm:t>
        <a:bodyPr/>
        <a:lstStyle/>
        <a:p>
          <a:endParaRPr lang="en-US"/>
        </a:p>
      </dgm:t>
    </dgm:pt>
    <dgm:pt modelId="{87D5538B-E1DE-40C5-9DAB-A75E8E29A427}" type="pres">
      <dgm:prSet presAssocID="{5AF2214A-2F5B-41C3-8B95-A29C5F55803D}" presName="linearFlow" presStyleCnt="0">
        <dgm:presLayoutVars>
          <dgm:dir/>
          <dgm:animLvl val="lvl"/>
          <dgm:resizeHandles val="exact"/>
        </dgm:presLayoutVars>
      </dgm:prSet>
      <dgm:spPr/>
    </dgm:pt>
    <dgm:pt modelId="{0C3D3DD7-26D9-45B2-8D63-E5C95CCF8F8F}" type="pres">
      <dgm:prSet presAssocID="{AF91502E-CDD8-4D28-BE82-EC8C498BD9EA}" presName="composite" presStyleCnt="0"/>
      <dgm:spPr/>
    </dgm:pt>
    <dgm:pt modelId="{4BDAE29D-7482-4496-BCD6-D2D8E3A7D91F}" type="pres">
      <dgm:prSet presAssocID="{AF91502E-CDD8-4D28-BE82-EC8C498BD9EA}" presName="parentText" presStyleLbl="alignNode1" presStyleIdx="0" presStyleCnt="3">
        <dgm:presLayoutVars>
          <dgm:chMax val="1"/>
          <dgm:bulletEnabled val="1"/>
        </dgm:presLayoutVars>
      </dgm:prSet>
      <dgm:spPr/>
    </dgm:pt>
    <dgm:pt modelId="{A520E290-74D1-4197-8724-8AAA89F4A26D}" type="pres">
      <dgm:prSet presAssocID="{AF91502E-CDD8-4D28-BE82-EC8C498BD9EA}" presName="descendantText" presStyleLbl="alignAcc1" presStyleIdx="0" presStyleCnt="3" custScaleY="152258">
        <dgm:presLayoutVars>
          <dgm:bulletEnabled val="1"/>
        </dgm:presLayoutVars>
      </dgm:prSet>
      <dgm:spPr/>
      <dgm:t>
        <a:bodyPr/>
        <a:lstStyle/>
        <a:p>
          <a:endParaRPr lang="en-US"/>
        </a:p>
      </dgm:t>
    </dgm:pt>
    <dgm:pt modelId="{D3BA044F-4C8D-4686-8E1D-0D5B920E55E2}" type="pres">
      <dgm:prSet presAssocID="{F801C135-BB8D-4853-A362-807738586797}" presName="sp" presStyleCnt="0"/>
      <dgm:spPr/>
    </dgm:pt>
    <dgm:pt modelId="{48124B45-F8BB-4D32-9C00-694ECE38A23D}" type="pres">
      <dgm:prSet presAssocID="{637878B3-8A11-4374-80D3-BC0D85C20CA5}" presName="composite" presStyleCnt="0"/>
      <dgm:spPr/>
    </dgm:pt>
    <dgm:pt modelId="{6406AA67-2BAE-43CB-8D31-5721833EED15}" type="pres">
      <dgm:prSet presAssocID="{637878B3-8A11-4374-80D3-BC0D85C20CA5}" presName="parentText" presStyleLbl="alignNode1" presStyleIdx="1" presStyleCnt="3">
        <dgm:presLayoutVars>
          <dgm:chMax val="1"/>
          <dgm:bulletEnabled val="1"/>
        </dgm:presLayoutVars>
      </dgm:prSet>
      <dgm:spPr/>
    </dgm:pt>
    <dgm:pt modelId="{23515341-E4C2-46AA-8BA2-84A125AFDA31}" type="pres">
      <dgm:prSet presAssocID="{637878B3-8A11-4374-80D3-BC0D85C20CA5}" presName="descendantText" presStyleLbl="alignAcc1" presStyleIdx="1" presStyleCnt="3" custScaleY="147885">
        <dgm:presLayoutVars>
          <dgm:bulletEnabled val="1"/>
        </dgm:presLayoutVars>
      </dgm:prSet>
      <dgm:spPr/>
      <dgm:t>
        <a:bodyPr/>
        <a:lstStyle/>
        <a:p>
          <a:endParaRPr lang="en-US"/>
        </a:p>
      </dgm:t>
    </dgm:pt>
    <dgm:pt modelId="{0D3D18C2-21DC-46E1-9014-8CADFAFC994D}" type="pres">
      <dgm:prSet presAssocID="{A0B0E7C4-92CC-4FBF-B014-D344E44B4DCF}" presName="sp" presStyleCnt="0"/>
      <dgm:spPr/>
    </dgm:pt>
    <dgm:pt modelId="{3798A6B6-5C72-4A73-A1F9-681671FD2C88}" type="pres">
      <dgm:prSet presAssocID="{DA3AC7F0-26EB-4BDA-95CE-E797807ACA67}" presName="composite" presStyleCnt="0"/>
      <dgm:spPr/>
    </dgm:pt>
    <dgm:pt modelId="{2EE9B29B-04A7-4E3B-AF23-99ECAED83170}" type="pres">
      <dgm:prSet presAssocID="{DA3AC7F0-26EB-4BDA-95CE-E797807ACA67}" presName="parentText" presStyleLbl="alignNode1" presStyleIdx="2" presStyleCnt="3">
        <dgm:presLayoutVars>
          <dgm:chMax val="1"/>
          <dgm:bulletEnabled val="1"/>
        </dgm:presLayoutVars>
      </dgm:prSet>
      <dgm:spPr/>
    </dgm:pt>
    <dgm:pt modelId="{700EA8E9-6E3F-46E1-935E-D6F616A27EAA}" type="pres">
      <dgm:prSet presAssocID="{DA3AC7F0-26EB-4BDA-95CE-E797807ACA67}" presName="descendantText" presStyleLbl="alignAcc1" presStyleIdx="2" presStyleCnt="3">
        <dgm:presLayoutVars>
          <dgm:bulletEnabled val="1"/>
        </dgm:presLayoutVars>
      </dgm:prSet>
      <dgm:spPr/>
      <dgm:t>
        <a:bodyPr/>
        <a:lstStyle/>
        <a:p>
          <a:endParaRPr lang="en-US"/>
        </a:p>
      </dgm:t>
    </dgm:pt>
  </dgm:ptLst>
  <dgm:cxnLst>
    <dgm:cxn modelId="{312F7DC5-82A0-4AD2-AA03-F33D3DD98F23}" type="presOf" srcId="{F4336567-4EC9-4463-A104-D827F27BDF60}" destId="{700EA8E9-6E3F-46E1-935E-D6F616A27EAA}" srcOrd="0" destOrd="1" presId="urn:microsoft.com/office/officeart/2005/8/layout/chevron2"/>
    <dgm:cxn modelId="{525D1952-9522-4B63-B9B8-FB7A1D35C947}" type="presOf" srcId="{3B4BE795-05CE-45E7-AA51-19B540B5D372}" destId="{23515341-E4C2-46AA-8BA2-84A125AFDA31}" srcOrd="0" destOrd="1" presId="urn:microsoft.com/office/officeart/2005/8/layout/chevron2"/>
    <dgm:cxn modelId="{5B398B8C-C249-418B-B980-AFB26B23B0AA}" type="presOf" srcId="{637878B3-8A11-4374-80D3-BC0D85C20CA5}" destId="{6406AA67-2BAE-43CB-8D31-5721833EED15}" srcOrd="0" destOrd="0" presId="urn:microsoft.com/office/officeart/2005/8/layout/chevron2"/>
    <dgm:cxn modelId="{3B7B4C38-5E77-4FF9-B039-AA11CCA3F21B}" srcId="{637878B3-8A11-4374-80D3-BC0D85C20CA5}" destId="{3B4BE795-05CE-45E7-AA51-19B540B5D372}" srcOrd="1" destOrd="0" parTransId="{30736CAC-7A73-4A79-B212-7057B86CE918}" sibTransId="{30DD8320-C97C-4596-8F8C-66E64343CEDB}"/>
    <dgm:cxn modelId="{875BB693-5441-41D7-B5BB-8467C3E459C2}" srcId="{5AF2214A-2F5B-41C3-8B95-A29C5F55803D}" destId="{637878B3-8A11-4374-80D3-BC0D85C20CA5}" srcOrd="1" destOrd="0" parTransId="{BA012792-0B61-44B1-9D31-BFF43E8C36B9}" sibTransId="{A0B0E7C4-92CC-4FBF-B014-D344E44B4DCF}"/>
    <dgm:cxn modelId="{754B726B-678C-4ED3-A2C3-42FB802F26B8}" type="presOf" srcId="{5AF2214A-2F5B-41C3-8B95-A29C5F55803D}" destId="{87D5538B-E1DE-40C5-9DAB-A75E8E29A427}" srcOrd="0" destOrd="0" presId="urn:microsoft.com/office/officeart/2005/8/layout/chevron2"/>
    <dgm:cxn modelId="{1E19ACC9-9807-4DF5-83E6-9196D7196680}" type="presOf" srcId="{AAD21821-1044-4F9B-9DC9-E5BB07A2C1BC}" destId="{700EA8E9-6E3F-46E1-935E-D6F616A27EAA}" srcOrd="0" destOrd="0" presId="urn:microsoft.com/office/officeart/2005/8/layout/chevron2"/>
    <dgm:cxn modelId="{2AD4A866-776C-401F-B4EB-BD7E576D458D}" srcId="{637878B3-8A11-4374-80D3-BC0D85C20CA5}" destId="{BA5E8952-4E64-4045-AAF3-C769485157B4}" srcOrd="0" destOrd="0" parTransId="{8A8B800A-DB13-42BD-91DE-02694F435176}" sibTransId="{BD87893A-0125-4654-B1E1-47AE911C3DD4}"/>
    <dgm:cxn modelId="{BB6A4E82-BEFC-4B25-AD16-1B3E73BD8CE9}" srcId="{5AF2214A-2F5B-41C3-8B95-A29C5F55803D}" destId="{DA3AC7F0-26EB-4BDA-95CE-E797807ACA67}" srcOrd="2" destOrd="0" parTransId="{8396A5C6-4E54-456B-B324-CAB43F3D916B}" sibTransId="{E26BE43D-08BA-43FC-8B2F-2A27A4D25C95}"/>
    <dgm:cxn modelId="{45D12168-1263-4E0C-BBD8-F22CA18014D3}" srcId="{AF91502E-CDD8-4D28-BE82-EC8C498BD9EA}" destId="{105CF3E1-91B6-45D1-8F3F-5F05A1CE2B05}" srcOrd="0" destOrd="0" parTransId="{B12C69AF-E746-455E-B643-A07562A2D91D}" sibTransId="{F4B330EA-F60C-429D-B21D-63A2F2404195}"/>
    <dgm:cxn modelId="{D0B37705-3DBE-445D-9471-A5C1E579F46D}" type="presOf" srcId="{105CF3E1-91B6-45D1-8F3F-5F05A1CE2B05}" destId="{A520E290-74D1-4197-8724-8AAA89F4A26D}" srcOrd="0" destOrd="0" presId="urn:microsoft.com/office/officeart/2005/8/layout/chevron2"/>
    <dgm:cxn modelId="{447F9462-2436-42D6-9470-903830A6AD5B}" type="presOf" srcId="{BA5E8952-4E64-4045-AAF3-C769485157B4}" destId="{23515341-E4C2-46AA-8BA2-84A125AFDA31}" srcOrd="0" destOrd="0" presId="urn:microsoft.com/office/officeart/2005/8/layout/chevron2"/>
    <dgm:cxn modelId="{F44EE109-4B00-4F4D-A34B-69ED05E7467B}" srcId="{5AF2214A-2F5B-41C3-8B95-A29C5F55803D}" destId="{AF91502E-CDD8-4D28-BE82-EC8C498BD9EA}" srcOrd="0" destOrd="0" parTransId="{4490A5C7-B2B2-484A-9552-952BD5AD2EEA}" sibTransId="{F801C135-BB8D-4853-A362-807738586797}"/>
    <dgm:cxn modelId="{9C4FF9A7-4629-4AE6-A636-803E45BC5A16}" srcId="{DA3AC7F0-26EB-4BDA-95CE-E797807ACA67}" destId="{AAD21821-1044-4F9B-9DC9-E5BB07A2C1BC}" srcOrd="0" destOrd="0" parTransId="{A2E93987-2B6F-48EA-BD15-BA279F1DBA99}" sibTransId="{6FC423CD-C2C1-45AC-8DA4-D8C01AD2C375}"/>
    <dgm:cxn modelId="{E42A69AE-2CFF-4515-8D30-F7CF2391E027}" type="presOf" srcId="{DA3AC7F0-26EB-4BDA-95CE-E797807ACA67}" destId="{2EE9B29B-04A7-4E3B-AF23-99ECAED83170}" srcOrd="0" destOrd="0" presId="urn:microsoft.com/office/officeart/2005/8/layout/chevron2"/>
    <dgm:cxn modelId="{E2B8482C-9327-47EF-9BC1-06BDB9A3145D}" type="presOf" srcId="{AF91502E-CDD8-4D28-BE82-EC8C498BD9EA}" destId="{4BDAE29D-7482-4496-BCD6-D2D8E3A7D91F}" srcOrd="0" destOrd="0" presId="urn:microsoft.com/office/officeart/2005/8/layout/chevron2"/>
    <dgm:cxn modelId="{388B5289-44DD-423E-97D3-02E06008B200}" srcId="{DA3AC7F0-26EB-4BDA-95CE-E797807ACA67}" destId="{F4336567-4EC9-4463-A104-D827F27BDF60}" srcOrd="1" destOrd="0" parTransId="{242ACBDA-9FB6-444E-9F9A-76CA7A649AC6}" sibTransId="{BF8008AC-50D5-431F-9A14-32E67500C688}"/>
    <dgm:cxn modelId="{1B0E5A76-0096-45C9-AA55-5318AB90A527}" type="presParOf" srcId="{87D5538B-E1DE-40C5-9DAB-A75E8E29A427}" destId="{0C3D3DD7-26D9-45B2-8D63-E5C95CCF8F8F}" srcOrd="0" destOrd="0" presId="urn:microsoft.com/office/officeart/2005/8/layout/chevron2"/>
    <dgm:cxn modelId="{9F91CED4-9B97-4D59-880B-05E8511CBFF0}" type="presParOf" srcId="{0C3D3DD7-26D9-45B2-8D63-E5C95CCF8F8F}" destId="{4BDAE29D-7482-4496-BCD6-D2D8E3A7D91F}" srcOrd="0" destOrd="0" presId="urn:microsoft.com/office/officeart/2005/8/layout/chevron2"/>
    <dgm:cxn modelId="{A96F68FA-3739-41BA-967B-DEDF27239CFC}" type="presParOf" srcId="{0C3D3DD7-26D9-45B2-8D63-E5C95CCF8F8F}" destId="{A520E290-74D1-4197-8724-8AAA89F4A26D}" srcOrd="1" destOrd="0" presId="urn:microsoft.com/office/officeart/2005/8/layout/chevron2"/>
    <dgm:cxn modelId="{120086F8-4EB1-4B14-B6E4-52FB68991139}" type="presParOf" srcId="{87D5538B-E1DE-40C5-9DAB-A75E8E29A427}" destId="{D3BA044F-4C8D-4686-8E1D-0D5B920E55E2}" srcOrd="1" destOrd="0" presId="urn:microsoft.com/office/officeart/2005/8/layout/chevron2"/>
    <dgm:cxn modelId="{8806AA5C-40EF-465F-AA6C-D04A4AB700DF}" type="presParOf" srcId="{87D5538B-E1DE-40C5-9DAB-A75E8E29A427}" destId="{48124B45-F8BB-4D32-9C00-694ECE38A23D}" srcOrd="2" destOrd="0" presId="urn:microsoft.com/office/officeart/2005/8/layout/chevron2"/>
    <dgm:cxn modelId="{2743CCBB-814C-4791-A6F0-9AD93137C8F7}" type="presParOf" srcId="{48124B45-F8BB-4D32-9C00-694ECE38A23D}" destId="{6406AA67-2BAE-43CB-8D31-5721833EED15}" srcOrd="0" destOrd="0" presId="urn:microsoft.com/office/officeart/2005/8/layout/chevron2"/>
    <dgm:cxn modelId="{17DDBD91-4595-46B6-8A78-5FD9492A5AA7}" type="presParOf" srcId="{48124B45-F8BB-4D32-9C00-694ECE38A23D}" destId="{23515341-E4C2-46AA-8BA2-84A125AFDA31}" srcOrd="1" destOrd="0" presId="urn:microsoft.com/office/officeart/2005/8/layout/chevron2"/>
    <dgm:cxn modelId="{858DC055-FBAA-486D-A493-D3F308A889B7}" type="presParOf" srcId="{87D5538B-E1DE-40C5-9DAB-A75E8E29A427}" destId="{0D3D18C2-21DC-46E1-9014-8CADFAFC994D}" srcOrd="3" destOrd="0" presId="urn:microsoft.com/office/officeart/2005/8/layout/chevron2"/>
    <dgm:cxn modelId="{8469D2C3-1AC4-49D9-A2BD-7BD44A8B7D34}" type="presParOf" srcId="{87D5538B-E1DE-40C5-9DAB-A75E8E29A427}" destId="{3798A6B6-5C72-4A73-A1F9-681671FD2C88}" srcOrd="4" destOrd="0" presId="urn:microsoft.com/office/officeart/2005/8/layout/chevron2"/>
    <dgm:cxn modelId="{F8250322-21EF-4422-872E-FF909B49AD30}" type="presParOf" srcId="{3798A6B6-5C72-4A73-A1F9-681671FD2C88}" destId="{2EE9B29B-04A7-4E3B-AF23-99ECAED83170}" srcOrd="0" destOrd="0" presId="urn:microsoft.com/office/officeart/2005/8/layout/chevron2"/>
    <dgm:cxn modelId="{9941E2C3-965F-415F-AA73-1C8930AB9A25}" type="presParOf" srcId="{3798A6B6-5C72-4A73-A1F9-681671FD2C88}" destId="{700EA8E9-6E3F-46E1-935E-D6F616A27EAA}"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DAE29D-7482-4496-BCD6-D2D8E3A7D91F}">
      <dsp:nvSpPr>
        <dsp:cNvPr id="0" name=""/>
        <dsp:cNvSpPr/>
      </dsp:nvSpPr>
      <dsp:spPr>
        <a:xfrm rot="5400000">
          <a:off x="-156972" y="336213"/>
          <a:ext cx="1046484" cy="7325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Service</a:t>
          </a:r>
        </a:p>
      </dsp:txBody>
      <dsp:txXfrm rot="-5400000">
        <a:off x="1" y="545511"/>
        <a:ext cx="732539" cy="313945"/>
      </dsp:txXfrm>
    </dsp:sp>
    <dsp:sp modelId="{A520E290-74D1-4197-8724-8AAA89F4A26D}">
      <dsp:nvSpPr>
        <dsp:cNvPr id="0" name=""/>
        <dsp:cNvSpPr/>
      </dsp:nvSpPr>
      <dsp:spPr>
        <a:xfrm rot="5400000">
          <a:off x="3134553" y="-2400506"/>
          <a:ext cx="1035682" cy="583971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Service class has the implementation of the business logic for dividend yield calculation, P/E Ratio calculation, saving trade, saving dividend yield and P/E Ration, calculating and saving volume weighted stock price and calculating GBCE value. Exceptions are well handeled for each and every operation.</a:t>
          </a:r>
        </a:p>
      </dsp:txBody>
      <dsp:txXfrm rot="-5400000">
        <a:off x="732539" y="52066"/>
        <a:ext cx="5789152" cy="934566"/>
      </dsp:txXfrm>
    </dsp:sp>
    <dsp:sp modelId="{6406AA67-2BAE-43CB-8D31-5721833EED15}">
      <dsp:nvSpPr>
        <dsp:cNvPr id="0" name=""/>
        <dsp:cNvSpPr/>
      </dsp:nvSpPr>
      <dsp:spPr>
        <a:xfrm rot="5400000">
          <a:off x="-156972" y="1366127"/>
          <a:ext cx="1046484" cy="7325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DAO</a:t>
          </a:r>
        </a:p>
      </dsp:txBody>
      <dsp:txXfrm rot="-5400000">
        <a:off x="1" y="1575425"/>
        <a:ext cx="732539" cy="313945"/>
      </dsp:txXfrm>
    </dsp:sp>
    <dsp:sp modelId="{23515341-E4C2-46AA-8BA2-84A125AFDA31}">
      <dsp:nvSpPr>
        <dsp:cNvPr id="0" name=""/>
        <dsp:cNvSpPr/>
      </dsp:nvSpPr>
      <dsp:spPr>
        <a:xfrm rot="5400000">
          <a:off x="3149426" y="-1370593"/>
          <a:ext cx="1005936" cy="583971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Data Access Object  (DAO)</a:t>
          </a:r>
        </a:p>
        <a:p>
          <a:pPr marL="57150" lvl="1" indent="-57150" algn="l" defTabSz="444500">
            <a:lnSpc>
              <a:spcPct val="90000"/>
            </a:lnSpc>
            <a:spcBef>
              <a:spcPct val="0"/>
            </a:spcBef>
            <a:spcAft>
              <a:spcPct val="15000"/>
            </a:spcAft>
            <a:buChar char="••"/>
          </a:pPr>
          <a:r>
            <a:rPr lang="en-US" sz="1000" kern="1200"/>
            <a:t>It contains the classes that would save the calculated values and fetch the saved values from memory.  All the values are being held in collections such as Array;lists and Hashmaps.</a:t>
          </a:r>
        </a:p>
      </dsp:txBody>
      <dsp:txXfrm rot="-5400000">
        <a:off x="732539" y="1095400"/>
        <a:ext cx="5790604" cy="907724"/>
      </dsp:txXfrm>
    </dsp:sp>
    <dsp:sp modelId="{2EE9B29B-04A7-4E3B-AF23-99ECAED83170}">
      <dsp:nvSpPr>
        <dsp:cNvPr id="0" name=""/>
        <dsp:cNvSpPr/>
      </dsp:nvSpPr>
      <dsp:spPr>
        <a:xfrm rot="5400000">
          <a:off x="-156972" y="2233180"/>
          <a:ext cx="1046484" cy="7325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Model</a:t>
          </a:r>
        </a:p>
      </dsp:txBody>
      <dsp:txXfrm rot="-5400000">
        <a:off x="1" y="2442478"/>
        <a:ext cx="732539" cy="313945"/>
      </dsp:txXfrm>
    </dsp:sp>
    <dsp:sp modelId="{700EA8E9-6E3F-46E1-935E-D6F616A27EAA}">
      <dsp:nvSpPr>
        <dsp:cNvPr id="0" name=""/>
        <dsp:cNvSpPr/>
      </dsp:nvSpPr>
      <dsp:spPr>
        <a:xfrm rot="5400000">
          <a:off x="3312287" y="-503540"/>
          <a:ext cx="680215" cy="583971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Model -&gt; These are the business objects on which the busniness logic is implemented such as trade and stock</a:t>
          </a:r>
        </a:p>
        <a:p>
          <a:pPr marL="57150" lvl="1" indent="-57150" algn="l" defTabSz="444500">
            <a:lnSpc>
              <a:spcPct val="90000"/>
            </a:lnSpc>
            <a:spcBef>
              <a:spcPct val="0"/>
            </a:spcBef>
            <a:spcAft>
              <a:spcPct val="15000"/>
            </a:spcAft>
            <a:buChar char="••"/>
          </a:pPr>
          <a:r>
            <a:rPr lang="en-US" sz="1000" kern="1200"/>
            <a:t>Util -&gt; Util has the calendar functionality which will be used by the service class in implementing the business logic.</a:t>
          </a:r>
        </a:p>
      </dsp:txBody>
      <dsp:txXfrm rot="-5400000">
        <a:off x="732540" y="2109412"/>
        <a:ext cx="5806505" cy="61380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Padhi</dc:creator>
  <cp:keywords/>
  <dc:description/>
  <cp:lastModifiedBy>Manisha Padhi</cp:lastModifiedBy>
  <cp:revision>4</cp:revision>
  <dcterms:created xsi:type="dcterms:W3CDTF">2016-10-03T04:00:00Z</dcterms:created>
  <dcterms:modified xsi:type="dcterms:W3CDTF">2016-10-03T04:28:00Z</dcterms:modified>
</cp:coreProperties>
</file>