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B49D" w14:textId="77777777" w:rsidR="0025267C" w:rsidRPr="004117F6" w:rsidRDefault="00A6309B">
      <w:pPr>
        <w:jc w:val="center"/>
        <w:rPr>
          <w:rFonts w:ascii="Times New Roman" w:hAnsi="Times New Roman" w:cs="Times New Roman"/>
        </w:rPr>
      </w:pPr>
      <w:r w:rsidRPr="004117F6">
        <w:rPr>
          <w:rFonts w:ascii="Times New Roman" w:hAnsi="Times New Roman" w:cs="Times New Roman"/>
          <w:b/>
          <w:sz w:val="28"/>
        </w:rPr>
        <w:t>LITERATURE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"/>
        <w:gridCol w:w="2701"/>
        <w:gridCol w:w="2258"/>
        <w:gridCol w:w="1873"/>
        <w:gridCol w:w="2584"/>
        <w:gridCol w:w="2554"/>
        <w:gridCol w:w="2567"/>
      </w:tblGrid>
      <w:tr w:rsidR="0025267C" w:rsidRPr="006D491D" w14:paraId="3AC30D9B" w14:textId="77777777">
        <w:trPr>
          <w:jc w:val="center"/>
        </w:trPr>
        <w:tc>
          <w:tcPr>
            <w:tcW w:w="504" w:type="dxa"/>
            <w:vAlign w:val="center"/>
          </w:tcPr>
          <w:p w14:paraId="1EBAAEFF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3384" w:type="dxa"/>
            <w:vAlign w:val="center"/>
          </w:tcPr>
          <w:p w14:paraId="7AD83CCF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b/>
                <w:sz w:val="20"/>
                <w:szCs w:val="20"/>
              </w:rPr>
              <w:t>Title of the paper</w:t>
            </w:r>
          </w:p>
        </w:tc>
        <w:tc>
          <w:tcPr>
            <w:tcW w:w="2664" w:type="dxa"/>
            <w:vAlign w:val="center"/>
          </w:tcPr>
          <w:p w14:paraId="54A1B8AD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b/>
                <w:sz w:val="20"/>
                <w:szCs w:val="20"/>
              </w:rPr>
              <w:t>Authors</w:t>
            </w:r>
          </w:p>
        </w:tc>
        <w:tc>
          <w:tcPr>
            <w:tcW w:w="2088" w:type="dxa"/>
            <w:vAlign w:val="center"/>
          </w:tcPr>
          <w:p w14:paraId="5B3698D7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b/>
                <w:sz w:val="20"/>
                <w:szCs w:val="20"/>
              </w:rPr>
              <w:t>Journal Name &amp; Year of published</w:t>
            </w:r>
          </w:p>
        </w:tc>
        <w:tc>
          <w:tcPr>
            <w:tcW w:w="3096" w:type="dxa"/>
            <w:vAlign w:val="center"/>
          </w:tcPr>
          <w:p w14:paraId="589261B2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b/>
                <w:sz w:val="20"/>
                <w:szCs w:val="20"/>
              </w:rPr>
              <w:t>Methodology Adopted</w:t>
            </w:r>
          </w:p>
        </w:tc>
        <w:tc>
          <w:tcPr>
            <w:tcW w:w="3096" w:type="dxa"/>
            <w:vAlign w:val="center"/>
          </w:tcPr>
          <w:p w14:paraId="02BAD198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b/>
                <w:sz w:val="20"/>
                <w:szCs w:val="20"/>
              </w:rPr>
              <w:t>Key Findings</w:t>
            </w:r>
          </w:p>
        </w:tc>
        <w:tc>
          <w:tcPr>
            <w:tcW w:w="3096" w:type="dxa"/>
            <w:vAlign w:val="center"/>
          </w:tcPr>
          <w:p w14:paraId="54076539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b/>
                <w:sz w:val="20"/>
                <w:szCs w:val="20"/>
              </w:rPr>
              <w:t>Gaps</w:t>
            </w:r>
          </w:p>
        </w:tc>
      </w:tr>
      <w:tr w:rsidR="0025267C" w:rsidRPr="006D491D" w14:paraId="5BEAAA4B" w14:textId="77777777">
        <w:trPr>
          <w:jc w:val="center"/>
        </w:trPr>
        <w:tc>
          <w:tcPr>
            <w:tcW w:w="504" w:type="dxa"/>
          </w:tcPr>
          <w:p w14:paraId="67EDD23E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384" w:type="dxa"/>
          </w:tcPr>
          <w:p w14:paraId="29A773AF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Improving wheat yield prediction through variable selection using Support Vector Regression, Random Forest, and Extreme Gradient Boosting</w:t>
            </w:r>
          </w:p>
        </w:tc>
        <w:tc>
          <w:tcPr>
            <w:tcW w:w="2664" w:type="dxa"/>
          </w:tcPr>
          <w:p w14:paraId="180DCE47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Juan Carlos Moreno Sánchez, Héctor Gabriel Acosta Mesa, Adrián Trueba Espinosa, Sergio Ruiz Castilla, Farid García Lamont</w:t>
            </w:r>
          </w:p>
        </w:tc>
        <w:tc>
          <w:tcPr>
            <w:tcW w:w="2088" w:type="dxa"/>
          </w:tcPr>
          <w:p w14:paraId="64AF3B21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Smart Agricultural Technology, 2025</w:t>
            </w:r>
          </w:p>
        </w:tc>
        <w:tc>
          <w:tcPr>
            <w:tcW w:w="3096" w:type="dxa"/>
          </w:tcPr>
          <w:p w14:paraId="317C49D0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Feature selection using correlation analysis and PCA; SVR, Random Forest, and XGBoost were evaluated using different feature combinations.</w:t>
            </w:r>
          </w:p>
        </w:tc>
        <w:tc>
          <w:tcPr>
            <w:tcW w:w="3096" w:type="dxa"/>
          </w:tcPr>
          <w:p w14:paraId="08288ED3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XGBoost with selected agronomic and vegetation variables achieved strong wheat-yield prediction performance, with R² = 0.9156 and RMSE = 28.5082 g/m².</w:t>
            </w:r>
          </w:p>
        </w:tc>
        <w:tc>
          <w:tcPr>
            <w:tcW w:w="3096" w:type="dxa"/>
          </w:tcPr>
          <w:p w14:paraId="16FBFB76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Focuses mainly on wheat and uses specialized vegetation and agronomic variables, so the results may not generalize to different crops or simpler agricultural datasets.</w:t>
            </w:r>
          </w:p>
        </w:tc>
      </w:tr>
      <w:tr w:rsidR="0025267C" w:rsidRPr="006D491D" w14:paraId="07A15786" w14:textId="77777777">
        <w:trPr>
          <w:jc w:val="center"/>
        </w:trPr>
        <w:tc>
          <w:tcPr>
            <w:tcW w:w="504" w:type="dxa"/>
          </w:tcPr>
          <w:p w14:paraId="5493E393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384" w:type="dxa"/>
          </w:tcPr>
          <w:p w14:paraId="488E608F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Pre-harvest forecasting of rainfed wheat yield in Iran using multi-source remote sensing and machine learning</w:t>
            </w:r>
          </w:p>
        </w:tc>
        <w:tc>
          <w:tcPr>
            <w:tcW w:w="2664" w:type="dxa"/>
          </w:tcPr>
          <w:p w14:paraId="191B25D8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Hanie Bourbour, Mohammad Abdolahipour, Hojjat Abdollahi, Ershad Abiar, Mahmoud Mashal</w:t>
            </w:r>
          </w:p>
        </w:tc>
        <w:tc>
          <w:tcPr>
            <w:tcW w:w="2088" w:type="dxa"/>
          </w:tcPr>
          <w:p w14:paraId="4187856B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Agricultural Water Management, 2025</w:t>
            </w:r>
          </w:p>
        </w:tc>
        <w:tc>
          <w:tcPr>
            <w:tcW w:w="3096" w:type="dxa"/>
          </w:tcPr>
          <w:p w14:paraId="07162B52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Multi-source remote sensing and meteorological data; Random Forest, XGBoost, and SVR with hyperparameter optimization using grid and randomized search.</w:t>
            </w:r>
          </w:p>
        </w:tc>
        <w:tc>
          <w:tcPr>
            <w:tcW w:w="3096" w:type="dxa"/>
          </w:tcPr>
          <w:p w14:paraId="7888AD45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XGBoost outperformed RF and SVR, achieving R² = 0.64. NDVI, precipitation, LST and LAI were important predictors.</w:t>
            </w:r>
          </w:p>
        </w:tc>
        <w:tc>
          <w:tcPr>
            <w:tcW w:w="3096" w:type="dxa"/>
          </w:tcPr>
          <w:p w14:paraId="2E6C3105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Limited to rainfed wheat in Iran and depends on remote-sensing and meteorological datasets that may not be available in simpler agricultural applications.</w:t>
            </w:r>
          </w:p>
        </w:tc>
      </w:tr>
      <w:tr w:rsidR="0025267C" w:rsidRPr="006D491D" w14:paraId="29D77B04" w14:textId="77777777">
        <w:trPr>
          <w:jc w:val="center"/>
        </w:trPr>
        <w:tc>
          <w:tcPr>
            <w:tcW w:w="504" w:type="dxa"/>
          </w:tcPr>
          <w:p w14:paraId="53A766D3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384" w:type="dxa"/>
          </w:tcPr>
          <w:p w14:paraId="5820A0DD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Forecasting Crop Yield Anomalies on Panel Data via Spatially Demeaned Ensembles</w:t>
            </w:r>
          </w:p>
        </w:tc>
        <w:tc>
          <w:tcPr>
            <w:tcW w:w="2664" w:type="dxa"/>
          </w:tcPr>
          <w:p w14:paraId="76C833EB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Luisa Stracqualursi</w:t>
            </w:r>
          </w:p>
        </w:tc>
        <w:tc>
          <w:tcPr>
            <w:tcW w:w="2088" w:type="dxa"/>
          </w:tcPr>
          <w:p w14:paraId="797CC550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Journal of Agricultural, Biological and Environmental Statistics, 2026</w:t>
            </w:r>
          </w:p>
        </w:tc>
        <w:tc>
          <w:tcPr>
            <w:tcW w:w="3096" w:type="dxa"/>
          </w:tcPr>
          <w:p w14:paraId="42AA9383" w14:textId="78ABAE05" w:rsidR="0025267C" w:rsidRPr="006D491D" w:rsidRDefault="00C45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 xml:space="preserve">A lightweight ensemble integrates Random Forest, </w:t>
            </w:r>
            <w:proofErr w:type="spellStart"/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, and Support Vector Regression using validation-error-based exponential weighting after cross-sectional demeaning.</w:t>
            </w:r>
          </w:p>
        </w:tc>
        <w:tc>
          <w:tcPr>
            <w:tcW w:w="3096" w:type="dxa"/>
          </w:tcPr>
          <w:p w14:paraId="24E9CF66" w14:textId="452112C7" w:rsidR="0025267C" w:rsidRPr="006D491D" w:rsidRDefault="00BC15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The proposed ensemble achieved competitive yield-anomaly forecasting accuracy while maintaining simplicity and computational efficiency. It also supports uncertainty quantification.</w:t>
            </w:r>
          </w:p>
        </w:tc>
        <w:tc>
          <w:tcPr>
            <w:tcW w:w="3096" w:type="dxa"/>
          </w:tcPr>
          <w:p w14:paraId="38C6487B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Uses country-level data from 1990–2013 and predicts yield anomalies rather than direct crop yield, so the data setting differs from the proposed project.</w:t>
            </w:r>
          </w:p>
        </w:tc>
      </w:tr>
      <w:tr w:rsidR="0025267C" w:rsidRPr="006D491D" w14:paraId="0D6A182E" w14:textId="77777777">
        <w:trPr>
          <w:jc w:val="center"/>
        </w:trPr>
        <w:tc>
          <w:tcPr>
            <w:tcW w:w="504" w:type="dxa"/>
          </w:tcPr>
          <w:p w14:paraId="4A97043F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384" w:type="dxa"/>
          </w:tcPr>
          <w:p w14:paraId="1E8ABCC8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An end-to-end ML and XAI-based framework for crop yield prediction under agroclimatic variability</w:t>
            </w:r>
          </w:p>
        </w:tc>
        <w:tc>
          <w:tcPr>
            <w:tcW w:w="2664" w:type="dxa"/>
          </w:tcPr>
          <w:p w14:paraId="4B78FA9B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Ivan Laktionov, Sergii Semenov, Grygorii Diachenko, Leszek Rutkowski</w:t>
            </w:r>
          </w:p>
        </w:tc>
        <w:tc>
          <w:tcPr>
            <w:tcW w:w="2088" w:type="dxa"/>
          </w:tcPr>
          <w:p w14:paraId="7B32DDC1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Applied Soft Computing, 2026</w:t>
            </w:r>
          </w:p>
        </w:tc>
        <w:tc>
          <w:tcPr>
            <w:tcW w:w="3096" w:type="dxa"/>
          </w:tcPr>
          <w:p w14:paraId="69721FF5" w14:textId="1C01F6E9" w:rsidR="0025267C" w:rsidRPr="006D491D" w:rsidRDefault="00BC15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An end-to-end framework involving preprocessing, feature selection, multiple machine-learning models, ensemble methods, and Explainable AI (XAI) was developed for crop-yield prediction under agroclimatic variability.</w:t>
            </w:r>
          </w:p>
        </w:tc>
        <w:tc>
          <w:tcPr>
            <w:tcW w:w="3096" w:type="dxa"/>
          </w:tcPr>
          <w:p w14:paraId="5A40FB1B" w14:textId="77777777" w:rsidR="0025267C" w:rsidRPr="006D491D" w:rsidRDefault="00A63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Ensemble models with feature selection and XAI achieved R² values from 0.95 to 0.99 across different data-splitting and cross-validation approaches.</w:t>
            </w:r>
          </w:p>
        </w:tc>
        <w:tc>
          <w:tcPr>
            <w:tcW w:w="3096" w:type="dxa"/>
          </w:tcPr>
          <w:p w14:paraId="09EE1361" w14:textId="16C035A7" w:rsidR="0025267C" w:rsidRPr="006D491D" w:rsidRDefault="000E1B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491D">
              <w:rPr>
                <w:rFonts w:ascii="Times New Roman" w:hAnsi="Times New Roman" w:cs="Times New Roman"/>
                <w:sz w:val="20"/>
                <w:szCs w:val="20"/>
              </w:rPr>
              <w:t xml:space="preserve">The study uses a broader framework with multiple models and XAI, whereas the proposed project focuses specifically on comparing Random Forest, </w:t>
            </w:r>
            <w:proofErr w:type="spellStart"/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6D491D">
              <w:rPr>
                <w:rFonts w:ascii="Times New Roman" w:hAnsi="Times New Roman" w:cs="Times New Roman"/>
                <w:sz w:val="20"/>
                <w:szCs w:val="20"/>
              </w:rPr>
              <w:t>, and SVR.</w:t>
            </w:r>
          </w:p>
        </w:tc>
      </w:tr>
    </w:tbl>
    <w:p w14:paraId="4A8D90AA" w14:textId="77777777" w:rsidR="00A6309B" w:rsidRPr="006D491D" w:rsidRDefault="00A6309B">
      <w:pPr>
        <w:rPr>
          <w:sz w:val="20"/>
          <w:szCs w:val="20"/>
        </w:rPr>
      </w:pPr>
    </w:p>
    <w:sectPr w:rsidR="00A6309B" w:rsidRPr="006D491D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704453">
    <w:abstractNumId w:val="8"/>
  </w:num>
  <w:num w:numId="2" w16cid:durableId="1338776007">
    <w:abstractNumId w:val="6"/>
  </w:num>
  <w:num w:numId="3" w16cid:durableId="204948551">
    <w:abstractNumId w:val="5"/>
  </w:num>
  <w:num w:numId="4" w16cid:durableId="605231789">
    <w:abstractNumId w:val="4"/>
  </w:num>
  <w:num w:numId="5" w16cid:durableId="813914171">
    <w:abstractNumId w:val="7"/>
  </w:num>
  <w:num w:numId="6" w16cid:durableId="1026516646">
    <w:abstractNumId w:val="3"/>
  </w:num>
  <w:num w:numId="7" w16cid:durableId="1241796442">
    <w:abstractNumId w:val="2"/>
  </w:num>
  <w:num w:numId="8" w16cid:durableId="1741713192">
    <w:abstractNumId w:val="1"/>
  </w:num>
  <w:num w:numId="9" w16cid:durableId="166889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BC4"/>
    <w:rsid w:val="0015074B"/>
    <w:rsid w:val="0025267C"/>
    <w:rsid w:val="0029639D"/>
    <w:rsid w:val="002E4FD5"/>
    <w:rsid w:val="00326F90"/>
    <w:rsid w:val="004117F6"/>
    <w:rsid w:val="006D491D"/>
    <w:rsid w:val="00A6309B"/>
    <w:rsid w:val="00AA1D8D"/>
    <w:rsid w:val="00AD32A7"/>
    <w:rsid w:val="00B47730"/>
    <w:rsid w:val="00BC15DD"/>
    <w:rsid w:val="00C450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B6140E-5ED3-4DE9-A1CB-C6A313B0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manishaperugu49@gmail.com</cp:lastModifiedBy>
  <cp:revision>6</cp:revision>
  <dcterms:created xsi:type="dcterms:W3CDTF">2013-12-23T23:15:00Z</dcterms:created>
  <dcterms:modified xsi:type="dcterms:W3CDTF">2026-08-18T13:55:00Z</dcterms:modified>
  <cp:category/>
</cp:coreProperties>
</file>