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b/>
          <w:color w:val="008A6A"/>
          <w:sz w:val="16"/>
        </w:rPr>
        <w:t>LOCAL PLATFORM VALIDATION</w:t>
      </w:r>
    </w:p>
    <w:p>
      <w:pPr>
        <w:pStyle w:val="Title"/>
      </w:pPr>
      <w:r>
        <w:t>Multi-Household Pipeline</w:t>
        <w:br/>
        <w:t>Validation Report</w:t>
      </w:r>
    </w:p>
    <w:p>
      <w:pPr>
        <w:spacing w:after="360"/>
      </w:pPr>
      <w:r>
        <w:rPr>
          <w:color w:val="5C6773"/>
          <w:sz w:val="26"/>
        </w:rPr>
        <w:t>Five households | Fifteen simulated energy assets | End-to-end evidence</w:t>
      </w:r>
    </w:p>
    <w:tbl>
      <w:tblPr>
        <w:tblW w:type="auto" w:w="0"/>
        <w:tblLayout w:type="fixed"/>
        <w:tblLook w:firstColumn="1" w:firstRow="1" w:lastColumn="0" w:lastRow="0" w:noHBand="0" w:noVBand="1" w:val="04A0"/>
      </w:tblPr>
      <w:tblGrid>
        <w:gridCol w:w="2419"/>
        <w:gridCol w:w="2419"/>
        <w:gridCol w:w="2419"/>
        <w:gridCol w:w="2419"/>
      </w:tblGrid>
      <w:tr>
        <w:tc>
          <w:tcPr>
            <w:tcW w:type="dxa" w:w="2469"/>
            <w:tcMar>
              <w:top w:w="130" w:type="dxa"/>
              <w:start w:w="130" w:type="dxa"/>
              <w:bottom w:w="130" w:type="dxa"/>
              <w:end w:w="130" w:type="dxa"/>
            </w:tcMar>
            <w:shd w:fill="EAF2F8"/>
            <w:tcBorders>
              <w:bottom w:val="single" w:sz="5" w:color="D9DEE5"/>
            </w:tcBorders>
          </w:tcPr>
          <w:p>
            <w:pPr>
              <w:jc w:val="center"/>
            </w:pPr>
            <w:r>
              <w:rPr>
                <w:b/>
                <w:color w:val="17365D"/>
                <w:sz w:val="34"/>
              </w:rPr>
              <w:t>5</w:t>
            </w:r>
          </w:p>
          <w:p>
            <w:pPr>
              <w:spacing w:after="0"/>
              <w:jc w:val="center"/>
            </w:pPr>
            <w:r>
              <w:rPr>
                <w:color w:val="5C6773"/>
                <w:sz w:val="16"/>
              </w:rPr>
              <w:t>Households</w:t>
            </w:r>
          </w:p>
        </w:tc>
        <w:tc>
          <w:tcPr>
            <w:tcW w:type="dxa" w:w="2469"/>
            <w:tcMar>
              <w:top w:w="130" w:type="dxa"/>
              <w:start w:w="130" w:type="dxa"/>
              <w:bottom w:w="130" w:type="dxa"/>
              <w:end w:w="130" w:type="dxa"/>
            </w:tcMar>
            <w:shd w:fill="EAF2F8"/>
            <w:tcBorders>
              <w:bottom w:val="single" w:sz="5" w:color="D9DEE5"/>
            </w:tcBorders>
          </w:tcPr>
          <w:p>
            <w:pPr>
              <w:jc w:val="center"/>
            </w:pPr>
            <w:r>
              <w:rPr>
                <w:b/>
                <w:color w:val="17365D"/>
                <w:sz w:val="34"/>
              </w:rPr>
              <w:t>15</w:t>
            </w:r>
          </w:p>
          <w:p>
            <w:pPr>
              <w:spacing w:after="0"/>
              <w:jc w:val="center"/>
            </w:pPr>
            <w:r>
              <w:rPr>
                <w:color w:val="5C6773"/>
                <w:sz w:val="16"/>
              </w:rPr>
              <w:t>Devices</w:t>
            </w:r>
          </w:p>
        </w:tc>
        <w:tc>
          <w:tcPr>
            <w:tcW w:type="dxa" w:w="2469"/>
            <w:tcMar>
              <w:top w:w="130" w:type="dxa"/>
              <w:start w:w="130" w:type="dxa"/>
              <w:bottom w:w="130" w:type="dxa"/>
              <w:end w:w="130" w:type="dxa"/>
            </w:tcMar>
            <w:shd w:fill="EAF2F8"/>
            <w:tcBorders>
              <w:bottom w:val="single" w:sz="5" w:color="D9DEE5"/>
            </w:tcBorders>
          </w:tcPr>
          <w:p>
            <w:pPr>
              <w:jc w:val="center"/>
            </w:pPr>
            <w:r>
              <w:rPr>
                <w:b/>
                <w:color w:val="17365D"/>
                <w:sz w:val="34"/>
              </w:rPr>
              <w:t>30</w:t>
            </w:r>
          </w:p>
          <w:p>
            <w:pPr>
              <w:spacing w:after="0"/>
              <w:jc w:val="center"/>
            </w:pPr>
            <w:r>
              <w:rPr>
                <w:color w:val="5C6773"/>
                <w:sz w:val="16"/>
              </w:rPr>
              <w:t>Telemetry messages</w:t>
            </w:r>
          </w:p>
        </w:tc>
        <w:tc>
          <w:tcPr>
            <w:tcW w:type="dxa" w:w="2469"/>
            <w:tcMar>
              <w:top w:w="130" w:type="dxa"/>
              <w:start w:w="130" w:type="dxa"/>
              <w:bottom w:w="130" w:type="dxa"/>
              <w:end w:w="130" w:type="dxa"/>
            </w:tcMar>
            <w:shd w:fill="EAF2F8"/>
            <w:tcBorders>
              <w:bottom w:val="single" w:sz="5" w:color="D9DEE5"/>
            </w:tcBorders>
          </w:tcPr>
          <w:p>
            <w:pPr>
              <w:jc w:val="center"/>
            </w:pPr>
            <w:r>
              <w:rPr>
                <w:b/>
                <w:color w:val="17365D"/>
                <w:sz w:val="34"/>
              </w:rPr>
              <w:t>120</w:t>
            </w:r>
          </w:p>
          <w:p>
            <w:pPr>
              <w:spacing w:after="0"/>
              <w:jc w:val="center"/>
            </w:pPr>
            <w:r>
              <w:rPr>
                <w:color w:val="5C6773"/>
                <w:sz w:val="16"/>
              </w:rPr>
              <w:t>Semantic readings</w:t>
            </w:r>
          </w:p>
        </w:tc>
      </w:tr>
      <w:tr>
        <w:tc>
          <w:tcPr>
            <w:tcW w:type="dxa" w:w="2469"/>
            <w:tcMar>
              <w:top w:w="130" w:type="dxa"/>
              <w:start w:w="130" w:type="dxa"/>
              <w:bottom w:w="130" w:type="dxa"/>
              <w:end w:w="130" w:type="dxa"/>
            </w:tcMar>
            <w:shd w:fill="F2F4F7"/>
            <w:tcBorders>
              <w:bottom w:val="single" w:sz="5" w:color="D9DEE5"/>
            </w:tcBorders>
          </w:tcPr>
          <w:p>
            <w:pPr>
              <w:jc w:val="center"/>
            </w:pPr>
            <w:r>
              <w:rPr>
                <w:b/>
                <w:color w:val="17365D"/>
                <w:sz w:val="34"/>
              </w:rPr>
              <w:t>100%</w:t>
            </w:r>
          </w:p>
          <w:p>
            <w:pPr>
              <w:spacing w:after="0"/>
              <w:jc w:val="center"/>
            </w:pPr>
            <w:r>
              <w:rPr>
                <w:color w:val="5C6773"/>
                <w:sz w:val="16"/>
              </w:rPr>
              <w:t>Completion rate</w:t>
            </w:r>
          </w:p>
        </w:tc>
        <w:tc>
          <w:tcPr>
            <w:tcW w:type="dxa" w:w="2469"/>
            <w:tcMar>
              <w:top w:w="130" w:type="dxa"/>
              <w:start w:w="130" w:type="dxa"/>
              <w:bottom w:w="130" w:type="dxa"/>
              <w:end w:w="130" w:type="dxa"/>
            </w:tcMar>
            <w:shd w:fill="F2F4F7"/>
            <w:tcBorders>
              <w:bottom w:val="single" w:sz="5" w:color="D9DEE5"/>
            </w:tcBorders>
          </w:tcPr>
          <w:p>
            <w:pPr>
              <w:jc w:val="center"/>
            </w:pPr>
            <w:r>
              <w:rPr>
                <w:b/>
                <w:color w:val="17365D"/>
                <w:sz w:val="34"/>
              </w:rPr>
              <w:t>80</w:t>
            </w:r>
          </w:p>
          <w:p>
            <w:pPr>
              <w:spacing w:after="0"/>
              <w:jc w:val="center"/>
            </w:pPr>
            <w:r>
              <w:rPr>
                <w:color w:val="5C6773"/>
                <w:sz w:val="16"/>
              </w:rPr>
              <w:t>SLM-primary mappings</w:t>
            </w:r>
          </w:p>
        </w:tc>
        <w:tc>
          <w:tcPr>
            <w:tcW w:type="dxa" w:w="2469"/>
            <w:tcMar>
              <w:top w:w="130" w:type="dxa"/>
              <w:start w:w="130" w:type="dxa"/>
              <w:bottom w:w="130" w:type="dxa"/>
              <w:end w:w="130" w:type="dxa"/>
            </w:tcMar>
            <w:shd w:fill="F2F4F7"/>
            <w:tcBorders>
              <w:bottom w:val="single" w:sz="5" w:color="D9DEE5"/>
            </w:tcBorders>
          </w:tcPr>
          <w:p>
            <w:pPr>
              <w:jc w:val="center"/>
            </w:pPr>
            <w:r>
              <w:rPr>
                <w:b/>
                <w:color w:val="17365D"/>
                <w:sz w:val="34"/>
              </w:rPr>
              <w:t>10</w:t>
            </w:r>
          </w:p>
          <w:p>
            <w:pPr>
              <w:spacing w:after="0"/>
              <w:jc w:val="center"/>
            </w:pPr>
            <w:r>
              <w:rPr>
                <w:color w:val="5C6773"/>
                <w:sz w:val="16"/>
              </w:rPr>
              <w:t>Fallback mappings</w:t>
            </w:r>
          </w:p>
        </w:tc>
        <w:tc>
          <w:tcPr>
            <w:tcW w:type="dxa" w:w="2469"/>
            <w:tcMar>
              <w:top w:w="130" w:type="dxa"/>
              <w:start w:w="130" w:type="dxa"/>
              <w:bottom w:w="130" w:type="dxa"/>
              <w:end w:w="130" w:type="dxa"/>
            </w:tcMar>
            <w:shd w:fill="F2F4F7"/>
            <w:tcBorders>
              <w:bottom w:val="single" w:sz="5" w:color="D9DEE5"/>
            </w:tcBorders>
          </w:tcPr>
          <w:p>
            <w:pPr>
              <w:jc w:val="center"/>
            </w:pPr>
            <w:r>
              <w:rPr>
                <w:b/>
                <w:color w:val="17365D"/>
                <w:sz w:val="34"/>
              </w:rPr>
              <w:t>0</w:t>
            </w:r>
          </w:p>
          <w:p>
            <w:pPr>
              <w:spacing w:after="0"/>
              <w:jc w:val="center"/>
            </w:pPr>
            <w:r>
              <w:rPr>
                <w:color w:val="5C6773"/>
                <w:sz w:val="16"/>
              </w:rPr>
              <w:t>Dropped readings</w:t>
            </w:r>
          </w:p>
        </w:tc>
      </w:tr>
    </w:tbl>
    <w:p/>
    <w:tbl>
      <w:tblPr>
        <w:tblW w:type="auto" w:w="0"/>
        <w:tblLayout w:type="fixed"/>
        <w:tblLook w:firstColumn="1" w:firstRow="1" w:lastColumn="0" w:lastRow="0" w:noHBand="0" w:noVBand="1" w:val="04A0"/>
      </w:tblPr>
      <w:tblGrid>
        <w:gridCol w:w="9677"/>
      </w:tblGrid>
      <w:tr>
        <w:tc>
          <w:tcPr>
            <w:tcW w:type="dxa" w:w="9878"/>
            <w:shd w:fill="E8F5F0"/>
            <w:tcMar>
              <w:top w:w="120" w:type="dxa"/>
              <w:start w:w="160" w:type="dxa"/>
              <w:bottom w:w="120" w:type="dxa"/>
              <w:end w:w="160" w:type="dxa"/>
            </w:tcMar>
            <w:tcBorders>
              <w:left w:val="single" w:sz="22" w:color="008A6A"/>
            </w:tcBorders>
          </w:tcPr>
          <w:p>
            <w:r>
              <w:rPr>
                <w:b/>
                <w:color w:val="17365D"/>
              </w:rPr>
              <w:t>Validated outcome</w:t>
            </w:r>
            <w:r>
              <w:br/>
              <w:t>The final two-update-per-device run completed with 120 unique semantic and IEEE records, zero drops, zero duplicate rows, zero processing errors, and no real device execution.</w:t>
            </w:r>
          </w:p>
        </w:tc>
      </w:tr>
    </w:tbl>
    <w:p>
      <w:pPr>
        <w:spacing w:after="0"/>
      </w:pPr>
    </w:p>
    <w:p>
      <w:pPr>
        <w:spacing w:before="320"/>
      </w:pPr>
      <w:r>
        <w:rPr>
          <w:b/>
        </w:rPr>
        <w:t>Validation run: mh-20260720071954</w:t>
        <w:br/>
      </w:r>
      <w:r>
        <w:t>Environment: Local Docker Compose, Kafka, TimescaleDB, Ollama Phi-3 Mini, and Next.js customer console</w:t>
        <w:br/>
      </w:r>
      <w:r>
        <w:t>Prepared: 20 July 2026</w:t>
      </w:r>
    </w:p>
    <w:p>
      <w:r>
        <w:br w:type="page"/>
      </w:r>
    </w:p>
    <w:p>
      <w:pPr>
        <w:pStyle w:val="Heading1"/>
      </w:pPr>
      <w:r>
        <w:t>1. Executive Summary</w:t>
      </w:r>
    </w:p>
    <w:p>
      <w:r>
        <w:t>This validation assessed whether the AD-FLEX local architecture could support multiple households at the same time without changing the existing business workflow. Five households were created, each with a Shelly Plug, an Enode / Easee EV charger, and a heat pump. Every simulated asset had a unique device and household identity, an independent update interval, changing values, and proper timestamps.</w:t>
      </w:r>
    </w:p>
    <w:p>
      <w:r>
        <w:t>The final run submitted 30 telemetry messages through the security gateway and produced 120 normalized readings. Every reading reached semantic storage and IEEE 2030.5-style storage. No message or reading was dropped, no duplicate semantic or IEEE row was recorded, and no processing error occurred. The end-to-end completion rate was 100%.</w:t>
      </w:r>
    </w:p>
    <w:p>
      <w:r>
        <w:t>Local Phi-3 Mini was called for all 120 readings. Eighty mappings passed as SLM-primary, ten known readings used deterministic fallback, and thirty were safely marked unmapped after failing configured guardrails. These rejected outputs remained visible and auditable without stopping the pipeline.</w:t>
      </w:r>
    </w:p>
    <w:tbl>
      <w:tblPr>
        <w:tblW w:type="auto" w:w="0"/>
        <w:tblLayout w:type="fixed"/>
        <w:tblLook w:firstColumn="1" w:firstRow="1" w:lastColumn="0" w:lastRow="0" w:noHBand="0" w:noVBand="1" w:val="04A0"/>
      </w:tblPr>
      <w:tblGrid>
        <w:gridCol w:w="9677"/>
      </w:tblGrid>
      <w:tr>
        <w:tc>
          <w:tcPr>
            <w:tcW w:type="dxa" w:w="9878"/>
            <w:shd w:fill="EAF2F8"/>
            <w:tcMar>
              <w:top w:w="120" w:type="dxa"/>
              <w:start w:w="160" w:type="dxa"/>
              <w:bottom w:w="120" w:type="dxa"/>
              <w:end w:w="160" w:type="dxa"/>
            </w:tcMar>
            <w:tcBorders>
              <w:left w:val="single" w:sz="22" w:color="2E74B5"/>
            </w:tcBorders>
          </w:tcPr>
          <w:p>
            <w:r>
              <w:rPr>
                <w:b/>
                <w:color w:val="17365D"/>
              </w:rPr>
              <w:t>Business interpretation</w:t>
            </w:r>
            <w:r>
              <w:br/>
              <w:t>The platform handled the intended production-style demonstration reliably. The main scale-up constraint is local serial model inference, not gateway acceptance, Kafka delivery, or database insertion.</w:t>
            </w:r>
          </w:p>
        </w:tc>
      </w:tr>
    </w:tbl>
    <w:p>
      <w:pPr>
        <w:spacing w:after="0"/>
      </w:pPr>
    </w:p>
    <w:p>
      <w:pPr>
        <w:pStyle w:val="Heading1"/>
      </w:pPr>
      <w:r>
        <w:t>2. Test Configuration</w:t>
      </w:r>
    </w:p>
    <w:tbl>
      <w:tblPr>
        <w:tblW w:type="auto" w:w="0"/>
        <w:jc w:val="center"/>
        <w:tblLayout w:type="fixed"/>
        <w:tblLook w:firstColumn="1" w:firstRow="1" w:lastColumn="0" w:lastRow="0" w:noHBand="0" w:noVBand="1" w:val="04A0"/>
      </w:tblPr>
      <w:tblGrid>
        <w:gridCol w:w="3024"/>
        <w:gridCol w:w="6624"/>
      </w:tblGrid>
      <w:tr>
        <w:trPr>
          <w:tblHeader w:val="true"/>
        </w:trPr>
        <w:tc>
          <w:tcPr>
            <w:tcW w:type="dxa" w:w="4939"/>
            <w:shd w:fill="2E74B5"/>
            <w:tcMar>
              <w:top w:w="80" w:type="dxa"/>
              <w:start w:w="120" w:type="dxa"/>
              <w:bottom w:w="80" w:type="dxa"/>
              <w:end w:w="120" w:type="dxa"/>
            </w:tcMar>
            <w:vAlign w:val="center"/>
          </w:tcPr>
          <w:p>
            <w:pPr>
              <w:spacing w:after="0"/>
            </w:pPr>
            <w:r>
              <w:rPr>
                <w:b/>
                <w:color w:val="FFFFFF"/>
                <w:sz w:val="18"/>
              </w:rPr>
              <w:t>Configuration item</w:t>
            </w:r>
          </w:p>
        </w:tc>
        <w:tc>
          <w:tcPr>
            <w:tcW w:type="dxa" w:w="4939"/>
            <w:shd w:fill="2E74B5"/>
            <w:tcMar>
              <w:top w:w="80" w:type="dxa"/>
              <w:start w:w="120" w:type="dxa"/>
              <w:bottom w:w="80" w:type="dxa"/>
              <w:end w:w="120" w:type="dxa"/>
            </w:tcMar>
            <w:vAlign w:val="center"/>
          </w:tcPr>
          <w:p>
            <w:pPr>
              <w:spacing w:after="0"/>
            </w:pPr>
            <w:r>
              <w:rPr>
                <w:b/>
                <w:color w:val="FFFFFF"/>
                <w:sz w:val="18"/>
              </w:rPr>
              <w:t>Measured setup</w:t>
            </w:r>
          </w:p>
        </w:tc>
      </w:tr>
      <w:tr>
        <w:trPr>
          <w:trHeight w:hRule="atLeast"/>
        </w:trPr>
        <w:tc>
          <w:tcPr>
            <w:tcW w:type="dxa" w:w="3024"/>
            <w:shd w:fill="FFFFFF"/>
            <w:tcMar>
              <w:top w:w="80" w:type="dxa"/>
              <w:start w:w="120" w:type="dxa"/>
              <w:bottom w:w="80" w:type="dxa"/>
              <w:end w:w="120" w:type="dxa"/>
            </w:tcMar>
          </w:tcPr>
          <w:p>
            <w:pPr>
              <w:spacing w:after="0"/>
            </w:pPr>
            <w:r>
              <w:rPr>
                <w:sz w:val="18"/>
              </w:rPr>
              <w:t>Households</w:t>
            </w:r>
          </w:p>
        </w:tc>
        <w:tc>
          <w:tcPr>
            <w:tcW w:type="dxa" w:w="6624"/>
            <w:tcMar>
              <w:top w:w="80" w:type="dxa"/>
              <w:start w:w="120" w:type="dxa"/>
              <w:bottom w:w="80" w:type="dxa"/>
              <w:end w:w="120" w:type="dxa"/>
            </w:tcMar>
          </w:tcPr>
          <w:p>
            <w:pPr>
              <w:spacing w:after="0"/>
            </w:pPr>
            <w:r>
              <w:rPr>
                <w:sz w:val="18"/>
              </w:rPr>
              <w:t>5</w:t>
            </w:r>
          </w:p>
        </w:tc>
      </w:tr>
      <w:tr>
        <w:trPr>
          <w:trHeight w:hRule="atLeast"/>
        </w:trPr>
        <w:tc>
          <w:tcPr>
            <w:tcW w:type="dxa" w:w="3024"/>
            <w:shd w:fill="F2F4F7"/>
            <w:tcMar>
              <w:top w:w="80" w:type="dxa"/>
              <w:start w:w="120" w:type="dxa"/>
              <w:bottom w:w="80" w:type="dxa"/>
              <w:end w:w="120" w:type="dxa"/>
            </w:tcMar>
          </w:tcPr>
          <w:p>
            <w:pPr>
              <w:spacing w:after="0"/>
            </w:pPr>
            <w:r>
              <w:rPr>
                <w:sz w:val="18"/>
              </w:rPr>
              <w:t>Energy assets</w:t>
            </w:r>
          </w:p>
        </w:tc>
        <w:tc>
          <w:tcPr>
            <w:tcW w:type="dxa" w:w="6624"/>
            <w:tcMar>
              <w:top w:w="80" w:type="dxa"/>
              <w:start w:w="120" w:type="dxa"/>
              <w:bottom w:w="80" w:type="dxa"/>
              <w:end w:w="120" w:type="dxa"/>
            </w:tcMar>
            <w:shd w:fill="F2F4F7"/>
          </w:tcPr>
          <w:p>
            <w:pPr>
              <w:spacing w:after="0"/>
            </w:pPr>
            <w:r>
              <w:rPr>
                <w:sz w:val="18"/>
              </w:rPr>
              <w:t>15 total; 3 per household</w:t>
            </w:r>
          </w:p>
        </w:tc>
      </w:tr>
      <w:tr>
        <w:trPr>
          <w:trHeight w:hRule="atLeast"/>
        </w:trPr>
        <w:tc>
          <w:tcPr>
            <w:tcW w:type="dxa" w:w="3024"/>
            <w:shd w:fill="FFFFFF"/>
            <w:tcMar>
              <w:top w:w="80" w:type="dxa"/>
              <w:start w:w="120" w:type="dxa"/>
              <w:bottom w:w="80" w:type="dxa"/>
              <w:end w:w="120" w:type="dxa"/>
            </w:tcMar>
          </w:tcPr>
          <w:p>
            <w:pPr>
              <w:spacing w:after="0"/>
            </w:pPr>
            <w:r>
              <w:rPr>
                <w:sz w:val="18"/>
              </w:rPr>
              <w:t>Device types</w:t>
            </w:r>
          </w:p>
        </w:tc>
        <w:tc>
          <w:tcPr>
            <w:tcW w:type="dxa" w:w="6624"/>
            <w:tcMar>
              <w:top w:w="80" w:type="dxa"/>
              <w:start w:w="120" w:type="dxa"/>
              <w:bottom w:w="80" w:type="dxa"/>
              <w:end w:w="120" w:type="dxa"/>
            </w:tcMar>
          </w:tcPr>
          <w:p>
            <w:pPr>
              <w:spacing w:after="0"/>
            </w:pPr>
            <w:r>
              <w:rPr>
                <w:sz w:val="18"/>
              </w:rPr>
              <w:t>5 Shelly Plugs, 5 Enode / Easee EV chargers, 5 heat pumps</w:t>
            </w:r>
          </w:p>
        </w:tc>
      </w:tr>
      <w:tr>
        <w:trPr>
          <w:trHeight w:hRule="atLeast"/>
        </w:trPr>
        <w:tc>
          <w:tcPr>
            <w:tcW w:type="dxa" w:w="3024"/>
            <w:shd w:fill="F2F4F7"/>
            <w:tcMar>
              <w:top w:w="80" w:type="dxa"/>
              <w:start w:w="120" w:type="dxa"/>
              <w:bottom w:w="80" w:type="dxa"/>
              <w:end w:w="120" w:type="dxa"/>
            </w:tcMar>
          </w:tcPr>
          <w:p>
            <w:pPr>
              <w:spacing w:after="0"/>
            </w:pPr>
            <w:r>
              <w:rPr>
                <w:sz w:val="18"/>
              </w:rPr>
              <w:t>Updates</w:t>
            </w:r>
          </w:p>
        </w:tc>
        <w:tc>
          <w:tcPr>
            <w:tcW w:type="dxa" w:w="6624"/>
            <w:tcMar>
              <w:top w:w="80" w:type="dxa"/>
              <w:start w:w="120" w:type="dxa"/>
              <w:bottom w:w="80" w:type="dxa"/>
              <w:end w:w="120" w:type="dxa"/>
            </w:tcMar>
            <w:shd w:fill="F2F4F7"/>
          </w:tcPr>
          <w:p>
            <w:pPr>
              <w:spacing w:after="0"/>
            </w:pPr>
            <w:r>
              <w:rPr>
                <w:sz w:val="18"/>
              </w:rPr>
              <w:t>2 per device</w:t>
            </w:r>
          </w:p>
        </w:tc>
      </w:tr>
      <w:tr>
        <w:trPr>
          <w:trHeight w:hRule="atLeast"/>
        </w:trPr>
        <w:tc>
          <w:tcPr>
            <w:tcW w:type="dxa" w:w="3024"/>
            <w:shd w:fill="FFFFFF"/>
            <w:tcMar>
              <w:top w:w="80" w:type="dxa"/>
              <w:start w:w="120" w:type="dxa"/>
              <w:bottom w:w="80" w:type="dxa"/>
              <w:end w:w="120" w:type="dxa"/>
            </w:tcMar>
          </w:tcPr>
          <w:p>
            <w:pPr>
              <w:spacing w:after="0"/>
            </w:pPr>
            <w:r>
              <w:rPr>
                <w:sz w:val="18"/>
              </w:rPr>
              <w:t>Update interval range</w:t>
            </w:r>
          </w:p>
        </w:tc>
        <w:tc>
          <w:tcPr>
            <w:tcW w:type="dxa" w:w="6624"/>
            <w:tcMar>
              <w:top w:w="80" w:type="dxa"/>
              <w:start w:w="120" w:type="dxa"/>
              <w:bottom w:w="80" w:type="dxa"/>
              <w:end w:w="120" w:type="dxa"/>
            </w:tcMar>
          </w:tcPr>
          <w:p>
            <w:pPr>
              <w:spacing w:after="0"/>
            </w:pPr>
            <w:r>
              <w:rPr>
                <w:sz w:val="18"/>
              </w:rPr>
              <w:t>322-1382 ms</w:t>
            </w:r>
          </w:p>
        </w:tc>
      </w:tr>
      <w:tr>
        <w:trPr>
          <w:trHeight w:hRule="atLeast"/>
        </w:trPr>
        <w:tc>
          <w:tcPr>
            <w:tcW w:type="dxa" w:w="3024"/>
            <w:shd w:fill="F2F4F7"/>
            <w:tcMar>
              <w:top w:w="80" w:type="dxa"/>
              <w:start w:w="120" w:type="dxa"/>
              <w:bottom w:w="80" w:type="dxa"/>
              <w:end w:w="120" w:type="dxa"/>
            </w:tcMar>
          </w:tcPr>
          <w:p>
            <w:pPr>
              <w:spacing w:after="0"/>
            </w:pPr>
            <w:r>
              <w:rPr>
                <w:sz w:val="18"/>
              </w:rPr>
              <w:t>Ingress</w:t>
            </w:r>
          </w:p>
        </w:tc>
        <w:tc>
          <w:tcPr>
            <w:tcW w:type="dxa" w:w="6624"/>
            <w:tcMar>
              <w:top w:w="80" w:type="dxa"/>
              <w:start w:w="120" w:type="dxa"/>
              <w:bottom w:w="80" w:type="dxa"/>
              <w:end w:w="120" w:type="dxa"/>
            </w:tcMar>
            <w:shd w:fill="F2F4F7"/>
          </w:tcPr>
          <w:p>
            <w:pPr>
              <w:spacing w:after="0"/>
            </w:pPr>
            <w:r>
              <w:rPr>
                <w:sz w:val="18"/>
              </w:rPr>
              <w:t>Security gateway POST /telemetry with local API key</w:t>
            </w:r>
          </w:p>
        </w:tc>
      </w:tr>
      <w:tr>
        <w:trPr>
          <w:trHeight w:hRule="atLeast"/>
        </w:trPr>
        <w:tc>
          <w:tcPr>
            <w:tcW w:type="dxa" w:w="3024"/>
            <w:shd w:fill="FFFFFF"/>
            <w:tcMar>
              <w:top w:w="80" w:type="dxa"/>
              <w:start w:w="120" w:type="dxa"/>
              <w:bottom w:w="80" w:type="dxa"/>
              <w:end w:w="120" w:type="dxa"/>
            </w:tcMar>
          </w:tcPr>
          <w:p>
            <w:pPr>
              <w:spacing w:after="0"/>
            </w:pPr>
            <w:r>
              <w:rPr>
                <w:sz w:val="18"/>
              </w:rPr>
              <w:t>Semantic model</w:t>
            </w:r>
          </w:p>
        </w:tc>
        <w:tc>
          <w:tcPr>
            <w:tcW w:type="dxa" w:w="6624"/>
            <w:tcMar>
              <w:top w:w="80" w:type="dxa"/>
              <w:start w:w="120" w:type="dxa"/>
              <w:bottom w:w="80" w:type="dxa"/>
              <w:end w:w="120" w:type="dxa"/>
            </w:tcMar>
          </w:tcPr>
          <w:p>
            <w:pPr>
              <w:spacing w:after="0"/>
            </w:pPr>
            <w:r>
              <w:rPr>
                <w:sz w:val="18"/>
              </w:rPr>
              <w:t>Local Ollama phi3:mini, SLM primary</w:t>
            </w:r>
          </w:p>
        </w:tc>
      </w:tr>
      <w:tr>
        <w:trPr>
          <w:trHeight w:hRule="atLeast"/>
        </w:trPr>
        <w:tc>
          <w:tcPr>
            <w:tcW w:type="dxa" w:w="3024"/>
            <w:shd w:fill="F2F4F7"/>
            <w:tcMar>
              <w:top w:w="80" w:type="dxa"/>
              <w:start w:w="120" w:type="dxa"/>
              <w:bottom w:w="80" w:type="dxa"/>
              <w:end w:w="120" w:type="dxa"/>
            </w:tcMar>
          </w:tcPr>
          <w:p>
            <w:pPr>
              <w:spacing w:after="0"/>
            </w:pPr>
            <w:r>
              <w:rPr>
                <w:sz w:val="18"/>
              </w:rPr>
              <w:t>Validation</w:t>
            </w:r>
          </w:p>
        </w:tc>
        <w:tc>
          <w:tcPr>
            <w:tcW w:type="dxa" w:w="6624"/>
            <w:tcMar>
              <w:top w:w="80" w:type="dxa"/>
              <w:start w:w="120" w:type="dxa"/>
              <w:bottom w:w="80" w:type="dxa"/>
              <w:end w:w="120" w:type="dxa"/>
            </w:tcMar>
            <w:shd w:fill="F2F4F7"/>
          </w:tcPr>
          <w:p>
            <w:pPr>
              <w:spacing w:after="0"/>
            </w:pPr>
            <w:r>
              <w:rPr>
                <w:sz w:val="18"/>
              </w:rPr>
              <w:t>Deterministic SAREF4ENER guardrails and fallback</w:t>
            </w:r>
          </w:p>
        </w:tc>
      </w:tr>
      <w:tr>
        <w:trPr>
          <w:trHeight w:hRule="atLeast"/>
        </w:trPr>
        <w:tc>
          <w:tcPr>
            <w:tcW w:type="dxa" w:w="3024"/>
            <w:shd w:fill="FFFFFF"/>
            <w:tcMar>
              <w:top w:w="80" w:type="dxa"/>
              <w:start w:w="120" w:type="dxa"/>
              <w:bottom w:w="80" w:type="dxa"/>
              <w:end w:w="120" w:type="dxa"/>
            </w:tcMar>
          </w:tcPr>
          <w:p>
            <w:pPr>
              <w:spacing w:after="0"/>
            </w:pPr>
            <w:r>
              <w:rPr>
                <w:sz w:val="18"/>
              </w:rPr>
              <w:t>Event and data services</w:t>
            </w:r>
          </w:p>
        </w:tc>
        <w:tc>
          <w:tcPr>
            <w:tcW w:type="dxa" w:w="6624"/>
            <w:tcMar>
              <w:top w:w="80" w:type="dxa"/>
              <w:start w:w="120" w:type="dxa"/>
              <w:bottom w:w="80" w:type="dxa"/>
              <w:end w:w="120" w:type="dxa"/>
            </w:tcMar>
          </w:tcPr>
          <w:p>
            <w:pPr>
              <w:spacing w:after="0"/>
            </w:pPr>
            <w:r>
              <w:rPr>
                <w:sz w:val="18"/>
              </w:rPr>
              <w:t>Kafka, PostgreSQL/TimescaleDB, MQTT</w:t>
            </w:r>
          </w:p>
        </w:tc>
      </w:tr>
      <w:tr>
        <w:trPr>
          <w:trHeight w:hRule="atLeast"/>
        </w:trPr>
        <w:tc>
          <w:tcPr>
            <w:tcW w:type="dxa" w:w="3024"/>
            <w:shd w:fill="F2F4F7"/>
            <w:tcMar>
              <w:top w:w="80" w:type="dxa"/>
              <w:start w:w="120" w:type="dxa"/>
              <w:bottom w:w="80" w:type="dxa"/>
              <w:end w:w="120" w:type="dxa"/>
            </w:tcMar>
          </w:tcPr>
          <w:p>
            <w:pPr>
              <w:spacing w:after="0"/>
            </w:pPr>
            <w:r>
              <w:rPr>
                <w:sz w:val="18"/>
              </w:rPr>
              <w:t>Control mode</w:t>
            </w:r>
          </w:p>
        </w:tc>
        <w:tc>
          <w:tcPr>
            <w:tcW w:type="dxa" w:w="6624"/>
            <w:tcMar>
              <w:top w:w="80" w:type="dxa"/>
              <w:start w:w="120" w:type="dxa"/>
              <w:bottom w:w="80" w:type="dxa"/>
              <w:end w:w="120" w:type="dxa"/>
            </w:tcMar>
            <w:shd w:fill="F2F4F7"/>
          </w:tcPr>
          <w:p>
            <w:pPr>
              <w:spacing w:after="0"/>
            </w:pPr>
            <w:r>
              <w:rPr>
                <w:sz w:val="18"/>
              </w:rPr>
              <w:t>Approval plus mock dispatch; no real device execution</w:t>
            </w:r>
          </w:p>
        </w:tc>
      </w:tr>
      <w:tr>
        <w:trPr>
          <w:trHeight w:hRule="atLeast"/>
        </w:trPr>
        <w:tc>
          <w:tcPr>
            <w:tcW w:type="dxa" w:w="3024"/>
            <w:shd w:fill="FFFFFF"/>
            <w:tcMar>
              <w:top w:w="80" w:type="dxa"/>
              <w:start w:w="120" w:type="dxa"/>
              <w:bottom w:w="80" w:type="dxa"/>
              <w:end w:w="120" w:type="dxa"/>
            </w:tcMar>
          </w:tcPr>
          <w:p>
            <w:pPr>
              <w:spacing w:after="0"/>
            </w:pPr>
            <w:r>
              <w:rPr>
                <w:sz w:val="18"/>
              </w:rPr>
              <w:t>Customer application</w:t>
            </w:r>
          </w:p>
        </w:tc>
        <w:tc>
          <w:tcPr>
            <w:tcW w:type="dxa" w:w="6624"/>
            <w:tcMar>
              <w:top w:w="80" w:type="dxa"/>
              <w:start w:w="120" w:type="dxa"/>
              <w:bottom w:w="80" w:type="dxa"/>
              <w:end w:w="120" w:type="dxa"/>
            </w:tcMar>
          </w:tcPr>
          <w:p>
            <w:pPr>
              <w:spacing w:after="0"/>
            </w:pPr>
            <w:r>
              <w:rPr>
                <w:sz w:val="18"/>
              </w:rPr>
              <w:t>Next.js console at http://localhost:3000</w:t>
            </w:r>
          </w:p>
        </w:tc>
      </w:tr>
    </w:tbl>
    <w:p>
      <w:pPr>
        <w:spacing w:after="0"/>
      </w:pPr>
    </w:p>
    <w:p>
      <w:r>
        <w:t>All 15 devices produced two distinct telemetry samples and two ordered, unique timestamps. Shelly values covered active power, voltage, current, and cumulative energy. EV charger values covered charging state, charging power, and delivered energy. Heat-pump values covered room temperature, target temperature, operating mode, flow temperature, and power usage.</w:t>
      </w:r>
    </w:p>
    <w:p>
      <w:pPr>
        <w:pStyle w:val="Heading1"/>
      </w:pPr>
      <w:r>
        <w:t>3. Validation Procedure</w:t>
      </w:r>
    </w:p>
    <w:tbl>
      <w:tblPr>
        <w:tblW w:type="auto" w:w="0"/>
        <w:jc w:val="center"/>
        <w:tblLayout w:type="fixed"/>
        <w:tblLook w:firstColumn="1" w:firstRow="1" w:lastColumn="0" w:lastRow="0" w:noHBand="0" w:noVBand="1" w:val="04A0"/>
      </w:tblPr>
      <w:tblGrid>
        <w:gridCol w:w="792"/>
        <w:gridCol w:w="4968"/>
        <w:gridCol w:w="3888"/>
      </w:tblGrid>
      <w:tr>
        <w:trPr>
          <w:tblHeader w:val="true"/>
        </w:trPr>
        <w:tc>
          <w:tcPr>
            <w:tcW w:type="dxa" w:w="3293"/>
            <w:shd w:fill="2E74B5"/>
            <w:tcMar>
              <w:top w:w="80" w:type="dxa"/>
              <w:start w:w="120" w:type="dxa"/>
              <w:bottom w:w="80" w:type="dxa"/>
              <w:end w:w="120" w:type="dxa"/>
            </w:tcMar>
            <w:vAlign w:val="center"/>
          </w:tcPr>
          <w:p>
            <w:pPr>
              <w:spacing w:after="0"/>
            </w:pPr>
            <w:r>
              <w:rPr>
                <w:b/>
                <w:color w:val="FFFFFF"/>
                <w:sz w:val="17"/>
              </w:rPr>
              <w:t>Step</w:t>
            </w:r>
          </w:p>
        </w:tc>
        <w:tc>
          <w:tcPr>
            <w:tcW w:type="dxa" w:w="3293"/>
            <w:shd w:fill="2E74B5"/>
            <w:tcMar>
              <w:top w:w="80" w:type="dxa"/>
              <w:start w:w="120" w:type="dxa"/>
              <w:bottom w:w="80" w:type="dxa"/>
              <w:end w:w="120" w:type="dxa"/>
            </w:tcMar>
            <w:vAlign w:val="center"/>
          </w:tcPr>
          <w:p>
            <w:pPr>
              <w:spacing w:after="0"/>
            </w:pPr>
            <w:r>
              <w:rPr>
                <w:b/>
                <w:color w:val="FFFFFF"/>
                <w:sz w:val="17"/>
              </w:rPr>
              <w:t>Procedure</w:t>
            </w:r>
          </w:p>
        </w:tc>
        <w:tc>
          <w:tcPr>
            <w:tcW w:type="dxa" w:w="3293"/>
            <w:shd w:fill="2E74B5"/>
            <w:tcMar>
              <w:top w:w="80" w:type="dxa"/>
              <w:start w:w="120" w:type="dxa"/>
              <w:bottom w:w="80" w:type="dxa"/>
              <w:end w:w="120" w:type="dxa"/>
            </w:tcMar>
            <w:vAlign w:val="center"/>
          </w:tcPr>
          <w:p>
            <w:pPr>
              <w:spacing w:after="0"/>
            </w:pPr>
            <w:r>
              <w:rPr>
                <w:b/>
                <w:color w:val="FFFFFF"/>
                <w:sz w:val="17"/>
              </w:rPr>
              <w:t>Evidence</w:t>
            </w:r>
          </w:p>
        </w:tc>
      </w:tr>
      <w:tr>
        <w:trPr>
          <w:trHeight w:hRule="atLeast"/>
        </w:trPr>
        <w:tc>
          <w:tcPr>
            <w:tcW w:type="dxa" w:w="792"/>
            <w:shd w:fill="FFFFFF"/>
            <w:tcMar>
              <w:top w:w="80" w:type="dxa"/>
              <w:start w:w="120" w:type="dxa"/>
              <w:bottom w:w="80" w:type="dxa"/>
              <w:end w:w="120" w:type="dxa"/>
            </w:tcMar>
          </w:tcPr>
          <w:p>
            <w:pPr>
              <w:spacing w:after="0"/>
            </w:pPr>
            <w:r>
              <w:rPr>
                <w:sz w:val="17"/>
              </w:rPr>
              <w:t>1</w:t>
            </w:r>
          </w:p>
        </w:tc>
        <w:tc>
          <w:tcPr>
            <w:tcW w:type="dxa" w:w="4968"/>
            <w:tcMar>
              <w:top w:w="80" w:type="dxa"/>
              <w:start w:w="120" w:type="dxa"/>
              <w:bottom w:w="80" w:type="dxa"/>
              <w:end w:w="120" w:type="dxa"/>
            </w:tcMar>
          </w:tcPr>
          <w:p>
            <w:pPr>
              <w:spacing w:after="0"/>
            </w:pPr>
            <w:r>
              <w:rPr>
                <w:sz w:val="17"/>
              </w:rPr>
              <w:t>Build and start all Docker Compose services</w:t>
            </w:r>
          </w:p>
        </w:tc>
        <w:tc>
          <w:tcPr>
            <w:tcW w:type="dxa" w:w="3888"/>
            <w:tcMar>
              <w:top w:w="80" w:type="dxa"/>
              <w:start w:w="120" w:type="dxa"/>
              <w:bottom w:w="80" w:type="dxa"/>
              <w:end w:w="120" w:type="dxa"/>
            </w:tcMar>
          </w:tcPr>
          <w:p>
            <w:pPr>
              <w:spacing w:after="0"/>
            </w:pPr>
            <w:r>
              <w:rPr>
                <w:sz w:val="17"/>
              </w:rPr>
              <w:t>18 containers running; zero restarts</w:t>
            </w:r>
          </w:p>
        </w:tc>
      </w:tr>
      <w:tr>
        <w:trPr>
          <w:trHeight w:hRule="atLeast"/>
        </w:trPr>
        <w:tc>
          <w:tcPr>
            <w:tcW w:type="dxa" w:w="792"/>
            <w:shd w:fill="F2F4F7"/>
            <w:tcMar>
              <w:top w:w="80" w:type="dxa"/>
              <w:start w:w="120" w:type="dxa"/>
              <w:bottom w:w="80" w:type="dxa"/>
              <w:end w:w="120" w:type="dxa"/>
            </w:tcMar>
          </w:tcPr>
          <w:p>
            <w:pPr>
              <w:spacing w:after="0"/>
            </w:pPr>
            <w:r>
              <w:rPr>
                <w:sz w:val="17"/>
              </w:rPr>
              <w:t>2</w:t>
            </w:r>
          </w:p>
        </w:tc>
        <w:tc>
          <w:tcPr>
            <w:tcW w:type="dxa" w:w="4968"/>
            <w:tcMar>
              <w:top w:w="80" w:type="dxa"/>
              <w:start w:w="120" w:type="dxa"/>
              <w:bottom w:w="80" w:type="dxa"/>
              <w:end w:w="120" w:type="dxa"/>
            </w:tcMar>
            <w:shd w:fill="F2F4F7"/>
          </w:tcPr>
          <w:p>
            <w:pPr>
              <w:spacing w:after="0"/>
            </w:pPr>
            <w:r>
              <w:rPr>
                <w:sz w:val="17"/>
              </w:rPr>
              <w:t>Check service, Kafka, TimescaleDB, and Ollama readiness</w:t>
            </w:r>
          </w:p>
        </w:tc>
        <w:tc>
          <w:tcPr>
            <w:tcW w:type="dxa" w:w="3888"/>
            <w:tcMar>
              <w:top w:w="80" w:type="dxa"/>
              <w:start w:w="120" w:type="dxa"/>
              <w:bottom w:w="80" w:type="dxa"/>
              <w:end w:w="120" w:type="dxa"/>
            </w:tcMar>
            <w:shd w:fill="F2F4F7"/>
          </w:tcPr>
          <w:p>
            <w:pPr>
              <w:spacing w:after="0"/>
            </w:pPr>
            <w:r>
              <w:rPr>
                <w:sz w:val="17"/>
              </w:rPr>
              <w:t>Health checks passed; phi3:mini listed</w:t>
            </w:r>
          </w:p>
        </w:tc>
      </w:tr>
      <w:tr>
        <w:trPr>
          <w:trHeight w:hRule="atLeast"/>
        </w:trPr>
        <w:tc>
          <w:tcPr>
            <w:tcW w:type="dxa" w:w="792"/>
            <w:shd w:fill="FFFFFF"/>
            <w:tcMar>
              <w:top w:w="80" w:type="dxa"/>
              <w:start w:w="120" w:type="dxa"/>
              <w:bottom w:w="80" w:type="dxa"/>
              <w:end w:w="120" w:type="dxa"/>
            </w:tcMar>
          </w:tcPr>
          <w:p>
            <w:pPr>
              <w:spacing w:after="0"/>
            </w:pPr>
            <w:r>
              <w:rPr>
                <w:sz w:val="17"/>
              </w:rPr>
              <w:t>3</w:t>
            </w:r>
          </w:p>
        </w:tc>
        <w:tc>
          <w:tcPr>
            <w:tcW w:type="dxa" w:w="4968"/>
            <w:tcMar>
              <w:top w:w="80" w:type="dxa"/>
              <w:start w:w="120" w:type="dxa"/>
              <w:bottom w:w="80" w:type="dxa"/>
              <w:end w:w="120" w:type="dxa"/>
            </w:tcMar>
          </w:tcPr>
          <w:p>
            <w:pPr>
              <w:spacing w:after="0"/>
            </w:pPr>
            <w:r>
              <w:rPr>
                <w:sz w:val="17"/>
              </w:rPr>
              <w:t>Create five households and fifteen independently seeded devices</w:t>
            </w:r>
          </w:p>
        </w:tc>
        <w:tc>
          <w:tcPr>
            <w:tcW w:type="dxa" w:w="3888"/>
            <w:tcMar>
              <w:top w:w="80" w:type="dxa"/>
              <w:start w:w="120" w:type="dxa"/>
              <w:bottom w:w="80" w:type="dxa"/>
              <w:end w:w="120" w:type="dxa"/>
            </w:tcMar>
          </w:tcPr>
          <w:p>
            <w:pPr>
              <w:spacing w:after="0"/>
            </w:pPr>
            <w:r>
              <w:rPr>
                <w:sz w:val="17"/>
              </w:rPr>
              <w:t>Unique IDs and 322-1,382 ms intervals</w:t>
            </w:r>
          </w:p>
        </w:tc>
      </w:tr>
      <w:tr>
        <w:trPr>
          <w:trHeight w:hRule="atLeast"/>
        </w:trPr>
        <w:tc>
          <w:tcPr>
            <w:tcW w:type="dxa" w:w="792"/>
            <w:shd w:fill="F2F4F7"/>
            <w:tcMar>
              <w:top w:w="80" w:type="dxa"/>
              <w:start w:w="120" w:type="dxa"/>
              <w:bottom w:w="80" w:type="dxa"/>
              <w:end w:w="120" w:type="dxa"/>
            </w:tcMar>
          </w:tcPr>
          <w:p>
            <w:pPr>
              <w:spacing w:after="0"/>
            </w:pPr>
            <w:r>
              <w:rPr>
                <w:sz w:val="17"/>
              </w:rPr>
              <w:t>4</w:t>
            </w:r>
          </w:p>
        </w:tc>
        <w:tc>
          <w:tcPr>
            <w:tcW w:type="dxa" w:w="4968"/>
            <w:tcMar>
              <w:top w:w="80" w:type="dxa"/>
              <w:start w:w="120" w:type="dxa"/>
              <w:bottom w:w="80" w:type="dxa"/>
              <w:end w:w="120" w:type="dxa"/>
            </w:tcMar>
            <w:shd w:fill="F2F4F7"/>
          </w:tcPr>
          <w:p>
            <w:pPr>
              <w:spacing w:after="0"/>
            </w:pPr>
            <w:r>
              <w:rPr>
                <w:sz w:val="17"/>
              </w:rPr>
              <w:t>Send two telemetry updates per device through the gateway</w:t>
            </w:r>
          </w:p>
        </w:tc>
        <w:tc>
          <w:tcPr>
            <w:tcW w:type="dxa" w:w="3888"/>
            <w:tcMar>
              <w:top w:w="80" w:type="dxa"/>
              <w:start w:w="120" w:type="dxa"/>
              <w:bottom w:w="80" w:type="dxa"/>
              <w:end w:w="120" w:type="dxa"/>
            </w:tcMar>
            <w:shd w:fill="F2F4F7"/>
          </w:tcPr>
          <w:p>
            <w:pPr>
              <w:spacing w:after="0"/>
            </w:pPr>
            <w:r>
              <w:rPr>
                <w:sz w:val="17"/>
              </w:rPr>
              <w:t>30 of 30 requests accepted</w:t>
            </w:r>
          </w:p>
        </w:tc>
      </w:tr>
      <w:tr>
        <w:trPr>
          <w:trHeight w:hRule="atLeast"/>
        </w:trPr>
        <w:tc>
          <w:tcPr>
            <w:tcW w:type="dxa" w:w="792"/>
            <w:shd w:fill="FFFFFF"/>
            <w:tcMar>
              <w:top w:w="80" w:type="dxa"/>
              <w:start w:w="120" w:type="dxa"/>
              <w:bottom w:w="80" w:type="dxa"/>
              <w:end w:w="120" w:type="dxa"/>
            </w:tcMar>
          </w:tcPr>
          <w:p>
            <w:pPr>
              <w:spacing w:after="0"/>
            </w:pPr>
            <w:r>
              <w:rPr>
                <w:sz w:val="17"/>
              </w:rPr>
              <w:t>5</w:t>
            </w:r>
          </w:p>
        </w:tc>
        <w:tc>
          <w:tcPr>
            <w:tcW w:type="dxa" w:w="4968"/>
            <w:tcMar>
              <w:top w:w="80" w:type="dxa"/>
              <w:start w:w="120" w:type="dxa"/>
              <w:bottom w:w="80" w:type="dxa"/>
              <w:end w:w="120" w:type="dxa"/>
            </w:tcMar>
          </w:tcPr>
          <w:p>
            <w:pPr>
              <w:spacing w:after="0"/>
            </w:pPr>
            <w:r>
              <w:rPr>
                <w:sz w:val="17"/>
              </w:rPr>
              <w:t>Wait for semantic and IEEE storage</w:t>
            </w:r>
          </w:p>
        </w:tc>
        <w:tc>
          <w:tcPr>
            <w:tcW w:type="dxa" w:w="3888"/>
            <w:tcMar>
              <w:top w:w="80" w:type="dxa"/>
              <w:start w:w="120" w:type="dxa"/>
              <w:bottom w:w="80" w:type="dxa"/>
              <w:end w:w="120" w:type="dxa"/>
            </w:tcMar>
          </w:tcPr>
          <w:p>
            <w:pPr>
              <w:spacing w:after="0"/>
            </w:pPr>
            <w:r>
              <w:rPr>
                <w:sz w:val="17"/>
              </w:rPr>
              <w:t>120 unique rows at each stage</w:t>
            </w:r>
          </w:p>
        </w:tc>
      </w:tr>
      <w:tr>
        <w:trPr>
          <w:trHeight w:hRule="atLeast"/>
        </w:trPr>
        <w:tc>
          <w:tcPr>
            <w:tcW w:type="dxa" w:w="792"/>
            <w:shd w:fill="F2F4F7"/>
            <w:tcMar>
              <w:top w:w="80" w:type="dxa"/>
              <w:start w:w="120" w:type="dxa"/>
              <w:bottom w:w="80" w:type="dxa"/>
              <w:end w:w="120" w:type="dxa"/>
            </w:tcMar>
          </w:tcPr>
          <w:p>
            <w:pPr>
              <w:spacing w:after="0"/>
            </w:pPr>
            <w:r>
              <w:rPr>
                <w:sz w:val="17"/>
              </w:rPr>
              <w:t>6</w:t>
            </w:r>
          </w:p>
        </w:tc>
        <w:tc>
          <w:tcPr>
            <w:tcW w:type="dxa" w:w="4968"/>
            <w:tcMar>
              <w:top w:w="80" w:type="dxa"/>
              <w:start w:w="120" w:type="dxa"/>
              <w:bottom w:w="80" w:type="dxa"/>
              <w:end w:w="120" w:type="dxa"/>
            </w:tcMar>
            <w:shd w:fill="F2F4F7"/>
          </w:tcPr>
          <w:p>
            <w:pPr>
              <w:spacing w:after="0"/>
            </w:pPr>
            <w:r>
              <w:rPr>
                <w:sz w:val="17"/>
              </w:rPr>
              <w:t>Run DSO signal and approval workflow</w:t>
            </w:r>
          </w:p>
        </w:tc>
        <w:tc>
          <w:tcPr>
            <w:tcW w:type="dxa" w:w="3888"/>
            <w:tcMar>
              <w:top w:w="80" w:type="dxa"/>
              <w:start w:w="120" w:type="dxa"/>
              <w:bottom w:w="80" w:type="dxa"/>
              <w:end w:w="120" w:type="dxa"/>
            </w:tcMar>
            <w:shd w:fill="F2F4F7"/>
          </w:tcPr>
          <w:p>
            <w:pPr>
              <w:spacing w:after="0"/>
            </w:pPr>
            <w:r>
              <w:rPr>
                <w:sz w:val="17"/>
              </w:rPr>
              <w:t>Proposal 89 reached ready_to_dispatch</w:t>
            </w:r>
          </w:p>
        </w:tc>
      </w:tr>
      <w:tr>
        <w:trPr>
          <w:trHeight w:hRule="atLeast"/>
        </w:trPr>
        <w:tc>
          <w:tcPr>
            <w:tcW w:type="dxa" w:w="792"/>
            <w:shd w:fill="FFFFFF"/>
            <w:tcMar>
              <w:top w:w="80" w:type="dxa"/>
              <w:start w:w="120" w:type="dxa"/>
              <w:bottom w:w="80" w:type="dxa"/>
              <w:end w:w="120" w:type="dxa"/>
            </w:tcMar>
          </w:tcPr>
          <w:p>
            <w:pPr>
              <w:spacing w:after="0"/>
            </w:pPr>
            <w:r>
              <w:rPr>
                <w:sz w:val="17"/>
              </w:rPr>
              <w:t>7</w:t>
            </w:r>
          </w:p>
        </w:tc>
        <w:tc>
          <w:tcPr>
            <w:tcW w:type="dxa" w:w="4968"/>
            <w:tcMar>
              <w:top w:w="80" w:type="dxa"/>
              <w:start w:w="120" w:type="dxa"/>
              <w:bottom w:w="80" w:type="dxa"/>
              <w:end w:w="120" w:type="dxa"/>
            </w:tcMar>
          </w:tcPr>
          <w:p>
            <w:pPr>
              <w:spacing w:after="0"/>
            </w:pPr>
            <w:r>
              <w:rPr>
                <w:sz w:val="17"/>
              </w:rPr>
              <w:t>Verify mock dispatch and device API translation</w:t>
            </w:r>
          </w:p>
        </w:tc>
        <w:tc>
          <w:tcPr>
            <w:tcW w:type="dxa" w:w="3888"/>
            <w:tcMar>
              <w:top w:w="80" w:type="dxa"/>
              <w:start w:w="120" w:type="dxa"/>
              <w:bottom w:w="80" w:type="dxa"/>
              <w:end w:w="120" w:type="dxa"/>
            </w:tcMar>
          </w:tcPr>
          <w:p>
            <w:pPr>
              <w:spacing w:after="0"/>
            </w:pPr>
            <w:r>
              <w:rPr>
                <w:sz w:val="17"/>
              </w:rPr>
              <w:t>1 mock row and 3 device command rows</w:t>
            </w:r>
          </w:p>
        </w:tc>
      </w:tr>
      <w:tr>
        <w:trPr>
          <w:trHeight w:hRule="atLeast"/>
        </w:trPr>
        <w:tc>
          <w:tcPr>
            <w:tcW w:type="dxa" w:w="792"/>
            <w:shd w:fill="F2F4F7"/>
            <w:tcMar>
              <w:top w:w="80" w:type="dxa"/>
              <w:start w:w="120" w:type="dxa"/>
              <w:bottom w:w="80" w:type="dxa"/>
              <w:end w:w="120" w:type="dxa"/>
            </w:tcMar>
          </w:tcPr>
          <w:p>
            <w:pPr>
              <w:spacing w:after="0"/>
            </w:pPr>
            <w:r>
              <w:rPr>
                <w:sz w:val="17"/>
              </w:rPr>
              <w:t>8</w:t>
            </w:r>
          </w:p>
        </w:tc>
        <w:tc>
          <w:tcPr>
            <w:tcW w:type="dxa" w:w="4968"/>
            <w:tcMar>
              <w:top w:w="80" w:type="dxa"/>
              <w:start w:w="120" w:type="dxa"/>
              <w:bottom w:w="80" w:type="dxa"/>
              <w:end w:w="120" w:type="dxa"/>
            </w:tcMar>
            <w:shd w:fill="F2F4F7"/>
          </w:tcPr>
          <w:p>
            <w:pPr>
              <w:spacing w:after="0"/>
            </w:pPr>
            <w:r>
              <w:rPr>
                <w:sz w:val="17"/>
              </w:rPr>
              <w:t>Run dataspace export</w:t>
            </w:r>
          </w:p>
        </w:tc>
        <w:tc>
          <w:tcPr>
            <w:tcW w:type="dxa" w:w="3888"/>
            <w:tcMar>
              <w:top w:w="80" w:type="dxa"/>
              <w:start w:w="120" w:type="dxa"/>
              <w:bottom w:w="80" w:type="dxa"/>
              <w:end w:w="120" w:type="dxa"/>
            </w:tcMar>
            <w:shd w:fill="F2F4F7"/>
          </w:tcPr>
          <w:p>
            <w:pPr>
              <w:spacing w:after="0"/>
            </w:pPr>
            <w:r>
              <w:rPr>
                <w:sz w:val="17"/>
              </w:rPr>
              <w:t>Minimized, pseudonymized 100-record summary</w:t>
            </w:r>
          </w:p>
        </w:tc>
      </w:tr>
      <w:tr>
        <w:trPr>
          <w:trHeight w:hRule="atLeast"/>
        </w:trPr>
        <w:tc>
          <w:tcPr>
            <w:tcW w:type="dxa" w:w="792"/>
            <w:shd w:fill="FFFFFF"/>
            <w:tcMar>
              <w:top w:w="80" w:type="dxa"/>
              <w:start w:w="120" w:type="dxa"/>
              <w:bottom w:w="80" w:type="dxa"/>
              <w:end w:w="120" w:type="dxa"/>
            </w:tcMar>
          </w:tcPr>
          <w:p>
            <w:pPr>
              <w:spacing w:after="0"/>
            </w:pPr>
            <w:r>
              <w:rPr>
                <w:sz w:val="17"/>
              </w:rPr>
              <w:t>9</w:t>
            </w:r>
          </w:p>
        </w:tc>
        <w:tc>
          <w:tcPr>
            <w:tcW w:type="dxa" w:w="4968"/>
            <w:tcMar>
              <w:top w:w="80" w:type="dxa"/>
              <w:start w:w="120" w:type="dxa"/>
              <w:bottom w:w="80" w:type="dxa"/>
              <w:end w:w="120" w:type="dxa"/>
            </w:tcMar>
          </w:tcPr>
          <w:p>
            <w:pPr>
              <w:spacing w:after="0"/>
            </w:pPr>
            <w:r>
              <w:rPr>
                <w:sz w:val="17"/>
              </w:rPr>
              <w:t>Publish a separate MQTT message</w:t>
            </w:r>
          </w:p>
        </w:tc>
        <w:tc>
          <w:tcPr>
            <w:tcW w:type="dxa" w:w="3888"/>
            <w:tcMar>
              <w:top w:w="80" w:type="dxa"/>
              <w:start w:w="120" w:type="dxa"/>
              <w:bottom w:w="80" w:type="dxa"/>
              <w:end w:w="120" w:type="dxa"/>
            </w:tcMar>
          </w:tcPr>
          <w:p>
            <w:pPr>
              <w:spacing w:after="0"/>
            </w:pPr>
            <w:r>
              <w:rPr>
                <w:sz w:val="17"/>
              </w:rPr>
              <w:t>1 raw and 4 rows at each reading stage</w:t>
            </w:r>
          </w:p>
        </w:tc>
      </w:tr>
      <w:tr>
        <w:trPr>
          <w:trHeight w:hRule="atLeast"/>
        </w:trPr>
        <w:tc>
          <w:tcPr>
            <w:tcW w:type="dxa" w:w="792"/>
            <w:shd w:fill="F2F4F7"/>
            <w:tcMar>
              <w:top w:w="80" w:type="dxa"/>
              <w:start w:w="120" w:type="dxa"/>
              <w:bottom w:w="80" w:type="dxa"/>
              <w:end w:w="120" w:type="dxa"/>
            </w:tcMar>
          </w:tcPr>
          <w:p>
            <w:pPr>
              <w:spacing w:after="0"/>
            </w:pPr>
            <w:r>
              <w:rPr>
                <w:sz w:val="17"/>
              </w:rPr>
              <w:t>10</w:t>
            </w:r>
          </w:p>
        </w:tc>
        <w:tc>
          <w:tcPr>
            <w:tcW w:type="dxa" w:w="4968"/>
            <w:tcMar>
              <w:top w:w="80" w:type="dxa"/>
              <w:start w:w="120" w:type="dxa"/>
              <w:bottom w:w="80" w:type="dxa"/>
              <w:end w:w="120" w:type="dxa"/>
            </w:tcMar>
            <w:shd w:fill="F2F4F7"/>
          </w:tcPr>
          <w:p>
            <w:pPr>
              <w:spacing w:after="0"/>
            </w:pPr>
            <w:r>
              <w:rPr>
                <w:sz w:val="17"/>
              </w:rPr>
              <w:t>Open the customer console with Playwright</w:t>
            </w:r>
          </w:p>
        </w:tc>
        <w:tc>
          <w:tcPr>
            <w:tcW w:type="dxa" w:w="3888"/>
            <w:tcMar>
              <w:top w:w="80" w:type="dxa"/>
              <w:start w:w="120" w:type="dxa"/>
              <w:bottom w:w="80" w:type="dxa"/>
              <w:end w:w="120" w:type="dxa"/>
            </w:tcMar>
            <w:shd w:fill="F2F4F7"/>
          </w:tcPr>
          <w:p>
            <w:pPr>
              <w:spacing w:after="0"/>
            </w:pPr>
            <w:r>
              <w:rPr>
                <w:sz w:val="17"/>
              </w:rPr>
              <w:t>15 final-run devices and Phi-3 primary status visible</w:t>
            </w:r>
          </w:p>
        </w:tc>
      </w:tr>
    </w:tbl>
    <w:p>
      <w:pPr>
        <w:spacing w:after="0"/>
      </w:pPr>
    </w:p>
    <w:p>
      <w:r>
        <w:br w:type="page"/>
      </w:r>
    </w:p>
    <w:p>
      <w:pPr>
        <w:pStyle w:val="Heading1"/>
      </w:pPr>
      <w:r>
        <w:t>4. Runtime Results</w:t>
      </w:r>
    </w:p>
    <w:p>
      <w:pPr>
        <w:pStyle w:val="Heading2"/>
      </w:pPr>
      <w:r>
        <w:t>Delivery and persistence</w:t>
      </w:r>
    </w:p>
    <w:tbl>
      <w:tblPr>
        <w:tblW w:type="auto" w:w="0"/>
        <w:jc w:val="center"/>
        <w:tblLayout w:type="fixed"/>
        <w:tblLook w:firstColumn="1" w:firstRow="1" w:lastColumn="0" w:lastRow="0" w:noHBand="0" w:noVBand="1" w:val="04A0"/>
      </w:tblPr>
      <w:tblGrid>
        <w:gridCol w:w="4320"/>
        <w:gridCol w:w="2448"/>
        <w:gridCol w:w="1872"/>
      </w:tblGrid>
      <w:tr>
        <w:trPr>
          <w:tblHeader w:val="true"/>
        </w:trPr>
        <w:tc>
          <w:tcPr>
            <w:tcW w:type="dxa" w:w="3293"/>
            <w:shd w:fill="2E74B5"/>
            <w:tcMar>
              <w:top w:w="80" w:type="dxa"/>
              <w:start w:w="120" w:type="dxa"/>
              <w:bottom w:w="80" w:type="dxa"/>
              <w:end w:w="120" w:type="dxa"/>
            </w:tcMar>
            <w:vAlign w:val="center"/>
          </w:tcPr>
          <w:p>
            <w:pPr>
              <w:spacing w:after="0"/>
            </w:pPr>
            <w:r>
              <w:rPr>
                <w:b/>
                <w:color w:val="FFFFFF"/>
                <w:sz w:val="18"/>
              </w:rPr>
              <w:t>Metric</w:t>
            </w:r>
          </w:p>
        </w:tc>
        <w:tc>
          <w:tcPr>
            <w:tcW w:type="dxa" w:w="3293"/>
            <w:shd w:fill="2E74B5"/>
            <w:tcMar>
              <w:top w:w="80" w:type="dxa"/>
              <w:start w:w="120" w:type="dxa"/>
              <w:bottom w:w="80" w:type="dxa"/>
              <w:end w:w="120" w:type="dxa"/>
            </w:tcMar>
            <w:vAlign w:val="center"/>
          </w:tcPr>
          <w:p>
            <w:pPr>
              <w:spacing w:after="0"/>
            </w:pPr>
            <w:r>
              <w:rPr>
                <w:b/>
                <w:color w:val="FFFFFF"/>
                <w:sz w:val="18"/>
              </w:rPr>
              <w:t>Result</w:t>
            </w:r>
          </w:p>
        </w:tc>
        <w:tc>
          <w:tcPr>
            <w:tcW w:type="dxa" w:w="3293"/>
            <w:shd w:fill="2E74B5"/>
            <w:tcMar>
              <w:top w:w="80" w:type="dxa"/>
              <w:start w:w="120" w:type="dxa"/>
              <w:bottom w:w="80" w:type="dxa"/>
              <w:end w:w="120" w:type="dxa"/>
            </w:tcMar>
            <w:vAlign w:val="center"/>
          </w:tcPr>
          <w:p>
            <w:pPr>
              <w:spacing w:after="0"/>
            </w:pPr>
            <w:r>
              <w:rPr>
                <w:b/>
                <w:color w:val="FFFFFF"/>
                <w:sz w:val="18"/>
              </w:rPr>
              <w:t>Assessment</w:t>
            </w:r>
          </w:p>
        </w:tc>
      </w:tr>
      <w:tr>
        <w:trPr>
          <w:trHeight w:hRule="atLeast"/>
        </w:trPr>
        <w:tc>
          <w:tcPr>
            <w:tcW w:type="dxa" w:w="4320"/>
            <w:shd w:fill="FFFFFF"/>
            <w:tcMar>
              <w:top w:w="80" w:type="dxa"/>
              <w:start w:w="120" w:type="dxa"/>
              <w:bottom w:w="80" w:type="dxa"/>
              <w:end w:w="120" w:type="dxa"/>
            </w:tcMar>
          </w:tcPr>
          <w:p>
            <w:pPr>
              <w:spacing w:after="0"/>
            </w:pPr>
            <w:r>
              <w:rPr>
                <w:sz w:val="18"/>
              </w:rPr>
              <w:t>Telemetry generated / accepted</w:t>
            </w:r>
          </w:p>
        </w:tc>
        <w:tc>
          <w:tcPr>
            <w:tcW w:type="dxa" w:w="2448"/>
            <w:tcMar>
              <w:top w:w="80" w:type="dxa"/>
              <w:start w:w="120" w:type="dxa"/>
              <w:bottom w:w="80" w:type="dxa"/>
              <w:end w:w="120" w:type="dxa"/>
            </w:tcMar>
          </w:tcPr>
          <w:p>
            <w:pPr>
              <w:spacing w:after="0"/>
            </w:pPr>
            <w:r>
              <w:rPr>
                <w:sz w:val="18"/>
              </w:rPr>
              <w:t>30 / 30</w:t>
            </w:r>
          </w:p>
        </w:tc>
        <w:tc>
          <w:tcPr>
            <w:tcW w:type="dxa" w:w="1872"/>
            <w:tcMar>
              <w:top w:w="80" w:type="dxa"/>
              <w:start w:w="120" w:type="dxa"/>
              <w:bottom w:w="80" w:type="dxa"/>
              <w:end w:w="120" w:type="dxa"/>
            </w:tcMar>
          </w:tcPr>
          <w:p>
            <w:pPr>
              <w:spacing w:after="0"/>
            </w:pPr>
            <w:r>
              <w:rPr>
                <w:sz w:val="18"/>
              </w:rPr>
              <w:t>Pass</w:t>
            </w:r>
          </w:p>
        </w:tc>
      </w:tr>
      <w:tr>
        <w:trPr>
          <w:trHeight w:hRule="atLeast"/>
        </w:trPr>
        <w:tc>
          <w:tcPr>
            <w:tcW w:type="dxa" w:w="4320"/>
            <w:shd w:fill="F2F4F7"/>
            <w:tcMar>
              <w:top w:w="80" w:type="dxa"/>
              <w:start w:w="120" w:type="dxa"/>
              <w:bottom w:w="80" w:type="dxa"/>
              <w:end w:w="120" w:type="dxa"/>
            </w:tcMar>
          </w:tcPr>
          <w:p>
            <w:pPr>
              <w:spacing w:after="0"/>
            </w:pPr>
            <w:r>
              <w:rPr>
                <w:sz w:val="18"/>
              </w:rPr>
              <w:t>Raw telemetry rows</w:t>
            </w:r>
          </w:p>
        </w:tc>
        <w:tc>
          <w:tcPr>
            <w:tcW w:type="dxa" w:w="2448"/>
            <w:tcMar>
              <w:top w:w="80" w:type="dxa"/>
              <w:start w:w="120" w:type="dxa"/>
              <w:bottom w:w="80" w:type="dxa"/>
              <w:end w:w="120" w:type="dxa"/>
            </w:tcMar>
            <w:shd w:fill="F2F4F7"/>
          </w:tcPr>
          <w:p>
            <w:pPr>
              <w:spacing w:after="0"/>
              <w:jc w:val="right"/>
            </w:pPr>
            <w:r>
              <w:rPr>
                <w:sz w:val="18"/>
              </w:rPr>
              <w:t>30</w:t>
            </w:r>
          </w:p>
        </w:tc>
        <w:tc>
          <w:tcPr>
            <w:tcW w:type="dxa" w:w="1872"/>
            <w:tcMar>
              <w:top w:w="80" w:type="dxa"/>
              <w:start w:w="120" w:type="dxa"/>
              <w:bottom w:w="80" w:type="dxa"/>
              <w:end w:w="120" w:type="dxa"/>
            </w:tcMar>
            <w:shd w:fill="F2F4F7"/>
          </w:tcPr>
          <w:p>
            <w:pPr>
              <w:spacing w:after="0"/>
            </w:pPr>
            <w:r>
              <w:rPr>
                <w:sz w:val="18"/>
              </w:rPr>
              <w:t>Pass</w:t>
            </w:r>
          </w:p>
        </w:tc>
      </w:tr>
      <w:tr>
        <w:trPr>
          <w:trHeight w:hRule="atLeast"/>
        </w:trPr>
        <w:tc>
          <w:tcPr>
            <w:tcW w:type="dxa" w:w="4320"/>
            <w:shd w:fill="FFFFFF"/>
            <w:tcMar>
              <w:top w:w="80" w:type="dxa"/>
              <w:start w:w="120" w:type="dxa"/>
              <w:bottom w:w="80" w:type="dxa"/>
              <w:end w:w="120" w:type="dxa"/>
            </w:tcMar>
          </w:tcPr>
          <w:p>
            <w:pPr>
              <w:spacing w:after="0"/>
            </w:pPr>
            <w:r>
              <w:rPr>
                <w:sz w:val="18"/>
              </w:rPr>
              <w:t>Normalized readings</w:t>
            </w:r>
          </w:p>
        </w:tc>
        <w:tc>
          <w:tcPr>
            <w:tcW w:type="dxa" w:w="2448"/>
            <w:tcMar>
              <w:top w:w="80" w:type="dxa"/>
              <w:start w:w="120" w:type="dxa"/>
              <w:bottom w:w="80" w:type="dxa"/>
              <w:end w:w="120" w:type="dxa"/>
            </w:tcMar>
          </w:tcPr>
          <w:p>
            <w:pPr>
              <w:spacing w:after="0"/>
              <w:jc w:val="right"/>
            </w:pPr>
            <w:r>
              <w:rPr>
                <w:sz w:val="18"/>
              </w:rPr>
              <w:t>120</w:t>
            </w:r>
          </w:p>
        </w:tc>
        <w:tc>
          <w:tcPr>
            <w:tcW w:type="dxa" w:w="1872"/>
            <w:tcMar>
              <w:top w:w="80" w:type="dxa"/>
              <w:start w:w="120" w:type="dxa"/>
              <w:bottom w:w="80" w:type="dxa"/>
              <w:end w:w="120" w:type="dxa"/>
            </w:tcMar>
          </w:tcPr>
          <w:p>
            <w:pPr>
              <w:spacing w:after="0"/>
            </w:pPr>
            <w:r>
              <w:rPr>
                <w:sz w:val="18"/>
              </w:rPr>
              <w:t>Pass</w:t>
            </w:r>
          </w:p>
        </w:tc>
      </w:tr>
      <w:tr>
        <w:trPr>
          <w:trHeight w:hRule="atLeast"/>
        </w:trPr>
        <w:tc>
          <w:tcPr>
            <w:tcW w:type="dxa" w:w="4320"/>
            <w:shd w:fill="F2F4F7"/>
            <w:tcMar>
              <w:top w:w="80" w:type="dxa"/>
              <w:start w:w="120" w:type="dxa"/>
              <w:bottom w:w="80" w:type="dxa"/>
              <w:end w:w="120" w:type="dxa"/>
            </w:tcMar>
          </w:tcPr>
          <w:p>
            <w:pPr>
              <w:spacing w:after="0"/>
            </w:pPr>
            <w:r>
              <w:rPr>
                <w:sz w:val="18"/>
              </w:rPr>
              <w:t>Semantic rows / unique</w:t>
            </w:r>
          </w:p>
        </w:tc>
        <w:tc>
          <w:tcPr>
            <w:tcW w:type="dxa" w:w="2448"/>
            <w:tcMar>
              <w:top w:w="80" w:type="dxa"/>
              <w:start w:w="120" w:type="dxa"/>
              <w:bottom w:w="80" w:type="dxa"/>
              <w:end w:w="120" w:type="dxa"/>
            </w:tcMar>
            <w:shd w:fill="F2F4F7"/>
          </w:tcPr>
          <w:p>
            <w:pPr>
              <w:spacing w:after="0"/>
            </w:pPr>
            <w:r>
              <w:rPr>
                <w:sz w:val="18"/>
              </w:rPr>
              <w:t>120 / 120</w:t>
            </w:r>
          </w:p>
        </w:tc>
        <w:tc>
          <w:tcPr>
            <w:tcW w:type="dxa" w:w="1872"/>
            <w:tcMar>
              <w:top w:w="80" w:type="dxa"/>
              <w:start w:w="120" w:type="dxa"/>
              <w:bottom w:w="80" w:type="dxa"/>
              <w:end w:w="120" w:type="dxa"/>
            </w:tcMar>
            <w:shd w:fill="F2F4F7"/>
          </w:tcPr>
          <w:p>
            <w:pPr>
              <w:spacing w:after="0"/>
            </w:pPr>
            <w:r>
              <w:rPr>
                <w:sz w:val="18"/>
              </w:rPr>
              <w:t>Pass</w:t>
            </w:r>
          </w:p>
        </w:tc>
      </w:tr>
      <w:tr>
        <w:trPr>
          <w:trHeight w:hRule="atLeast"/>
        </w:trPr>
        <w:tc>
          <w:tcPr>
            <w:tcW w:type="dxa" w:w="4320"/>
            <w:shd w:fill="FFFFFF"/>
            <w:tcMar>
              <w:top w:w="80" w:type="dxa"/>
              <w:start w:w="120" w:type="dxa"/>
              <w:bottom w:w="80" w:type="dxa"/>
              <w:end w:w="120" w:type="dxa"/>
            </w:tcMar>
          </w:tcPr>
          <w:p>
            <w:pPr>
              <w:spacing w:after="0"/>
            </w:pPr>
            <w:r>
              <w:rPr>
                <w:sz w:val="18"/>
              </w:rPr>
              <w:t>IEEE rows / unique</w:t>
            </w:r>
          </w:p>
        </w:tc>
        <w:tc>
          <w:tcPr>
            <w:tcW w:type="dxa" w:w="2448"/>
            <w:tcMar>
              <w:top w:w="80" w:type="dxa"/>
              <w:start w:w="120" w:type="dxa"/>
              <w:bottom w:w="80" w:type="dxa"/>
              <w:end w:w="120" w:type="dxa"/>
            </w:tcMar>
          </w:tcPr>
          <w:p>
            <w:pPr>
              <w:spacing w:after="0"/>
            </w:pPr>
            <w:r>
              <w:rPr>
                <w:sz w:val="18"/>
              </w:rPr>
              <w:t>120 / 120</w:t>
            </w:r>
          </w:p>
        </w:tc>
        <w:tc>
          <w:tcPr>
            <w:tcW w:type="dxa" w:w="1872"/>
            <w:tcMar>
              <w:top w:w="80" w:type="dxa"/>
              <w:start w:w="120" w:type="dxa"/>
              <w:bottom w:w="80" w:type="dxa"/>
              <w:end w:w="120" w:type="dxa"/>
            </w:tcMar>
          </w:tcPr>
          <w:p>
            <w:pPr>
              <w:spacing w:after="0"/>
            </w:pPr>
            <w:r>
              <w:rPr>
                <w:sz w:val="18"/>
              </w:rPr>
              <w:t>Pass</w:t>
            </w:r>
          </w:p>
        </w:tc>
      </w:tr>
      <w:tr>
        <w:trPr>
          <w:trHeight w:hRule="atLeast"/>
        </w:trPr>
        <w:tc>
          <w:tcPr>
            <w:tcW w:type="dxa" w:w="4320"/>
            <w:shd w:fill="F2F4F7"/>
            <w:tcMar>
              <w:top w:w="80" w:type="dxa"/>
              <w:start w:w="120" w:type="dxa"/>
              <w:bottom w:w="80" w:type="dxa"/>
              <w:end w:w="120" w:type="dxa"/>
            </w:tcMar>
          </w:tcPr>
          <w:p>
            <w:pPr>
              <w:spacing w:after="0"/>
            </w:pPr>
            <w:r>
              <w:rPr>
                <w:sz w:val="18"/>
              </w:rPr>
              <w:t>Duplicate semantic / IEEE rows</w:t>
            </w:r>
          </w:p>
        </w:tc>
        <w:tc>
          <w:tcPr>
            <w:tcW w:type="dxa" w:w="2448"/>
            <w:tcMar>
              <w:top w:w="80" w:type="dxa"/>
              <w:start w:w="120" w:type="dxa"/>
              <w:bottom w:w="80" w:type="dxa"/>
              <w:end w:w="120" w:type="dxa"/>
            </w:tcMar>
            <w:shd w:fill="F2F4F7"/>
          </w:tcPr>
          <w:p>
            <w:pPr>
              <w:spacing w:after="0"/>
            </w:pPr>
            <w:r>
              <w:rPr>
                <w:sz w:val="18"/>
              </w:rPr>
              <w:t>0 / 0</w:t>
            </w:r>
          </w:p>
        </w:tc>
        <w:tc>
          <w:tcPr>
            <w:tcW w:type="dxa" w:w="1872"/>
            <w:tcMar>
              <w:top w:w="80" w:type="dxa"/>
              <w:start w:w="120" w:type="dxa"/>
              <w:bottom w:w="80" w:type="dxa"/>
              <w:end w:w="120" w:type="dxa"/>
            </w:tcMar>
            <w:shd w:fill="F2F4F7"/>
          </w:tcPr>
          <w:p>
            <w:pPr>
              <w:spacing w:after="0"/>
            </w:pPr>
            <w:r>
              <w:rPr>
                <w:sz w:val="18"/>
              </w:rPr>
              <w:t>Pass</w:t>
            </w:r>
          </w:p>
        </w:tc>
      </w:tr>
      <w:tr>
        <w:trPr>
          <w:trHeight w:hRule="atLeast"/>
        </w:trPr>
        <w:tc>
          <w:tcPr>
            <w:tcW w:type="dxa" w:w="4320"/>
            <w:shd w:fill="FFFFFF"/>
            <w:tcMar>
              <w:top w:w="80" w:type="dxa"/>
              <w:start w:w="120" w:type="dxa"/>
              <w:bottom w:w="80" w:type="dxa"/>
              <w:end w:w="120" w:type="dxa"/>
            </w:tcMar>
          </w:tcPr>
          <w:p>
            <w:pPr>
              <w:spacing w:after="0"/>
            </w:pPr>
            <w:r>
              <w:rPr>
                <w:sz w:val="18"/>
              </w:rPr>
              <w:t>Dropped messages / readings</w:t>
            </w:r>
          </w:p>
        </w:tc>
        <w:tc>
          <w:tcPr>
            <w:tcW w:type="dxa" w:w="2448"/>
            <w:tcMar>
              <w:top w:w="80" w:type="dxa"/>
              <w:start w:w="120" w:type="dxa"/>
              <w:bottom w:w="80" w:type="dxa"/>
              <w:end w:w="120" w:type="dxa"/>
            </w:tcMar>
          </w:tcPr>
          <w:p>
            <w:pPr>
              <w:spacing w:after="0"/>
            </w:pPr>
            <w:r>
              <w:rPr>
                <w:sz w:val="18"/>
              </w:rPr>
              <w:t>0 / 0</w:t>
            </w:r>
          </w:p>
        </w:tc>
        <w:tc>
          <w:tcPr>
            <w:tcW w:type="dxa" w:w="1872"/>
            <w:tcMar>
              <w:top w:w="80" w:type="dxa"/>
              <w:start w:w="120" w:type="dxa"/>
              <w:bottom w:w="80" w:type="dxa"/>
              <w:end w:w="120" w:type="dxa"/>
            </w:tcMar>
          </w:tcPr>
          <w:p>
            <w:pPr>
              <w:spacing w:after="0"/>
            </w:pPr>
            <w:r>
              <w:rPr>
                <w:sz w:val="18"/>
              </w:rPr>
              <w:t>Pass</w:t>
            </w:r>
          </w:p>
        </w:tc>
      </w:tr>
      <w:tr>
        <w:trPr>
          <w:trHeight w:hRule="atLeast"/>
        </w:trPr>
        <w:tc>
          <w:tcPr>
            <w:tcW w:type="dxa" w:w="4320"/>
            <w:shd w:fill="F2F4F7"/>
            <w:tcMar>
              <w:top w:w="80" w:type="dxa"/>
              <w:start w:w="120" w:type="dxa"/>
              <w:bottom w:w="80" w:type="dxa"/>
              <w:end w:w="120" w:type="dxa"/>
            </w:tcMar>
          </w:tcPr>
          <w:p>
            <w:pPr>
              <w:spacing w:after="0"/>
            </w:pPr>
            <w:r>
              <w:rPr>
                <w:sz w:val="18"/>
              </w:rPr>
              <w:t>Processing errors</w:t>
            </w:r>
          </w:p>
        </w:tc>
        <w:tc>
          <w:tcPr>
            <w:tcW w:type="dxa" w:w="2448"/>
            <w:tcMar>
              <w:top w:w="80" w:type="dxa"/>
              <w:start w:w="120" w:type="dxa"/>
              <w:bottom w:w="80" w:type="dxa"/>
              <w:end w:w="120" w:type="dxa"/>
            </w:tcMar>
            <w:shd w:fill="F2F4F7"/>
          </w:tcPr>
          <w:p>
            <w:pPr>
              <w:spacing w:after="0"/>
              <w:jc w:val="right"/>
            </w:pPr>
            <w:r>
              <w:rPr>
                <w:sz w:val="18"/>
              </w:rPr>
              <w:t>0</w:t>
            </w:r>
          </w:p>
        </w:tc>
        <w:tc>
          <w:tcPr>
            <w:tcW w:type="dxa" w:w="1872"/>
            <w:tcMar>
              <w:top w:w="80" w:type="dxa"/>
              <w:start w:w="120" w:type="dxa"/>
              <w:bottom w:w="80" w:type="dxa"/>
              <w:end w:w="120" w:type="dxa"/>
            </w:tcMar>
            <w:shd w:fill="F2F4F7"/>
          </w:tcPr>
          <w:p>
            <w:pPr>
              <w:spacing w:after="0"/>
            </w:pPr>
            <w:r>
              <w:rPr>
                <w:sz w:val="18"/>
              </w:rPr>
              <w:t>Pass</w:t>
            </w:r>
          </w:p>
        </w:tc>
      </w:tr>
      <w:tr>
        <w:trPr>
          <w:trHeight w:hRule="atLeast"/>
        </w:trPr>
        <w:tc>
          <w:tcPr>
            <w:tcW w:type="dxa" w:w="4320"/>
            <w:shd w:fill="FFFFFF"/>
            <w:tcMar>
              <w:top w:w="80" w:type="dxa"/>
              <w:start w:w="120" w:type="dxa"/>
              <w:bottom w:w="80" w:type="dxa"/>
              <w:end w:w="120" w:type="dxa"/>
            </w:tcMar>
          </w:tcPr>
          <w:p>
            <w:pPr>
              <w:spacing w:after="0"/>
            </w:pPr>
            <w:r>
              <w:rPr>
                <w:sz w:val="18"/>
              </w:rPr>
              <w:t>Overall completion rate</w:t>
            </w:r>
          </w:p>
        </w:tc>
        <w:tc>
          <w:tcPr>
            <w:tcW w:type="dxa" w:w="2448"/>
            <w:tcMar>
              <w:top w:w="80" w:type="dxa"/>
              <w:start w:w="120" w:type="dxa"/>
              <w:bottom w:w="80" w:type="dxa"/>
              <w:end w:w="120" w:type="dxa"/>
            </w:tcMar>
          </w:tcPr>
          <w:p>
            <w:pPr>
              <w:spacing w:after="0"/>
            </w:pPr>
            <w:r>
              <w:rPr>
                <w:sz w:val="18"/>
              </w:rPr>
              <w:t>100%</w:t>
            </w:r>
          </w:p>
        </w:tc>
        <w:tc>
          <w:tcPr>
            <w:tcW w:type="dxa" w:w="1872"/>
            <w:tcMar>
              <w:top w:w="80" w:type="dxa"/>
              <w:start w:w="120" w:type="dxa"/>
              <w:bottom w:w="80" w:type="dxa"/>
              <w:end w:w="120" w:type="dxa"/>
            </w:tcMar>
          </w:tcPr>
          <w:p>
            <w:pPr>
              <w:spacing w:after="0"/>
            </w:pPr>
            <w:r>
              <w:rPr>
                <w:sz w:val="18"/>
              </w:rPr>
              <w:t>Pass</w:t>
            </w:r>
          </w:p>
        </w:tc>
      </w:tr>
    </w:tbl>
    <w:p>
      <w:pPr>
        <w:spacing w:after="0"/>
      </w:pPr>
    </w:p>
    <w:p>
      <w:pPr>
        <w:pStyle w:val="Heading2"/>
      </w:pPr>
      <w:r>
        <w:t>Latency and throughput</w:t>
      </w:r>
    </w:p>
    <w:tbl>
      <w:tblPr>
        <w:tblW w:type="auto" w:w="0"/>
        <w:jc w:val="center"/>
        <w:tblLayout w:type="fixed"/>
        <w:tblLook w:firstColumn="1" w:firstRow="1" w:lastColumn="0" w:lastRow="0" w:noHBand="0" w:noVBand="1" w:val="04A0"/>
      </w:tblPr>
      <w:tblGrid>
        <w:gridCol w:w="3744"/>
        <w:gridCol w:w="1872"/>
        <w:gridCol w:w="1872"/>
        <w:gridCol w:w="1872"/>
      </w:tblGrid>
      <w:tr>
        <w:trPr>
          <w:tblHeader w:val="true"/>
        </w:trPr>
        <w:tc>
          <w:tcPr>
            <w:tcW w:type="dxa" w:w="2469"/>
            <w:shd w:fill="2E74B5"/>
            <w:tcMar>
              <w:top w:w="80" w:type="dxa"/>
              <w:start w:w="120" w:type="dxa"/>
              <w:bottom w:w="80" w:type="dxa"/>
              <w:end w:w="120" w:type="dxa"/>
            </w:tcMar>
            <w:vAlign w:val="center"/>
          </w:tcPr>
          <w:p>
            <w:pPr>
              <w:spacing w:after="0"/>
            </w:pPr>
            <w:r>
              <w:rPr>
                <w:b/>
                <w:color w:val="FFFFFF"/>
                <w:sz w:val="18"/>
              </w:rPr>
              <w:t>Metric</w:t>
            </w:r>
          </w:p>
        </w:tc>
        <w:tc>
          <w:tcPr>
            <w:tcW w:type="dxa" w:w="2469"/>
            <w:shd w:fill="2E74B5"/>
            <w:tcMar>
              <w:top w:w="80" w:type="dxa"/>
              <w:start w:w="120" w:type="dxa"/>
              <w:bottom w:w="80" w:type="dxa"/>
              <w:end w:w="120" w:type="dxa"/>
            </w:tcMar>
            <w:vAlign w:val="center"/>
          </w:tcPr>
          <w:p>
            <w:pPr>
              <w:spacing w:after="0"/>
            </w:pPr>
            <w:r>
              <w:rPr>
                <w:b/>
                <w:color w:val="FFFFFF"/>
                <w:sz w:val="18"/>
              </w:rPr>
              <w:t>Minimum</w:t>
            </w:r>
          </w:p>
        </w:tc>
        <w:tc>
          <w:tcPr>
            <w:tcW w:type="dxa" w:w="2469"/>
            <w:shd w:fill="2E74B5"/>
            <w:tcMar>
              <w:top w:w="80" w:type="dxa"/>
              <w:start w:w="120" w:type="dxa"/>
              <w:bottom w:w="80" w:type="dxa"/>
              <w:end w:w="120" w:type="dxa"/>
            </w:tcMar>
            <w:vAlign w:val="center"/>
          </w:tcPr>
          <w:p>
            <w:pPr>
              <w:spacing w:after="0"/>
            </w:pPr>
            <w:r>
              <w:rPr>
                <w:b/>
                <w:color w:val="FFFFFF"/>
                <w:sz w:val="18"/>
              </w:rPr>
              <w:t>Average</w:t>
            </w:r>
          </w:p>
        </w:tc>
        <w:tc>
          <w:tcPr>
            <w:tcW w:type="dxa" w:w="2469"/>
            <w:shd w:fill="2E74B5"/>
            <w:tcMar>
              <w:top w:w="80" w:type="dxa"/>
              <w:start w:w="120" w:type="dxa"/>
              <w:bottom w:w="80" w:type="dxa"/>
              <w:end w:w="120" w:type="dxa"/>
            </w:tcMar>
            <w:vAlign w:val="center"/>
          </w:tcPr>
          <w:p>
            <w:pPr>
              <w:spacing w:after="0"/>
            </w:pPr>
            <w:r>
              <w:rPr>
                <w:b/>
                <w:color w:val="FFFFFF"/>
                <w:sz w:val="18"/>
              </w:rPr>
              <w:t>Maximum</w:t>
            </w:r>
          </w:p>
        </w:tc>
      </w:tr>
      <w:tr>
        <w:trPr>
          <w:trHeight w:hRule="atLeast"/>
        </w:trPr>
        <w:tc>
          <w:tcPr>
            <w:tcW w:type="dxa" w:w="3744"/>
            <w:shd w:fill="FFFFFF"/>
            <w:tcMar>
              <w:top w:w="80" w:type="dxa"/>
              <w:start w:w="120" w:type="dxa"/>
              <w:bottom w:w="80" w:type="dxa"/>
              <w:end w:w="120" w:type="dxa"/>
            </w:tcMar>
          </w:tcPr>
          <w:p>
            <w:pPr>
              <w:spacing w:after="0"/>
            </w:pPr>
            <w:r>
              <w:rPr>
                <w:sz w:val="18"/>
              </w:rPr>
              <w:t>Gateway response</w:t>
            </w:r>
          </w:p>
        </w:tc>
        <w:tc>
          <w:tcPr>
            <w:tcW w:type="dxa" w:w="1872"/>
            <w:tcMar>
              <w:top w:w="80" w:type="dxa"/>
              <w:start w:w="120" w:type="dxa"/>
              <w:bottom w:w="80" w:type="dxa"/>
              <w:end w:w="120" w:type="dxa"/>
            </w:tcMar>
          </w:tcPr>
          <w:p>
            <w:pPr>
              <w:spacing w:after="0"/>
            </w:pPr>
            <w:r>
              <w:rPr>
                <w:sz w:val="18"/>
              </w:rPr>
              <w:t>10.56 ms</w:t>
            </w:r>
          </w:p>
        </w:tc>
        <w:tc>
          <w:tcPr>
            <w:tcW w:type="dxa" w:w="1872"/>
            <w:tcMar>
              <w:top w:w="80" w:type="dxa"/>
              <w:start w:w="120" w:type="dxa"/>
              <w:bottom w:w="80" w:type="dxa"/>
              <w:end w:w="120" w:type="dxa"/>
            </w:tcMar>
          </w:tcPr>
          <w:p>
            <w:pPr>
              <w:spacing w:after="0"/>
            </w:pPr>
            <w:r>
              <w:rPr>
                <w:sz w:val="18"/>
              </w:rPr>
              <w:t>13.04 ms</w:t>
            </w:r>
          </w:p>
        </w:tc>
        <w:tc>
          <w:tcPr>
            <w:tcW w:type="dxa" w:w="1872"/>
            <w:tcMar>
              <w:top w:w="80" w:type="dxa"/>
              <w:start w:w="120" w:type="dxa"/>
              <w:bottom w:w="80" w:type="dxa"/>
              <w:end w:w="120" w:type="dxa"/>
            </w:tcMar>
          </w:tcPr>
          <w:p>
            <w:pPr>
              <w:spacing w:after="0"/>
            </w:pPr>
            <w:r>
              <w:rPr>
                <w:sz w:val="18"/>
              </w:rPr>
              <w:t>17.30 ms</w:t>
            </w:r>
          </w:p>
        </w:tc>
      </w:tr>
      <w:tr>
        <w:trPr>
          <w:trHeight w:hRule="atLeast"/>
        </w:trPr>
        <w:tc>
          <w:tcPr>
            <w:tcW w:type="dxa" w:w="3744"/>
            <w:shd w:fill="F2F4F7"/>
            <w:tcMar>
              <w:top w:w="80" w:type="dxa"/>
              <w:start w:w="120" w:type="dxa"/>
              <w:bottom w:w="80" w:type="dxa"/>
              <w:end w:w="120" w:type="dxa"/>
            </w:tcMar>
          </w:tcPr>
          <w:p>
            <w:pPr>
              <w:spacing w:after="0"/>
            </w:pPr>
            <w:r>
              <w:rPr>
                <w:sz w:val="18"/>
              </w:rPr>
              <w:t>Raw database insert</w:t>
            </w:r>
          </w:p>
        </w:tc>
        <w:tc>
          <w:tcPr>
            <w:tcW w:type="dxa" w:w="1872"/>
            <w:tcMar>
              <w:top w:w="80" w:type="dxa"/>
              <w:start w:w="120" w:type="dxa"/>
              <w:bottom w:w="80" w:type="dxa"/>
              <w:end w:w="120" w:type="dxa"/>
            </w:tcMar>
            <w:shd w:fill="F2F4F7"/>
          </w:tcPr>
          <w:p>
            <w:pPr>
              <w:spacing w:after="0"/>
            </w:pPr>
            <w:r>
              <w:rPr>
                <w:sz w:val="18"/>
              </w:rPr>
              <w:t>7.08 ms</w:t>
            </w:r>
          </w:p>
        </w:tc>
        <w:tc>
          <w:tcPr>
            <w:tcW w:type="dxa" w:w="1872"/>
            <w:tcMar>
              <w:top w:w="80" w:type="dxa"/>
              <w:start w:w="120" w:type="dxa"/>
              <w:bottom w:w="80" w:type="dxa"/>
              <w:end w:w="120" w:type="dxa"/>
            </w:tcMar>
            <w:shd w:fill="F2F4F7"/>
          </w:tcPr>
          <w:p>
            <w:pPr>
              <w:spacing w:after="0"/>
            </w:pPr>
            <w:r>
              <w:rPr>
                <w:sz w:val="18"/>
              </w:rPr>
              <w:t>10.02 ms</w:t>
            </w:r>
          </w:p>
        </w:tc>
        <w:tc>
          <w:tcPr>
            <w:tcW w:type="dxa" w:w="1872"/>
            <w:tcMar>
              <w:top w:w="80" w:type="dxa"/>
              <w:start w:w="120" w:type="dxa"/>
              <w:bottom w:w="80" w:type="dxa"/>
              <w:end w:w="120" w:type="dxa"/>
            </w:tcMar>
            <w:shd w:fill="F2F4F7"/>
          </w:tcPr>
          <w:p>
            <w:pPr>
              <w:spacing w:after="0"/>
            </w:pPr>
            <w:r>
              <w:rPr>
                <w:sz w:val="18"/>
              </w:rPr>
              <w:t>18.92 ms</w:t>
            </w:r>
          </w:p>
        </w:tc>
      </w:tr>
      <w:tr>
        <w:trPr>
          <w:trHeight w:hRule="atLeast"/>
        </w:trPr>
        <w:tc>
          <w:tcPr>
            <w:tcW w:type="dxa" w:w="3744"/>
            <w:shd w:fill="FFFFFF"/>
            <w:tcMar>
              <w:top w:w="80" w:type="dxa"/>
              <w:start w:w="120" w:type="dxa"/>
              <w:bottom w:w="80" w:type="dxa"/>
              <w:end w:w="120" w:type="dxa"/>
            </w:tcMar>
          </w:tcPr>
          <w:p>
            <w:pPr>
              <w:spacing w:after="0"/>
            </w:pPr>
            <w:r>
              <w:rPr>
                <w:sz w:val="18"/>
              </w:rPr>
              <w:t>Semantic queue-to-persist</w:t>
            </w:r>
          </w:p>
        </w:tc>
        <w:tc>
          <w:tcPr>
            <w:tcW w:type="dxa" w:w="1872"/>
            <w:tcMar>
              <w:top w:w="80" w:type="dxa"/>
              <w:start w:w="120" w:type="dxa"/>
              <w:bottom w:w="80" w:type="dxa"/>
              <w:end w:w="120" w:type="dxa"/>
            </w:tcMar>
          </w:tcPr>
          <w:p>
            <w:pPr>
              <w:spacing w:after="0"/>
            </w:pPr>
            <w:r>
              <w:rPr>
                <w:sz w:val="18"/>
              </w:rPr>
              <w:t>2.22 s</w:t>
            </w:r>
          </w:p>
        </w:tc>
        <w:tc>
          <w:tcPr>
            <w:tcW w:type="dxa" w:w="1872"/>
            <w:tcMar>
              <w:top w:w="80" w:type="dxa"/>
              <w:start w:w="120" w:type="dxa"/>
              <w:bottom w:w="80" w:type="dxa"/>
              <w:end w:w="120" w:type="dxa"/>
            </w:tcMar>
          </w:tcPr>
          <w:p>
            <w:pPr>
              <w:spacing w:after="0"/>
            </w:pPr>
            <w:r>
              <w:rPr>
                <w:sz w:val="18"/>
              </w:rPr>
              <w:t>112.86 s</w:t>
            </w:r>
          </w:p>
        </w:tc>
        <w:tc>
          <w:tcPr>
            <w:tcW w:type="dxa" w:w="1872"/>
            <w:tcMar>
              <w:top w:w="80" w:type="dxa"/>
              <w:start w:w="120" w:type="dxa"/>
              <w:bottom w:w="80" w:type="dxa"/>
              <w:end w:w="120" w:type="dxa"/>
            </w:tcMar>
          </w:tcPr>
          <w:p>
            <w:pPr>
              <w:spacing w:after="0"/>
            </w:pPr>
            <w:r>
              <w:rPr>
                <w:sz w:val="18"/>
              </w:rPr>
              <w:t>222.26 s</w:t>
            </w:r>
          </w:p>
        </w:tc>
      </w:tr>
      <w:tr>
        <w:trPr>
          <w:trHeight w:hRule="atLeast"/>
        </w:trPr>
        <w:tc>
          <w:tcPr>
            <w:tcW w:type="dxa" w:w="3744"/>
            <w:shd w:fill="F2F4F7"/>
            <w:tcMar>
              <w:top w:w="80" w:type="dxa"/>
              <w:start w:w="120" w:type="dxa"/>
              <w:bottom w:w="80" w:type="dxa"/>
              <w:end w:w="120" w:type="dxa"/>
            </w:tcMar>
          </w:tcPr>
          <w:p>
            <w:pPr>
              <w:spacing w:after="0"/>
            </w:pPr>
            <w:r>
              <w:rPr>
                <w:sz w:val="18"/>
              </w:rPr>
              <w:t>Raw-to-IEEE completion</w:t>
            </w:r>
          </w:p>
        </w:tc>
        <w:tc>
          <w:tcPr>
            <w:tcW w:type="dxa" w:w="1872"/>
            <w:tcMar>
              <w:top w:w="80" w:type="dxa"/>
              <w:start w:w="120" w:type="dxa"/>
              <w:bottom w:w="80" w:type="dxa"/>
              <w:end w:w="120" w:type="dxa"/>
            </w:tcMar>
            <w:shd w:fill="F2F4F7"/>
          </w:tcPr>
          <w:p>
            <w:pPr>
              <w:spacing w:after="0"/>
            </w:pPr>
            <w:r>
              <w:rPr>
                <w:sz w:val="18"/>
              </w:rPr>
              <w:t>2.24 s</w:t>
            </w:r>
          </w:p>
        </w:tc>
        <w:tc>
          <w:tcPr>
            <w:tcW w:type="dxa" w:w="1872"/>
            <w:tcMar>
              <w:top w:w="80" w:type="dxa"/>
              <w:start w:w="120" w:type="dxa"/>
              <w:bottom w:w="80" w:type="dxa"/>
              <w:end w:w="120" w:type="dxa"/>
            </w:tcMar>
            <w:shd w:fill="F2F4F7"/>
          </w:tcPr>
          <w:p>
            <w:pPr>
              <w:spacing w:after="0"/>
            </w:pPr>
            <w:r>
              <w:rPr>
                <w:sz w:val="18"/>
              </w:rPr>
              <w:t>112.87 s</w:t>
            </w:r>
          </w:p>
        </w:tc>
        <w:tc>
          <w:tcPr>
            <w:tcW w:type="dxa" w:w="1872"/>
            <w:tcMar>
              <w:top w:w="80" w:type="dxa"/>
              <w:start w:w="120" w:type="dxa"/>
              <w:bottom w:w="80" w:type="dxa"/>
              <w:end w:w="120" w:type="dxa"/>
            </w:tcMar>
            <w:shd w:fill="F2F4F7"/>
          </w:tcPr>
          <w:p>
            <w:pPr>
              <w:spacing w:after="0"/>
            </w:pPr>
            <w:r>
              <w:rPr>
                <w:sz w:val="18"/>
              </w:rPr>
              <w:t>222.26 s</w:t>
            </w:r>
          </w:p>
        </w:tc>
      </w:tr>
    </w:tbl>
    <w:p>
      <w:pPr>
        <w:spacing w:after="0"/>
      </w:pPr>
    </w:p>
    <w:p>
      <w:pPr>
        <w:pStyle w:val="ListBullet"/>
        <w:spacing w:after="60"/>
      </w:pPr>
      <w:r>
        <w:t>Gateway input burst: approximately 7.143 telemetry messages per second.</w:t>
      </w:r>
    </w:p>
    <w:p>
      <w:pPr>
        <w:pStyle w:val="ListBullet"/>
        <w:spacing w:after="60"/>
      </w:pPr>
      <w:r>
        <w:t>Observed end-to-end telemetry completion: 0.133 messages per second.</w:t>
      </w:r>
    </w:p>
    <w:p>
      <w:pPr>
        <w:pStyle w:val="ListBullet"/>
        <w:spacing w:after="60"/>
      </w:pPr>
      <w:r>
        <w:t>Observed semantic/IEEE reading completion: 0.531 readings per second.</w:t>
      </w:r>
    </w:p>
    <w:p>
      <w:pPr>
        <w:pStyle w:val="ListBullet"/>
        <w:spacing w:after="60"/>
      </w:pPr>
      <w:r>
        <w:t>Measured workflow uptime: 233.4 seconds, including DSO, dispatch, dataspace, and evidence collection.</w:t>
      </w:r>
    </w:p>
    <w:p>
      <w:pPr>
        <w:pStyle w:val="ListBullet"/>
        <w:spacing w:after="60"/>
      </w:pPr>
      <w:r>
        <w:t>Semantic latency includes queue waiting behind serial local model inference; it is not pure model execution time.</w:t>
      </w:r>
    </w:p>
    <w:p>
      <w:pPr>
        <w:pStyle w:val="Heading2"/>
      </w:pPr>
      <w:r>
        <w:t>Semantic mapping outcomes</w:t>
      </w:r>
    </w:p>
    <w:p>
      <w:r>
        <w:drawing>
          <wp:inline xmlns:a="http://schemas.openxmlformats.org/drawingml/2006/main" xmlns:pic="http://schemas.openxmlformats.org/drawingml/2006/picture">
            <wp:extent cx="5989320" cy="1876654"/>
            <wp:docPr id="1" name="Picture 1"/>
            <wp:cNvGraphicFramePr>
              <a:graphicFrameLocks noChangeAspect="1"/>
            </wp:cNvGraphicFramePr>
            <a:graphic>
              <a:graphicData uri="http://schemas.openxmlformats.org/drawingml/2006/picture">
                <pic:pic>
                  <pic:nvPicPr>
                    <pic:cNvPr id="0" name="multi-household-semantic-outcomes.png"/>
                    <pic:cNvPicPr/>
                  </pic:nvPicPr>
                  <pic:blipFill>
                    <a:blip r:embed="rId11"/>
                    <a:stretch>
                      <a:fillRect/>
                    </a:stretch>
                  </pic:blipFill>
                  <pic:spPr>
                    <a:xfrm>
                      <a:off x="0" y="0"/>
                      <a:ext cx="5989320" cy="1876654"/>
                    </a:xfrm>
                    <a:prstGeom prst="rect"/>
                  </pic:spPr>
                </pic:pic>
              </a:graphicData>
            </a:graphic>
          </wp:inline>
        </w:drawing>
      </w:r>
    </w:p>
    <w:p>
      <w:pPr>
        <w:jc w:val="center"/>
      </w:pPr>
      <w:r>
        <w:rPr>
          <w:i/>
          <w:sz w:val="17"/>
        </w:rPr>
        <w:t>Figure 1. Final-run semantic outcomes across 120 readings.</w:t>
      </w:r>
    </w:p>
    <w:tbl>
      <w:tblPr>
        <w:tblW w:type="auto" w:w="0"/>
        <w:jc w:val="center"/>
        <w:tblLayout w:type="fixed"/>
        <w:tblLook w:firstColumn="1" w:firstRow="1" w:lastColumn="0" w:lastRow="0" w:noHBand="0" w:noVBand="1" w:val="04A0"/>
      </w:tblPr>
      <w:tblGrid>
        <w:gridCol w:w="3456"/>
        <w:gridCol w:w="2016"/>
        <w:gridCol w:w="1584"/>
        <w:gridCol w:w="1584"/>
      </w:tblGrid>
      <w:tr>
        <w:trPr>
          <w:tblHeader w:val="true"/>
        </w:trPr>
        <w:tc>
          <w:tcPr>
            <w:tcW w:type="dxa" w:w="2469"/>
            <w:shd w:fill="2E74B5"/>
            <w:tcMar>
              <w:top w:w="80" w:type="dxa"/>
              <w:start w:w="120" w:type="dxa"/>
              <w:bottom w:w="80" w:type="dxa"/>
              <w:end w:w="120" w:type="dxa"/>
            </w:tcMar>
            <w:vAlign w:val="center"/>
          </w:tcPr>
          <w:p>
            <w:pPr>
              <w:spacing w:after="0"/>
            </w:pPr>
            <w:r>
              <w:rPr>
                <w:b/>
                <w:color w:val="FFFFFF"/>
                <w:sz w:val="18"/>
              </w:rPr>
              <w:t>Source</w:t>
            </w:r>
          </w:p>
        </w:tc>
        <w:tc>
          <w:tcPr>
            <w:tcW w:type="dxa" w:w="2469"/>
            <w:shd w:fill="2E74B5"/>
            <w:tcMar>
              <w:top w:w="80" w:type="dxa"/>
              <w:start w:w="120" w:type="dxa"/>
              <w:bottom w:w="80" w:type="dxa"/>
              <w:end w:w="120" w:type="dxa"/>
            </w:tcMar>
            <w:vAlign w:val="center"/>
          </w:tcPr>
          <w:p>
            <w:pPr>
              <w:spacing w:after="0"/>
            </w:pPr>
            <w:r>
              <w:rPr>
                <w:b/>
                <w:color w:val="FFFFFF"/>
                <w:sz w:val="18"/>
              </w:rPr>
              <w:t>Confidence</w:t>
            </w:r>
          </w:p>
        </w:tc>
        <w:tc>
          <w:tcPr>
            <w:tcW w:type="dxa" w:w="2469"/>
            <w:shd w:fill="2E74B5"/>
            <w:tcMar>
              <w:top w:w="80" w:type="dxa"/>
              <w:start w:w="120" w:type="dxa"/>
              <w:bottom w:w="80" w:type="dxa"/>
              <w:end w:w="120" w:type="dxa"/>
            </w:tcMar>
            <w:vAlign w:val="center"/>
          </w:tcPr>
          <w:p>
            <w:pPr>
              <w:spacing w:after="0"/>
            </w:pPr>
            <w:r>
              <w:rPr>
                <w:b/>
                <w:color w:val="FFFFFF"/>
                <w:sz w:val="18"/>
              </w:rPr>
              <w:t>Count</w:t>
            </w:r>
          </w:p>
        </w:tc>
        <w:tc>
          <w:tcPr>
            <w:tcW w:type="dxa" w:w="2469"/>
            <w:shd w:fill="2E74B5"/>
            <w:tcMar>
              <w:top w:w="80" w:type="dxa"/>
              <w:start w:w="120" w:type="dxa"/>
              <w:bottom w:w="80" w:type="dxa"/>
              <w:end w:w="120" w:type="dxa"/>
            </w:tcMar>
            <w:vAlign w:val="center"/>
          </w:tcPr>
          <w:p>
            <w:pPr>
              <w:spacing w:after="0"/>
            </w:pPr>
            <w:r>
              <w:rPr>
                <w:b/>
                <w:color w:val="FFFFFF"/>
                <w:sz w:val="18"/>
              </w:rPr>
              <w:t>Share</w:t>
            </w:r>
          </w:p>
        </w:tc>
      </w:tr>
      <w:tr>
        <w:trPr>
          <w:trHeight w:hRule="atLeast"/>
        </w:trPr>
        <w:tc>
          <w:tcPr>
            <w:tcW w:type="dxa" w:w="3456"/>
            <w:shd w:fill="FFFFFF"/>
            <w:tcMar>
              <w:top w:w="80" w:type="dxa"/>
              <w:start w:w="120" w:type="dxa"/>
              <w:bottom w:w="80" w:type="dxa"/>
              <w:end w:w="120" w:type="dxa"/>
            </w:tcMar>
          </w:tcPr>
          <w:p>
            <w:pPr>
              <w:spacing w:after="0"/>
            </w:pPr>
            <w:r>
              <w:rPr>
                <w:sz w:val="18"/>
              </w:rPr>
              <w:t>SLM primary</w:t>
            </w:r>
          </w:p>
        </w:tc>
        <w:tc>
          <w:tcPr>
            <w:tcW w:type="dxa" w:w="2016"/>
            <w:tcMar>
              <w:top w:w="80" w:type="dxa"/>
              <w:start w:w="120" w:type="dxa"/>
              <w:bottom w:w="80" w:type="dxa"/>
              <w:end w:w="120" w:type="dxa"/>
            </w:tcMar>
          </w:tcPr>
          <w:p>
            <w:pPr>
              <w:spacing w:after="0"/>
            </w:pPr>
            <w:r>
              <w:rPr>
                <w:sz w:val="18"/>
              </w:rPr>
              <w:t>High</w:t>
            </w:r>
          </w:p>
        </w:tc>
        <w:tc>
          <w:tcPr>
            <w:tcW w:type="dxa" w:w="1584"/>
            <w:tcMar>
              <w:top w:w="80" w:type="dxa"/>
              <w:start w:w="120" w:type="dxa"/>
              <w:bottom w:w="80" w:type="dxa"/>
              <w:end w:w="120" w:type="dxa"/>
            </w:tcMar>
          </w:tcPr>
          <w:p>
            <w:pPr>
              <w:spacing w:after="0"/>
              <w:jc w:val="right"/>
            </w:pPr>
            <w:r>
              <w:rPr>
                <w:sz w:val="18"/>
              </w:rPr>
              <w:t>53</w:t>
            </w:r>
          </w:p>
        </w:tc>
        <w:tc>
          <w:tcPr>
            <w:tcW w:type="dxa" w:w="1584"/>
            <w:tcMar>
              <w:top w:w="80" w:type="dxa"/>
              <w:start w:w="120" w:type="dxa"/>
              <w:bottom w:w="80" w:type="dxa"/>
              <w:end w:w="120" w:type="dxa"/>
            </w:tcMar>
          </w:tcPr>
          <w:p>
            <w:pPr>
              <w:spacing w:after="0"/>
            </w:pPr>
            <w:r>
              <w:rPr>
                <w:sz w:val="18"/>
              </w:rPr>
              <w:t>44.2%</w:t>
            </w:r>
          </w:p>
        </w:tc>
      </w:tr>
      <w:tr>
        <w:trPr>
          <w:trHeight w:hRule="atLeast"/>
        </w:trPr>
        <w:tc>
          <w:tcPr>
            <w:tcW w:type="dxa" w:w="3456"/>
            <w:shd w:fill="F2F4F7"/>
            <w:tcMar>
              <w:top w:w="80" w:type="dxa"/>
              <w:start w:w="120" w:type="dxa"/>
              <w:bottom w:w="80" w:type="dxa"/>
              <w:end w:w="120" w:type="dxa"/>
            </w:tcMar>
          </w:tcPr>
          <w:p>
            <w:pPr>
              <w:spacing w:after="0"/>
            </w:pPr>
            <w:r>
              <w:rPr>
                <w:sz w:val="18"/>
              </w:rPr>
              <w:t>SLM primary</w:t>
            </w:r>
          </w:p>
        </w:tc>
        <w:tc>
          <w:tcPr>
            <w:tcW w:type="dxa" w:w="2016"/>
            <w:tcMar>
              <w:top w:w="80" w:type="dxa"/>
              <w:start w:w="120" w:type="dxa"/>
              <w:bottom w:w="80" w:type="dxa"/>
              <w:end w:w="120" w:type="dxa"/>
            </w:tcMar>
            <w:shd w:fill="F2F4F7"/>
          </w:tcPr>
          <w:p>
            <w:pPr>
              <w:spacing w:after="0"/>
            </w:pPr>
            <w:r>
              <w:rPr>
                <w:sz w:val="18"/>
              </w:rPr>
              <w:t>Medium</w:t>
            </w:r>
          </w:p>
        </w:tc>
        <w:tc>
          <w:tcPr>
            <w:tcW w:type="dxa" w:w="1584"/>
            <w:tcMar>
              <w:top w:w="80" w:type="dxa"/>
              <w:start w:w="120" w:type="dxa"/>
              <w:bottom w:w="80" w:type="dxa"/>
              <w:end w:w="120" w:type="dxa"/>
            </w:tcMar>
            <w:shd w:fill="F2F4F7"/>
          </w:tcPr>
          <w:p>
            <w:pPr>
              <w:spacing w:after="0"/>
              <w:jc w:val="right"/>
            </w:pPr>
            <w:r>
              <w:rPr>
                <w:sz w:val="18"/>
              </w:rPr>
              <w:t>27</w:t>
            </w:r>
          </w:p>
        </w:tc>
        <w:tc>
          <w:tcPr>
            <w:tcW w:type="dxa" w:w="1584"/>
            <w:tcMar>
              <w:top w:w="80" w:type="dxa"/>
              <w:start w:w="120" w:type="dxa"/>
              <w:bottom w:w="80" w:type="dxa"/>
              <w:end w:w="120" w:type="dxa"/>
            </w:tcMar>
            <w:shd w:fill="F2F4F7"/>
          </w:tcPr>
          <w:p>
            <w:pPr>
              <w:spacing w:after="0"/>
            </w:pPr>
            <w:r>
              <w:rPr>
                <w:sz w:val="18"/>
              </w:rPr>
              <w:t>22.5%</w:t>
            </w:r>
          </w:p>
        </w:tc>
      </w:tr>
      <w:tr>
        <w:trPr>
          <w:trHeight w:hRule="atLeast"/>
        </w:trPr>
        <w:tc>
          <w:tcPr>
            <w:tcW w:type="dxa" w:w="3456"/>
            <w:shd w:fill="FFFFFF"/>
            <w:tcMar>
              <w:top w:w="80" w:type="dxa"/>
              <w:start w:w="120" w:type="dxa"/>
              <w:bottom w:w="80" w:type="dxa"/>
              <w:end w:w="120" w:type="dxa"/>
            </w:tcMar>
          </w:tcPr>
          <w:p>
            <w:pPr>
              <w:spacing w:after="0"/>
            </w:pPr>
            <w:r>
              <w:rPr>
                <w:sz w:val="18"/>
              </w:rPr>
              <w:t>Deterministic fallback</w:t>
            </w:r>
          </w:p>
        </w:tc>
        <w:tc>
          <w:tcPr>
            <w:tcW w:type="dxa" w:w="2016"/>
            <w:tcMar>
              <w:top w:w="80" w:type="dxa"/>
              <w:start w:w="120" w:type="dxa"/>
              <w:bottom w:w="80" w:type="dxa"/>
              <w:end w:w="120" w:type="dxa"/>
            </w:tcMar>
          </w:tcPr>
          <w:p>
            <w:pPr>
              <w:spacing w:after="0"/>
            </w:pPr>
            <w:r>
              <w:rPr>
                <w:sz w:val="18"/>
              </w:rPr>
              <w:t>High</w:t>
            </w:r>
          </w:p>
        </w:tc>
        <w:tc>
          <w:tcPr>
            <w:tcW w:type="dxa" w:w="1584"/>
            <w:tcMar>
              <w:top w:w="80" w:type="dxa"/>
              <w:start w:w="120" w:type="dxa"/>
              <w:bottom w:w="80" w:type="dxa"/>
              <w:end w:w="120" w:type="dxa"/>
            </w:tcMar>
          </w:tcPr>
          <w:p>
            <w:pPr>
              <w:spacing w:after="0"/>
              <w:jc w:val="right"/>
            </w:pPr>
            <w:r>
              <w:rPr>
                <w:sz w:val="18"/>
              </w:rPr>
              <w:t>10</w:t>
            </w:r>
          </w:p>
        </w:tc>
        <w:tc>
          <w:tcPr>
            <w:tcW w:type="dxa" w:w="1584"/>
            <w:tcMar>
              <w:top w:w="80" w:type="dxa"/>
              <w:start w:w="120" w:type="dxa"/>
              <w:bottom w:w="80" w:type="dxa"/>
              <w:end w:w="120" w:type="dxa"/>
            </w:tcMar>
          </w:tcPr>
          <w:p>
            <w:pPr>
              <w:spacing w:after="0"/>
            </w:pPr>
            <w:r>
              <w:rPr>
                <w:sz w:val="18"/>
              </w:rPr>
              <w:t>8.3%</w:t>
            </w:r>
          </w:p>
        </w:tc>
      </w:tr>
      <w:tr>
        <w:trPr>
          <w:trHeight w:hRule="atLeast"/>
        </w:trPr>
        <w:tc>
          <w:tcPr>
            <w:tcW w:type="dxa" w:w="3456"/>
            <w:shd w:fill="F2F4F7"/>
            <w:tcMar>
              <w:top w:w="80" w:type="dxa"/>
              <w:start w:w="120" w:type="dxa"/>
              <w:bottom w:w="80" w:type="dxa"/>
              <w:end w:w="120" w:type="dxa"/>
            </w:tcMar>
          </w:tcPr>
          <w:p>
            <w:pPr>
              <w:spacing w:after="0"/>
            </w:pPr>
            <w:r>
              <w:rPr>
                <w:sz w:val="18"/>
              </w:rPr>
              <w:t>Safely unmapped</w:t>
            </w:r>
          </w:p>
        </w:tc>
        <w:tc>
          <w:tcPr>
            <w:tcW w:type="dxa" w:w="2016"/>
            <w:tcMar>
              <w:top w:w="80" w:type="dxa"/>
              <w:start w:w="120" w:type="dxa"/>
              <w:bottom w:w="80" w:type="dxa"/>
              <w:end w:w="120" w:type="dxa"/>
            </w:tcMar>
            <w:shd w:fill="F2F4F7"/>
          </w:tcPr>
          <w:p>
            <w:pPr>
              <w:spacing w:after="0"/>
            </w:pPr>
            <w:r>
              <w:rPr>
                <w:sz w:val="18"/>
              </w:rPr>
              <w:t>Low</w:t>
            </w:r>
          </w:p>
        </w:tc>
        <w:tc>
          <w:tcPr>
            <w:tcW w:type="dxa" w:w="1584"/>
            <w:tcMar>
              <w:top w:w="80" w:type="dxa"/>
              <w:start w:w="120" w:type="dxa"/>
              <w:bottom w:w="80" w:type="dxa"/>
              <w:end w:w="120" w:type="dxa"/>
            </w:tcMar>
            <w:shd w:fill="F2F4F7"/>
          </w:tcPr>
          <w:p>
            <w:pPr>
              <w:spacing w:after="0"/>
              <w:jc w:val="right"/>
            </w:pPr>
            <w:r>
              <w:rPr>
                <w:sz w:val="18"/>
              </w:rPr>
              <w:t>30</w:t>
            </w:r>
          </w:p>
        </w:tc>
        <w:tc>
          <w:tcPr>
            <w:tcW w:type="dxa" w:w="1584"/>
            <w:tcMar>
              <w:top w:w="80" w:type="dxa"/>
              <w:start w:w="120" w:type="dxa"/>
              <w:bottom w:w="80" w:type="dxa"/>
              <w:end w:w="120" w:type="dxa"/>
            </w:tcMar>
            <w:shd w:fill="F2F4F7"/>
          </w:tcPr>
          <w:p>
            <w:pPr>
              <w:spacing w:after="0"/>
            </w:pPr>
            <w:r>
              <w:rPr>
                <w:sz w:val="18"/>
              </w:rPr>
              <w:t>25.0%</w:t>
            </w:r>
          </w:p>
        </w:tc>
      </w:tr>
    </w:tbl>
    <w:p>
      <w:pPr>
        <w:spacing w:after="0"/>
      </w:pPr>
    </w:p>
    <w:p>
      <w:pPr>
        <w:pStyle w:val="Heading2"/>
      </w:pPr>
      <w:r>
        <w:t>Database and workflow evidence</w:t>
      </w:r>
    </w:p>
    <w:tbl>
      <w:tblPr>
        <w:tblW w:type="auto" w:w="0"/>
        <w:jc w:val="center"/>
        <w:tblLayout w:type="fixed"/>
        <w:tblLook w:firstColumn="1" w:firstRow="1" w:lastColumn="0" w:lastRow="0" w:noHBand="0" w:noVBand="1" w:val="04A0"/>
      </w:tblPr>
      <w:tblGrid>
        <w:gridCol w:w="3744"/>
        <w:gridCol w:w="5760"/>
      </w:tblGrid>
      <w:tr>
        <w:trPr>
          <w:tblHeader w:val="true"/>
        </w:trPr>
        <w:tc>
          <w:tcPr>
            <w:tcW w:type="dxa" w:w="4939"/>
            <w:shd w:fill="2E74B5"/>
            <w:tcMar>
              <w:top w:w="80" w:type="dxa"/>
              <w:start w:w="120" w:type="dxa"/>
              <w:bottom w:w="80" w:type="dxa"/>
              <w:end w:w="120" w:type="dxa"/>
            </w:tcMar>
            <w:vAlign w:val="center"/>
          </w:tcPr>
          <w:p>
            <w:pPr>
              <w:spacing w:after="0"/>
            </w:pPr>
            <w:r>
              <w:rPr>
                <w:b/>
                <w:color w:val="FFFFFF"/>
                <w:sz w:val="18"/>
              </w:rPr>
              <w:t>Evidence area</w:t>
            </w:r>
          </w:p>
        </w:tc>
        <w:tc>
          <w:tcPr>
            <w:tcW w:type="dxa" w:w="4939"/>
            <w:shd w:fill="2E74B5"/>
            <w:tcMar>
              <w:top w:w="80" w:type="dxa"/>
              <w:start w:w="120" w:type="dxa"/>
              <w:bottom w:w="80" w:type="dxa"/>
              <w:end w:w="120" w:type="dxa"/>
            </w:tcMar>
            <w:vAlign w:val="center"/>
          </w:tcPr>
          <w:p>
            <w:pPr>
              <w:spacing w:after="0"/>
            </w:pPr>
            <w:r>
              <w:rPr>
                <w:b/>
                <w:color w:val="FFFFFF"/>
                <w:sz w:val="18"/>
              </w:rPr>
              <w:t>Measured result</w:t>
            </w:r>
          </w:p>
        </w:tc>
      </w:tr>
      <w:tr>
        <w:trPr>
          <w:trHeight w:hRule="atLeast"/>
        </w:trPr>
        <w:tc>
          <w:tcPr>
            <w:tcW w:type="dxa" w:w="3744"/>
            <w:shd w:fill="FFFFFF"/>
            <w:tcMar>
              <w:top w:w="80" w:type="dxa"/>
              <w:start w:w="120" w:type="dxa"/>
              <w:bottom w:w="80" w:type="dxa"/>
              <w:end w:w="120" w:type="dxa"/>
            </w:tcMar>
          </w:tcPr>
          <w:p>
            <w:pPr>
              <w:spacing w:after="0"/>
            </w:pPr>
            <w:r>
              <w:rPr>
                <w:sz w:val="18"/>
              </w:rPr>
              <w:t>Security gateway audit</w:t>
            </w:r>
          </w:p>
        </w:tc>
        <w:tc>
          <w:tcPr>
            <w:tcW w:type="dxa" w:w="5760"/>
            <w:tcMar>
              <w:top w:w="80" w:type="dxa"/>
              <w:start w:w="120" w:type="dxa"/>
              <w:bottom w:w="80" w:type="dxa"/>
              <w:end w:w="120" w:type="dxa"/>
            </w:tcMar>
          </w:tcPr>
          <w:p>
            <w:pPr>
              <w:spacing w:after="0"/>
            </w:pPr>
            <w:r>
              <w:rPr>
                <w:sz w:val="18"/>
              </w:rPr>
              <w:t>35 run-specific rows</w:t>
            </w:r>
          </w:p>
        </w:tc>
      </w:tr>
      <w:tr>
        <w:trPr>
          <w:trHeight w:hRule="atLeast"/>
        </w:trPr>
        <w:tc>
          <w:tcPr>
            <w:tcW w:type="dxa" w:w="3744"/>
            <w:shd w:fill="F2F4F7"/>
            <w:tcMar>
              <w:top w:w="80" w:type="dxa"/>
              <w:start w:w="120" w:type="dxa"/>
              <w:bottom w:w="80" w:type="dxa"/>
              <w:end w:w="120" w:type="dxa"/>
            </w:tcMar>
          </w:tcPr>
          <w:p>
            <w:pPr>
              <w:spacing w:after="0"/>
            </w:pPr>
            <w:r>
              <w:rPr>
                <w:sz w:val="18"/>
              </w:rPr>
              <w:t>Dispatch command</w:t>
            </w:r>
          </w:p>
        </w:tc>
        <w:tc>
          <w:tcPr>
            <w:tcW w:type="dxa" w:w="5760"/>
            <w:tcMar>
              <w:top w:w="80" w:type="dxa"/>
              <w:start w:w="120" w:type="dxa"/>
              <w:bottom w:w="80" w:type="dxa"/>
              <w:end w:w="120" w:type="dxa"/>
            </w:tcMar>
            <w:shd w:fill="F2F4F7"/>
          </w:tcPr>
          <w:p>
            <w:pPr>
              <w:spacing w:after="0"/>
            </w:pPr>
            <w:r>
              <w:rPr>
                <w:sz w:val="18"/>
              </w:rPr>
              <w:t>1 row; proposal 89</w:t>
            </w:r>
          </w:p>
        </w:tc>
      </w:tr>
      <w:tr>
        <w:trPr>
          <w:trHeight w:hRule="atLeast"/>
        </w:trPr>
        <w:tc>
          <w:tcPr>
            <w:tcW w:type="dxa" w:w="3744"/>
            <w:shd w:fill="FFFFFF"/>
            <w:tcMar>
              <w:top w:w="80" w:type="dxa"/>
              <w:start w:w="120" w:type="dxa"/>
              <w:bottom w:w="80" w:type="dxa"/>
              <w:end w:w="120" w:type="dxa"/>
            </w:tcMar>
          </w:tcPr>
          <w:p>
            <w:pPr>
              <w:spacing w:after="0"/>
            </w:pPr>
            <w:r>
              <w:rPr>
                <w:sz w:val="18"/>
              </w:rPr>
              <w:t>Approval audit</w:t>
            </w:r>
          </w:p>
        </w:tc>
        <w:tc>
          <w:tcPr>
            <w:tcW w:type="dxa" w:w="5760"/>
            <w:tcMar>
              <w:top w:w="80" w:type="dxa"/>
              <w:start w:w="120" w:type="dxa"/>
              <w:bottom w:w="80" w:type="dxa"/>
              <w:end w:w="120" w:type="dxa"/>
            </w:tcMar>
          </w:tcPr>
          <w:p>
            <w:pPr>
              <w:spacing w:after="0"/>
            </w:pPr>
            <w:r>
              <w:rPr>
                <w:sz w:val="18"/>
              </w:rPr>
              <w:t>3 rows</w:t>
            </w:r>
          </w:p>
        </w:tc>
      </w:tr>
      <w:tr>
        <w:trPr>
          <w:trHeight w:hRule="atLeast"/>
        </w:trPr>
        <w:tc>
          <w:tcPr>
            <w:tcW w:type="dxa" w:w="3744"/>
            <w:shd w:fill="F2F4F7"/>
            <w:tcMar>
              <w:top w:w="80" w:type="dxa"/>
              <w:start w:w="120" w:type="dxa"/>
              <w:bottom w:w="80" w:type="dxa"/>
              <w:end w:w="120" w:type="dxa"/>
            </w:tcMar>
          </w:tcPr>
          <w:p>
            <w:pPr>
              <w:spacing w:after="0"/>
            </w:pPr>
            <w:r>
              <w:rPr>
                <w:sz w:val="18"/>
              </w:rPr>
              <w:t>Mock dispatch audit</w:t>
            </w:r>
          </w:p>
        </w:tc>
        <w:tc>
          <w:tcPr>
            <w:tcW w:type="dxa" w:w="5760"/>
            <w:tcMar>
              <w:top w:w="80" w:type="dxa"/>
              <w:start w:w="120" w:type="dxa"/>
              <w:bottom w:w="80" w:type="dxa"/>
              <w:end w:w="120" w:type="dxa"/>
            </w:tcMar>
            <w:shd w:fill="F2F4F7"/>
          </w:tcPr>
          <w:p>
            <w:pPr>
              <w:spacing w:after="0"/>
            </w:pPr>
            <w:r>
              <w:rPr>
                <w:sz w:val="18"/>
              </w:rPr>
              <w:t>1 row; no_real_execution=true</w:t>
            </w:r>
          </w:p>
        </w:tc>
      </w:tr>
      <w:tr>
        <w:trPr>
          <w:trHeight w:hRule="atLeast"/>
        </w:trPr>
        <w:tc>
          <w:tcPr>
            <w:tcW w:type="dxa" w:w="3744"/>
            <w:shd w:fill="FFFFFF"/>
            <w:tcMar>
              <w:top w:w="80" w:type="dxa"/>
              <w:start w:w="120" w:type="dxa"/>
              <w:bottom w:w="80" w:type="dxa"/>
              <w:end w:w="120" w:type="dxa"/>
            </w:tcMar>
          </w:tcPr>
          <w:p>
            <w:pPr>
              <w:spacing w:after="0"/>
            </w:pPr>
            <w:r>
              <w:rPr>
                <w:sz w:val="18"/>
              </w:rPr>
              <w:t>Device command audit</w:t>
            </w:r>
          </w:p>
        </w:tc>
        <w:tc>
          <w:tcPr>
            <w:tcW w:type="dxa" w:w="5760"/>
            <w:tcMar>
              <w:top w:w="80" w:type="dxa"/>
              <w:start w:w="120" w:type="dxa"/>
              <w:bottom w:w="80" w:type="dxa"/>
              <w:end w:w="120" w:type="dxa"/>
            </w:tcMar>
          </w:tcPr>
          <w:p>
            <w:pPr>
              <w:spacing w:after="0"/>
            </w:pPr>
            <w:r>
              <w:rPr>
                <w:sz w:val="18"/>
              </w:rPr>
              <w:t>3 rows; no_real_execution=true</w:t>
            </w:r>
          </w:p>
        </w:tc>
      </w:tr>
      <w:tr>
        <w:trPr>
          <w:trHeight w:hRule="atLeast"/>
        </w:trPr>
        <w:tc>
          <w:tcPr>
            <w:tcW w:type="dxa" w:w="3744"/>
            <w:shd w:fill="F2F4F7"/>
            <w:tcMar>
              <w:top w:w="80" w:type="dxa"/>
              <w:start w:w="120" w:type="dxa"/>
              <w:bottom w:w="80" w:type="dxa"/>
              <w:end w:w="120" w:type="dxa"/>
            </w:tcMar>
          </w:tcPr>
          <w:p>
            <w:pPr>
              <w:spacing w:after="0"/>
            </w:pPr>
            <w:r>
              <w:rPr>
                <w:sz w:val="18"/>
              </w:rPr>
              <w:t>Dataspace export audit</w:t>
            </w:r>
          </w:p>
        </w:tc>
        <w:tc>
          <w:tcPr>
            <w:tcW w:type="dxa" w:w="5760"/>
            <w:tcMar>
              <w:top w:w="80" w:type="dxa"/>
              <w:start w:w="120" w:type="dxa"/>
              <w:bottom w:w="80" w:type="dxa"/>
              <w:end w:w="120" w:type="dxa"/>
            </w:tcMar>
            <w:shd w:fill="F2F4F7"/>
          </w:tcPr>
          <w:p>
            <w:pPr>
              <w:spacing w:after="0"/>
            </w:pPr>
            <w:r>
              <w:rPr>
                <w:sz w:val="18"/>
              </w:rPr>
              <w:t>1 row in validation window</w:t>
            </w:r>
          </w:p>
        </w:tc>
      </w:tr>
      <w:tr>
        <w:trPr>
          <w:trHeight w:hRule="atLeast"/>
        </w:trPr>
        <w:tc>
          <w:tcPr>
            <w:tcW w:type="dxa" w:w="3744"/>
            <w:shd w:fill="FFFFFF"/>
            <w:tcMar>
              <w:top w:w="80" w:type="dxa"/>
              <w:start w:w="120" w:type="dxa"/>
              <w:bottom w:w="80" w:type="dxa"/>
              <w:end w:w="120" w:type="dxa"/>
            </w:tcMar>
          </w:tcPr>
          <w:p>
            <w:pPr>
              <w:spacing w:after="0"/>
            </w:pPr>
            <w:r>
              <w:rPr>
                <w:sz w:val="18"/>
              </w:rPr>
              <w:t>Dataspace response</w:t>
            </w:r>
          </w:p>
        </w:tc>
        <w:tc>
          <w:tcPr>
            <w:tcW w:type="dxa" w:w="5760"/>
            <w:tcMar>
              <w:top w:w="80" w:type="dxa"/>
              <w:start w:w="120" w:type="dxa"/>
              <w:bottom w:w="80" w:type="dxa"/>
              <w:end w:w="120" w:type="dxa"/>
            </w:tcMar>
          </w:tcPr>
          <w:p>
            <w:pPr>
              <w:spacing w:after="0"/>
            </w:pPr>
            <w:r>
              <w:rPr>
                <w:sz w:val="18"/>
              </w:rPr>
              <w:t>100 records; minimized and pseudonymized</w:t>
            </w:r>
          </w:p>
        </w:tc>
      </w:tr>
    </w:tbl>
    <w:p>
      <w:pPr>
        <w:spacing w:after="0"/>
      </w:pPr>
    </w:p>
    <w:p>
      <w:pPr>
        <w:pStyle w:val="Heading2"/>
      </w:pPr>
      <w:r>
        <w:t>Resource observations</w:t>
      </w:r>
    </w:p>
    <w:tbl>
      <w:tblPr>
        <w:tblW w:type="auto" w:w="0"/>
        <w:jc w:val="center"/>
        <w:tblLayout w:type="fixed"/>
        <w:tblLook w:firstColumn="1" w:firstRow="1" w:lastColumn="0" w:lastRow="0" w:noHBand="0" w:noVBand="1" w:val="04A0"/>
      </w:tblPr>
      <w:tblGrid>
        <w:gridCol w:w="4320"/>
        <w:gridCol w:w="2448"/>
        <w:gridCol w:w="2736"/>
      </w:tblGrid>
      <w:tr>
        <w:trPr>
          <w:tblHeader w:val="true"/>
        </w:trPr>
        <w:tc>
          <w:tcPr>
            <w:tcW w:type="dxa" w:w="3293"/>
            <w:shd w:fill="2E74B5"/>
            <w:tcMar>
              <w:top w:w="80" w:type="dxa"/>
              <w:start w:w="120" w:type="dxa"/>
              <w:bottom w:w="80" w:type="dxa"/>
              <w:end w:w="120" w:type="dxa"/>
            </w:tcMar>
            <w:vAlign w:val="center"/>
          </w:tcPr>
          <w:p>
            <w:pPr>
              <w:spacing w:after="0"/>
            </w:pPr>
            <w:r>
              <w:rPr>
                <w:b/>
                <w:color w:val="FFFFFF"/>
                <w:sz w:val="18"/>
              </w:rPr>
              <w:t>Component</w:t>
            </w:r>
          </w:p>
        </w:tc>
        <w:tc>
          <w:tcPr>
            <w:tcW w:type="dxa" w:w="3293"/>
            <w:shd w:fill="2E74B5"/>
            <w:tcMar>
              <w:top w:w="80" w:type="dxa"/>
              <w:start w:w="120" w:type="dxa"/>
              <w:bottom w:w="80" w:type="dxa"/>
              <w:end w:w="120" w:type="dxa"/>
            </w:tcMar>
            <w:vAlign w:val="center"/>
          </w:tcPr>
          <w:p>
            <w:pPr>
              <w:spacing w:after="0"/>
            </w:pPr>
            <w:r>
              <w:rPr>
                <w:b/>
                <w:color w:val="FFFFFF"/>
                <w:sz w:val="18"/>
              </w:rPr>
              <w:t>CPU snapshot</w:t>
            </w:r>
          </w:p>
        </w:tc>
        <w:tc>
          <w:tcPr>
            <w:tcW w:type="dxa" w:w="3293"/>
            <w:shd w:fill="2E74B5"/>
            <w:tcMar>
              <w:top w:w="80" w:type="dxa"/>
              <w:start w:w="120" w:type="dxa"/>
              <w:bottom w:w="80" w:type="dxa"/>
              <w:end w:w="120" w:type="dxa"/>
            </w:tcMar>
            <w:vAlign w:val="center"/>
          </w:tcPr>
          <w:p>
            <w:pPr>
              <w:spacing w:after="0"/>
            </w:pPr>
            <w:r>
              <w:rPr>
                <w:b/>
                <w:color w:val="FFFFFF"/>
                <w:sz w:val="18"/>
              </w:rPr>
              <w:t>Memory snapshot</w:t>
            </w:r>
          </w:p>
        </w:tc>
      </w:tr>
      <w:tr>
        <w:trPr>
          <w:trHeight w:hRule="atLeast"/>
        </w:trPr>
        <w:tc>
          <w:tcPr>
            <w:tcW w:type="dxa" w:w="4320"/>
            <w:shd w:fill="FFFFFF"/>
            <w:tcMar>
              <w:top w:w="80" w:type="dxa"/>
              <w:start w:w="120" w:type="dxa"/>
              <w:bottom w:w="80" w:type="dxa"/>
              <w:end w:w="120" w:type="dxa"/>
            </w:tcMar>
          </w:tcPr>
          <w:p>
            <w:pPr>
              <w:spacing w:after="0"/>
            </w:pPr>
            <w:r>
              <w:rPr>
                <w:sz w:val="18"/>
              </w:rPr>
              <w:t>Kafka</w:t>
            </w:r>
          </w:p>
        </w:tc>
        <w:tc>
          <w:tcPr>
            <w:tcW w:type="dxa" w:w="2448"/>
            <w:tcMar>
              <w:top w:w="80" w:type="dxa"/>
              <w:start w:w="120" w:type="dxa"/>
              <w:bottom w:w="80" w:type="dxa"/>
              <w:end w:w="120" w:type="dxa"/>
            </w:tcMar>
          </w:tcPr>
          <w:p>
            <w:pPr>
              <w:spacing w:after="0"/>
            </w:pPr>
            <w:r>
              <w:rPr>
                <w:sz w:val="18"/>
              </w:rPr>
              <w:t>0.86%</w:t>
            </w:r>
          </w:p>
        </w:tc>
        <w:tc>
          <w:tcPr>
            <w:tcW w:type="dxa" w:w="2736"/>
            <w:tcMar>
              <w:top w:w="80" w:type="dxa"/>
              <w:start w:w="120" w:type="dxa"/>
              <w:bottom w:w="80" w:type="dxa"/>
              <w:end w:w="120" w:type="dxa"/>
            </w:tcMar>
          </w:tcPr>
          <w:p>
            <w:pPr>
              <w:spacing w:after="0"/>
            </w:pPr>
            <w:r>
              <w:rPr>
                <w:sz w:val="18"/>
              </w:rPr>
              <w:t>571 MiB</w:t>
            </w:r>
          </w:p>
        </w:tc>
      </w:tr>
      <w:tr>
        <w:trPr>
          <w:trHeight w:hRule="atLeast"/>
        </w:trPr>
        <w:tc>
          <w:tcPr>
            <w:tcW w:type="dxa" w:w="4320"/>
            <w:shd w:fill="F2F4F7"/>
            <w:tcMar>
              <w:top w:w="80" w:type="dxa"/>
              <w:start w:w="120" w:type="dxa"/>
              <w:bottom w:w="80" w:type="dxa"/>
              <w:end w:w="120" w:type="dxa"/>
            </w:tcMar>
          </w:tcPr>
          <w:p>
            <w:pPr>
              <w:spacing w:after="0"/>
            </w:pPr>
            <w:r>
              <w:rPr>
                <w:sz w:val="18"/>
              </w:rPr>
              <w:t>TimescaleDB</w:t>
            </w:r>
          </w:p>
        </w:tc>
        <w:tc>
          <w:tcPr>
            <w:tcW w:type="dxa" w:w="2448"/>
            <w:tcMar>
              <w:top w:w="80" w:type="dxa"/>
              <w:start w:w="120" w:type="dxa"/>
              <w:bottom w:w="80" w:type="dxa"/>
              <w:end w:w="120" w:type="dxa"/>
            </w:tcMar>
            <w:shd w:fill="F2F4F7"/>
          </w:tcPr>
          <w:p>
            <w:pPr>
              <w:spacing w:after="0"/>
            </w:pPr>
            <w:r>
              <w:rPr>
                <w:sz w:val="18"/>
              </w:rPr>
              <w:t>0.02%</w:t>
            </w:r>
          </w:p>
        </w:tc>
        <w:tc>
          <w:tcPr>
            <w:tcW w:type="dxa" w:w="2736"/>
            <w:tcMar>
              <w:top w:w="80" w:type="dxa"/>
              <w:start w:w="120" w:type="dxa"/>
              <w:bottom w:w="80" w:type="dxa"/>
              <w:end w:w="120" w:type="dxa"/>
            </w:tcMar>
            <w:shd w:fill="F2F4F7"/>
          </w:tcPr>
          <w:p>
            <w:pPr>
              <w:spacing w:after="0"/>
            </w:pPr>
            <w:r>
              <w:rPr>
                <w:sz w:val="18"/>
              </w:rPr>
              <w:t>99.29 MiB</w:t>
            </w:r>
          </w:p>
        </w:tc>
      </w:tr>
      <w:tr>
        <w:trPr>
          <w:trHeight w:hRule="atLeast"/>
        </w:trPr>
        <w:tc>
          <w:tcPr>
            <w:tcW w:type="dxa" w:w="4320"/>
            <w:shd w:fill="FFFFFF"/>
            <w:tcMar>
              <w:top w:w="80" w:type="dxa"/>
              <w:start w:w="120" w:type="dxa"/>
              <w:bottom w:w="80" w:type="dxa"/>
              <w:end w:w="120" w:type="dxa"/>
            </w:tcMar>
          </w:tcPr>
          <w:p>
            <w:pPr>
              <w:spacing w:after="0"/>
            </w:pPr>
            <w:r>
              <w:rPr>
                <w:sz w:val="18"/>
              </w:rPr>
              <w:t>Zookeeper</w:t>
            </w:r>
          </w:p>
        </w:tc>
        <w:tc>
          <w:tcPr>
            <w:tcW w:type="dxa" w:w="2448"/>
            <w:tcMar>
              <w:top w:w="80" w:type="dxa"/>
              <w:start w:w="120" w:type="dxa"/>
              <w:bottom w:w="80" w:type="dxa"/>
              <w:end w:w="120" w:type="dxa"/>
            </w:tcMar>
          </w:tcPr>
          <w:p>
            <w:pPr>
              <w:spacing w:after="0"/>
            </w:pPr>
            <w:r>
              <w:rPr>
                <w:sz w:val="18"/>
              </w:rPr>
              <w:t>0.22%</w:t>
            </w:r>
          </w:p>
        </w:tc>
        <w:tc>
          <w:tcPr>
            <w:tcW w:type="dxa" w:w="2736"/>
            <w:tcMar>
              <w:top w:w="80" w:type="dxa"/>
              <w:start w:w="120" w:type="dxa"/>
              <w:bottom w:w="80" w:type="dxa"/>
              <w:end w:w="120" w:type="dxa"/>
            </w:tcMar>
          </w:tcPr>
          <w:p>
            <w:pPr>
              <w:spacing w:after="0"/>
            </w:pPr>
            <w:r>
              <w:rPr>
                <w:sz w:val="18"/>
              </w:rPr>
              <w:t>176.8 MiB</w:t>
            </w:r>
          </w:p>
        </w:tc>
      </w:tr>
      <w:tr>
        <w:trPr>
          <w:trHeight w:hRule="atLeast"/>
        </w:trPr>
        <w:tc>
          <w:tcPr>
            <w:tcW w:type="dxa" w:w="4320"/>
            <w:shd w:fill="F2F4F7"/>
            <w:tcMar>
              <w:top w:w="80" w:type="dxa"/>
              <w:start w:w="120" w:type="dxa"/>
              <w:bottom w:w="80" w:type="dxa"/>
              <w:end w:w="120" w:type="dxa"/>
            </w:tcMar>
          </w:tcPr>
          <w:p>
            <w:pPr>
              <w:spacing w:after="0"/>
            </w:pPr>
            <w:r>
              <w:rPr>
                <w:sz w:val="18"/>
              </w:rPr>
              <w:t>Semantic connector</w:t>
            </w:r>
          </w:p>
        </w:tc>
        <w:tc>
          <w:tcPr>
            <w:tcW w:type="dxa" w:w="2448"/>
            <w:tcMar>
              <w:top w:w="80" w:type="dxa"/>
              <w:start w:w="120" w:type="dxa"/>
              <w:bottom w:w="80" w:type="dxa"/>
              <w:end w:w="120" w:type="dxa"/>
            </w:tcMar>
            <w:shd w:fill="F2F4F7"/>
          </w:tcPr>
          <w:p>
            <w:pPr>
              <w:spacing w:after="0"/>
            </w:pPr>
            <w:r>
              <w:rPr>
                <w:sz w:val="18"/>
              </w:rPr>
              <w:t>2.24%</w:t>
            </w:r>
          </w:p>
        </w:tc>
        <w:tc>
          <w:tcPr>
            <w:tcW w:type="dxa" w:w="2736"/>
            <w:tcMar>
              <w:top w:w="80" w:type="dxa"/>
              <w:start w:w="120" w:type="dxa"/>
              <w:bottom w:w="80" w:type="dxa"/>
              <w:end w:w="120" w:type="dxa"/>
            </w:tcMar>
            <w:shd w:fill="F2F4F7"/>
          </w:tcPr>
          <w:p>
            <w:pPr>
              <w:spacing w:after="0"/>
            </w:pPr>
            <w:r>
              <w:rPr>
                <w:sz w:val="18"/>
              </w:rPr>
              <w:t>37.75 MiB</w:t>
            </w:r>
          </w:p>
        </w:tc>
      </w:tr>
      <w:tr>
        <w:trPr>
          <w:trHeight w:hRule="atLeast"/>
        </w:trPr>
        <w:tc>
          <w:tcPr>
            <w:tcW w:type="dxa" w:w="4320"/>
            <w:shd w:fill="FFFFFF"/>
            <w:tcMar>
              <w:top w:w="80" w:type="dxa"/>
              <w:start w:w="120" w:type="dxa"/>
              <w:bottom w:w="80" w:type="dxa"/>
              <w:end w:w="120" w:type="dxa"/>
            </w:tcMar>
          </w:tcPr>
          <w:p>
            <w:pPr>
              <w:spacing w:after="0"/>
            </w:pPr>
            <w:r>
              <w:rPr>
                <w:sz w:val="18"/>
              </w:rPr>
              <w:t>Security gateway</w:t>
            </w:r>
          </w:p>
        </w:tc>
        <w:tc>
          <w:tcPr>
            <w:tcW w:type="dxa" w:w="2448"/>
            <w:tcMar>
              <w:top w:w="80" w:type="dxa"/>
              <w:start w:w="120" w:type="dxa"/>
              <w:bottom w:w="80" w:type="dxa"/>
              <w:end w:w="120" w:type="dxa"/>
            </w:tcMar>
          </w:tcPr>
          <w:p>
            <w:pPr>
              <w:spacing w:after="0"/>
            </w:pPr>
            <w:r>
              <w:rPr>
                <w:sz w:val="18"/>
              </w:rPr>
              <w:t>2.04%</w:t>
            </w:r>
          </w:p>
        </w:tc>
        <w:tc>
          <w:tcPr>
            <w:tcW w:type="dxa" w:w="2736"/>
            <w:tcMar>
              <w:top w:w="80" w:type="dxa"/>
              <w:start w:w="120" w:type="dxa"/>
              <w:bottom w:w="80" w:type="dxa"/>
              <w:end w:w="120" w:type="dxa"/>
            </w:tcMar>
          </w:tcPr>
          <w:p>
            <w:pPr>
              <w:spacing w:after="0"/>
            </w:pPr>
            <w:r>
              <w:rPr>
                <w:sz w:val="18"/>
              </w:rPr>
              <w:t>29.93 MiB</w:t>
            </w:r>
          </w:p>
        </w:tc>
      </w:tr>
      <w:tr>
        <w:trPr>
          <w:trHeight w:hRule="atLeast"/>
        </w:trPr>
        <w:tc>
          <w:tcPr>
            <w:tcW w:type="dxa" w:w="4320"/>
            <w:shd w:fill="F2F4F7"/>
            <w:tcMar>
              <w:top w:w="80" w:type="dxa"/>
              <w:start w:w="120" w:type="dxa"/>
              <w:bottom w:w="80" w:type="dxa"/>
              <w:end w:w="120" w:type="dxa"/>
            </w:tcMar>
          </w:tcPr>
          <w:p>
            <w:pPr>
              <w:spacing w:after="0"/>
            </w:pPr>
            <w:r>
              <w:rPr>
                <w:sz w:val="18"/>
              </w:rPr>
              <w:t>Highest sampled application CPU</w:t>
            </w:r>
          </w:p>
        </w:tc>
        <w:tc>
          <w:tcPr>
            <w:tcW w:type="dxa" w:w="2448"/>
            <w:tcMar>
              <w:top w:w="80" w:type="dxa"/>
              <w:start w:w="120" w:type="dxa"/>
              <w:bottom w:w="80" w:type="dxa"/>
              <w:end w:w="120" w:type="dxa"/>
            </w:tcMar>
            <w:shd w:fill="F2F4F7"/>
          </w:tcPr>
          <w:p>
            <w:pPr>
              <w:spacing w:after="0"/>
            </w:pPr>
            <w:r>
              <w:rPr>
                <w:sz w:val="18"/>
              </w:rPr>
              <w:t>2.35%</w:t>
            </w:r>
          </w:p>
        </w:tc>
        <w:tc>
          <w:tcPr>
            <w:tcW w:type="dxa" w:w="2736"/>
            <w:tcMar>
              <w:top w:w="80" w:type="dxa"/>
              <w:start w:w="120" w:type="dxa"/>
              <w:bottom w:w="80" w:type="dxa"/>
              <w:end w:w="120" w:type="dxa"/>
            </w:tcMar>
            <w:shd w:fill="F2F4F7"/>
          </w:tcPr>
          <w:p>
            <w:pPr>
              <w:spacing w:after="0"/>
            </w:pPr>
            <w:r>
              <w:rPr>
                <w:sz w:val="18"/>
              </w:rPr>
              <w:t>Dataspace export</w:t>
            </w:r>
          </w:p>
        </w:tc>
      </w:tr>
    </w:tbl>
    <w:p>
      <w:pPr>
        <w:spacing w:after="0"/>
      </w:pPr>
    </w:p>
    <w:p>
      <w:r>
        <w:t>Resource values are point-in-time Docker samples and should not be interpreted as peak utilization.</w:t>
      </w:r>
    </w:p>
    <w:p>
      <w:r>
        <w:br w:type="page"/>
      </w:r>
    </w:p>
    <w:p>
      <w:pPr>
        <w:pStyle w:val="Heading1"/>
      </w:pPr>
      <w:r>
        <w:t>5. Pipeline Observations</w:t>
      </w:r>
    </w:p>
    <w:p>
      <w:pPr>
        <w:pStyle w:val="Heading3"/>
      </w:pPr>
      <w:r>
        <w:t>Security Gateway</w:t>
      </w:r>
    </w:p>
    <w:p>
      <w:r>
        <w:t>Accepted every authenticated telemetry request. Average response time was 13.04 ms. Correlation IDs and safe request metadata were audited.</w:t>
      </w:r>
    </w:p>
    <w:p>
      <w:pPr>
        <w:pStyle w:val="Heading3"/>
      </w:pPr>
      <w:r>
        <w:t>Kafka Digital Spine</w:t>
      </w:r>
    </w:p>
    <w:p>
      <w:r>
        <w:t>Delivered all telemetry and downstream events. The final run had no coordinator error, offset replay, or detected drop.</w:t>
      </w:r>
    </w:p>
    <w:p>
      <w:pPr>
        <w:pStyle w:val="Heading3"/>
      </w:pPr>
      <w:r>
        <w:t>Processing Engine</w:t>
      </w:r>
    </w:p>
    <w:p>
      <w:r>
        <w:t>Expanded 30 device payloads into exactly 120 normalized readings.</w:t>
      </w:r>
    </w:p>
    <w:p>
      <w:pPr>
        <w:pStyle w:val="Heading3"/>
      </w:pPr>
      <w:r>
        <w:t>Semantic Connector</w:t>
      </w:r>
    </w:p>
    <w:p>
      <w:r>
        <w:t>Called local Phi-3 Mini for every reading, applied deterministic validation, and stored all accepted, fallback, and unmapped outcomes.</w:t>
      </w:r>
    </w:p>
    <w:p>
      <w:pPr>
        <w:pStyle w:val="Heading3"/>
      </w:pPr>
      <w:r>
        <w:t>Phi-3 Mini</w:t>
      </w:r>
    </w:p>
    <w:p>
      <w:r>
        <w:t>Was available locally and produced 80 guardrail-approved SLM-primary mappings. Local serial inference was the principal latency contributor.</w:t>
      </w:r>
    </w:p>
    <w:p>
      <w:pPr>
        <w:pStyle w:val="Heading3"/>
      </w:pPr>
      <w:r>
        <w:t>TimescaleDB</w:t>
      </w:r>
    </w:p>
    <w:p>
      <w:r>
        <w:t>Stored all run-specific telemetry, semantic, IEEE, approval, dispatch, device-command, gateway, and export evidence. Historical queries returned all five households and fifteen devices.</w:t>
      </w:r>
    </w:p>
    <w:p>
      <w:pPr>
        <w:pStyle w:val="Heading3"/>
      </w:pPr>
      <w:r>
        <w:t>IEEE 2030.5 Translator</w:t>
      </w:r>
    </w:p>
    <w:p>
      <w:r>
        <w:t>Created 120 simplified IEEE 2030.5-style rows. The implementation remains a translator foundation and is not certified.</w:t>
      </w:r>
    </w:p>
    <w:p>
      <w:pPr>
        <w:pStyle w:val="Heading3"/>
      </w:pPr>
      <w:r>
        <w:t>Approval Workflow</w:t>
      </w:r>
    </w:p>
    <w:p>
      <w:r>
        <w:t>Enforced proposed to reviewed to approved to ready-to-dispatch transitions.</w:t>
      </w:r>
    </w:p>
    <w:p>
      <w:pPr>
        <w:pStyle w:val="Heading3"/>
      </w:pPr>
      <w:r>
        <w:t>Mock Dispatch</w:t>
      </w:r>
    </w:p>
    <w:p>
      <w:r>
        <w:t>Created one simulated result with no_real_execution=true.</w:t>
      </w:r>
    </w:p>
    <w:p>
      <w:pPr>
        <w:pStyle w:val="Heading3"/>
      </w:pPr>
      <w:r>
        <w:t>Device Command Translator</w:t>
      </w:r>
    </w:p>
    <w:p>
      <w:r>
        <w:t>Created three simulated device-specific results for Shelly, Enode / Easee, and heat pump adapters.</w:t>
      </w:r>
    </w:p>
    <w:p>
      <w:pPr>
        <w:pStyle w:val="Heading3"/>
      </w:pPr>
      <w:r>
        <w:t>Customer Dashboard</w:t>
      </w:r>
    </w:p>
    <w:p>
      <w:r>
        <w:t>Displayed live SLM status, final-run device IDs, storage, security, dispatch, and dataspace information. Desktop and mobile checks passed.</w:t>
      </w:r>
    </w:p>
    <w:p>
      <w:pPr>
        <w:pStyle w:val="Heading3"/>
      </w:pPr>
      <w:r>
        <w:t>Dataspace Export</w:t>
      </w:r>
    </w:p>
    <w:p>
      <w:r>
        <w:t>Returned a 100-record minimized and pseudonymized summary without raw private payloads.</w:t>
      </w:r>
    </w:p>
    <w:p>
      <w:pPr>
        <w:pStyle w:val="Heading2"/>
      </w:pPr>
      <w:r>
        <w:t>Customer Console Evidence</w:t>
      </w:r>
    </w:p>
    <w:p>
      <w:r>
        <w:drawing>
          <wp:inline xmlns:a="http://schemas.openxmlformats.org/drawingml/2006/main" xmlns:pic="http://schemas.openxmlformats.org/drawingml/2006/picture">
            <wp:extent cx="5989320" cy="4367212"/>
            <wp:docPr id="2" name="Picture 2"/>
            <wp:cNvGraphicFramePr>
              <a:graphicFrameLocks noChangeAspect="1"/>
            </wp:cNvGraphicFramePr>
            <a:graphic>
              <a:graphicData uri="http://schemas.openxmlformats.org/drawingml/2006/picture">
                <pic:pic>
                  <pic:nvPicPr>
                    <pic:cNvPr id="0" name="multi-household-dashboard-overview.png"/>
                    <pic:cNvPicPr/>
                  </pic:nvPicPr>
                  <pic:blipFill>
                    <a:blip r:embed="rId12"/>
                    <a:stretch>
                      <a:fillRect/>
                    </a:stretch>
                  </pic:blipFill>
                  <pic:spPr>
                    <a:xfrm>
                      <a:off x="0" y="0"/>
                      <a:ext cx="5989320" cy="4367212"/>
                    </a:xfrm>
                    <a:prstGeom prst="rect"/>
                  </pic:spPr>
                </pic:pic>
              </a:graphicData>
            </a:graphic>
          </wp:inline>
        </w:drawing>
      </w:r>
    </w:p>
    <w:p>
      <w:pPr>
        <w:jc w:val="center"/>
      </w:pPr>
      <w:r>
        <w:rPr>
          <w:i/>
          <w:sz w:val="17"/>
        </w:rPr>
        <w:t>Figure 2. Live customer console overview after the multi-household run.</w:t>
      </w:r>
    </w:p>
    <w:p>
      <w:pPr>
        <w:pStyle w:val="Heading1"/>
      </w:pPr>
      <w:r>
        <w:t>6. Scalability Assessment</w:t>
      </w:r>
    </w:p>
    <w:p>
      <w:r>
        <w:t>The local architecture successfully handled the intended five-household workload. Concurrent gateway intake, Kafka delivery, normalization, persistence, protocol translation, approval, mock dispatch, device API translation, dataspace export, and dashboard visibility all remained operational. The final run completed with zero drops, zero duplicate semantic/IEEE rows, and zero processing errors.</w:t>
      </w:r>
    </w:p>
    <w:p>
      <w:r>
        <w:t>The main bottleneck is local serial semantic inference. The gateway accepted the input burst quickly, raw inserts averaged 10.02 ms, and application container resource samples remained modest. Queue-to-semantic latency increased because 120 readings waited behind a single local model consumer.</w:t>
      </w:r>
    </w:p>
    <w:tbl>
      <w:tblPr>
        <w:tblW w:type="auto" w:w="0"/>
        <w:tblLayout w:type="fixed"/>
        <w:tblLook w:firstColumn="1" w:firstRow="1" w:lastColumn="0" w:lastRow="0" w:noHBand="0" w:noVBand="1" w:val="04A0"/>
      </w:tblPr>
      <w:tblGrid>
        <w:gridCol w:w="9677"/>
      </w:tblGrid>
      <w:tr>
        <w:tc>
          <w:tcPr>
            <w:tcW w:type="dxa" w:w="9878"/>
            <w:shd w:fill="EAF2F8"/>
            <w:tcMar>
              <w:top w:w="120" w:type="dxa"/>
              <w:start w:w="160" w:type="dxa"/>
              <w:bottom w:w="120" w:type="dxa"/>
              <w:end w:w="160" w:type="dxa"/>
            </w:tcMar>
            <w:tcBorders>
              <w:left w:val="single" w:sz="22" w:color="2E74B5"/>
            </w:tcBorders>
          </w:tcPr>
          <w:p>
            <w:r>
              <w:rPr>
                <w:b/>
                <w:color w:val="17365D"/>
              </w:rPr>
              <w:t>Recommended next scale step</w:t>
            </w:r>
            <w:r>
              <w:br/>
              <w:t>Introduce bounded semantic concurrency, model warm-up, partition-aware consumers, per-inference latency metrics, and expanded deterministic coverage for device state codes before increasing the household count.</w:t>
            </w:r>
          </w:p>
        </w:tc>
      </w:tr>
    </w:tbl>
    <w:p>
      <w:pPr>
        <w:spacing w:after="0"/>
      </w:pPr>
    </w:p>
    <w:p>
      <w:pPr>
        <w:pStyle w:val="Heading2"/>
      </w:pPr>
      <w:r>
        <w:t>Finding Resolved During Validation</w:t>
      </w:r>
    </w:p>
    <w:p>
      <w:r>
        <w:t>An initial diagnostic run produced one duplicate semantic/IEEE row when a 30-second local model timeout exceeded KafkaJS's default consumer session and triggered offset redelivery. The semantic consumer now uses a configurable 120-second session and enforces a session at least 30 seconds longer than the SLM timeout. The final 120-reading run produced no duplicates and no coordinator errors.</w:t>
      </w:r>
    </w:p>
    <w:p>
      <w:pPr>
        <w:pStyle w:val="Heading1"/>
      </w:pPr>
      <w:r>
        <w:t>7. Limitations</w:t>
      </w:r>
    </w:p>
    <w:tbl>
      <w:tblPr>
        <w:tblW w:type="auto" w:w="0"/>
        <w:jc w:val="center"/>
        <w:tblLayout w:type="fixed"/>
        <w:tblLook w:firstColumn="1" w:firstRow="1" w:lastColumn="0" w:lastRow="0" w:noHBand="0" w:noVBand="1" w:val="04A0"/>
      </w:tblPr>
      <w:tblGrid>
        <w:gridCol w:w="4680"/>
        <w:gridCol w:w="4824"/>
      </w:tblGrid>
      <w:tr>
        <w:trPr>
          <w:tblHeader w:val="true"/>
        </w:trPr>
        <w:tc>
          <w:tcPr>
            <w:tcW w:type="dxa" w:w="4939"/>
            <w:shd w:fill="2E74B5"/>
            <w:tcMar>
              <w:top w:w="80" w:type="dxa"/>
              <w:start w:w="120" w:type="dxa"/>
              <w:bottom w:w="80" w:type="dxa"/>
              <w:end w:w="120" w:type="dxa"/>
            </w:tcMar>
            <w:vAlign w:val="center"/>
          </w:tcPr>
          <w:p>
            <w:pPr>
              <w:spacing w:after="0"/>
            </w:pPr>
            <w:r>
              <w:rPr>
                <w:b/>
                <w:color w:val="FFFFFF"/>
                <w:sz w:val="16"/>
              </w:rPr>
              <w:t>Current implemented local platform</w:t>
            </w:r>
          </w:p>
        </w:tc>
        <w:tc>
          <w:tcPr>
            <w:tcW w:type="dxa" w:w="4939"/>
            <w:shd w:fill="2E74B5"/>
            <w:tcMar>
              <w:top w:w="80" w:type="dxa"/>
              <w:start w:w="120" w:type="dxa"/>
              <w:bottom w:w="80" w:type="dxa"/>
              <w:end w:w="120" w:type="dxa"/>
            </w:tcMar>
            <w:vAlign w:val="center"/>
          </w:tcPr>
          <w:p>
            <w:pPr>
              <w:spacing w:after="0"/>
            </w:pPr>
            <w:r>
              <w:rPr>
                <w:b/>
                <w:color w:val="FFFFFF"/>
                <w:sz w:val="16"/>
              </w:rPr>
              <w:t>Future production deployment</w:t>
            </w:r>
          </w:p>
        </w:tc>
      </w:tr>
      <w:tr>
        <w:trPr>
          <w:trHeight w:hRule="atLeast"/>
        </w:trPr>
        <w:tc>
          <w:tcPr>
            <w:tcW w:type="dxa" w:w="4680"/>
            <w:shd w:fill="FFFFFF"/>
            <w:tcMar>
              <w:top w:w="80" w:type="dxa"/>
              <w:start w:w="120" w:type="dxa"/>
              <w:bottom w:w="80" w:type="dxa"/>
              <w:end w:w="120" w:type="dxa"/>
            </w:tcMar>
          </w:tcPr>
          <w:p>
            <w:pPr>
              <w:spacing w:after="0"/>
            </w:pPr>
            <w:r>
              <w:rPr>
                <w:sz w:val="16"/>
              </w:rPr>
              <w:t>Five-household, fifteen-device controlled demonstration</w:t>
            </w:r>
          </w:p>
        </w:tc>
        <w:tc>
          <w:tcPr>
            <w:tcW w:type="dxa" w:w="4824"/>
            <w:tcMar>
              <w:top w:w="80" w:type="dxa"/>
              <w:start w:w="120" w:type="dxa"/>
              <w:bottom w:w="80" w:type="dxa"/>
              <w:end w:w="120" w:type="dxa"/>
            </w:tcMar>
          </w:tcPr>
          <w:p>
            <w:pPr>
              <w:spacing w:after="0"/>
            </w:pPr>
            <w:r>
              <w:rPr>
                <w:sz w:val="16"/>
              </w:rPr>
              <w:t>Progressive tests with larger household populations and sustained durations</w:t>
            </w:r>
          </w:p>
        </w:tc>
      </w:tr>
      <w:tr>
        <w:trPr>
          <w:trHeight w:hRule="atLeast"/>
        </w:trPr>
        <w:tc>
          <w:tcPr>
            <w:tcW w:type="dxa" w:w="4680"/>
            <w:shd w:fill="F2F4F7"/>
            <w:tcMar>
              <w:top w:w="80" w:type="dxa"/>
              <w:start w:w="120" w:type="dxa"/>
              <w:bottom w:w="80" w:type="dxa"/>
              <w:end w:w="120" w:type="dxa"/>
            </w:tcMar>
          </w:tcPr>
          <w:p>
            <w:pPr>
              <w:spacing w:after="0"/>
            </w:pPr>
            <w:r>
              <w:rPr>
                <w:sz w:val="16"/>
              </w:rPr>
              <w:t>Single local Phi-3 Mini instance</w:t>
            </w:r>
          </w:p>
        </w:tc>
        <w:tc>
          <w:tcPr>
            <w:tcW w:type="dxa" w:w="4824"/>
            <w:tcMar>
              <w:top w:w="80" w:type="dxa"/>
              <w:start w:w="120" w:type="dxa"/>
              <w:bottom w:w="80" w:type="dxa"/>
              <w:end w:w="120" w:type="dxa"/>
            </w:tcMar>
            <w:shd w:fill="F2F4F7"/>
          </w:tcPr>
          <w:p>
            <w:pPr>
              <w:spacing w:after="0"/>
            </w:pPr>
            <w:r>
              <w:rPr>
                <w:sz w:val="16"/>
              </w:rPr>
              <w:t>Horizontally scalable inference workers, warm pools, and model observability</w:t>
            </w:r>
          </w:p>
        </w:tc>
      </w:tr>
      <w:tr>
        <w:trPr>
          <w:trHeight w:hRule="atLeast"/>
        </w:trPr>
        <w:tc>
          <w:tcPr>
            <w:tcW w:type="dxa" w:w="4680"/>
            <w:shd w:fill="FFFFFF"/>
            <w:tcMar>
              <w:top w:w="80" w:type="dxa"/>
              <w:start w:w="120" w:type="dxa"/>
              <w:bottom w:w="80" w:type="dxa"/>
              <w:end w:w="120" w:type="dxa"/>
            </w:tcMar>
          </w:tcPr>
          <w:p>
            <w:pPr>
              <w:spacing w:after="0"/>
            </w:pPr>
            <w:r>
              <w:rPr>
                <w:sz w:val="16"/>
              </w:rPr>
              <w:t>Local API key and Docker networking</w:t>
            </w:r>
          </w:p>
        </w:tc>
        <w:tc>
          <w:tcPr>
            <w:tcW w:type="dxa" w:w="4824"/>
            <w:tcMar>
              <w:top w:w="80" w:type="dxa"/>
              <w:start w:w="120" w:type="dxa"/>
              <w:bottom w:w="80" w:type="dxa"/>
              <w:end w:w="120" w:type="dxa"/>
            </w:tcMar>
          </w:tcPr>
          <w:p>
            <w:pPr>
              <w:spacing w:after="0"/>
            </w:pPr>
            <w:r>
              <w:rPr>
                <w:sz w:val="16"/>
              </w:rPr>
              <w:t>Production identity, mTLS, secrets management, private networking, and WAF</w:t>
            </w:r>
          </w:p>
        </w:tc>
      </w:tr>
      <w:tr>
        <w:trPr>
          <w:trHeight w:hRule="atLeast"/>
        </w:trPr>
        <w:tc>
          <w:tcPr>
            <w:tcW w:type="dxa" w:w="4680"/>
            <w:shd w:fill="F2F4F7"/>
            <w:tcMar>
              <w:top w:w="80" w:type="dxa"/>
              <w:start w:w="120" w:type="dxa"/>
              <w:bottom w:w="80" w:type="dxa"/>
              <w:end w:w="120" w:type="dxa"/>
            </w:tcMar>
          </w:tcPr>
          <w:p>
            <w:pPr>
              <w:spacing w:after="0"/>
            </w:pPr>
            <w:r>
              <w:rPr>
                <w:sz w:val="16"/>
              </w:rPr>
              <w:t>Simplified IEEE 2030.5-style translator</w:t>
            </w:r>
          </w:p>
        </w:tc>
        <w:tc>
          <w:tcPr>
            <w:tcW w:type="dxa" w:w="4824"/>
            <w:tcMar>
              <w:top w:w="80" w:type="dxa"/>
              <w:start w:w="120" w:type="dxa"/>
              <w:bottom w:w="80" w:type="dxa"/>
              <w:end w:w="120" w:type="dxa"/>
            </w:tcMar>
            <w:shd w:fill="F2F4F7"/>
          </w:tcPr>
          <w:p>
            <w:pPr>
              <w:spacing w:after="0"/>
            </w:pPr>
            <w:r>
              <w:rPr>
                <w:sz w:val="16"/>
              </w:rPr>
              <w:t>Formal interoperability testing and certification where required</w:t>
            </w:r>
          </w:p>
        </w:tc>
      </w:tr>
      <w:tr>
        <w:trPr>
          <w:trHeight w:hRule="atLeast"/>
        </w:trPr>
        <w:tc>
          <w:tcPr>
            <w:tcW w:type="dxa" w:w="4680"/>
            <w:shd w:fill="FFFFFF"/>
            <w:tcMar>
              <w:top w:w="80" w:type="dxa"/>
              <w:start w:w="120" w:type="dxa"/>
              <w:bottom w:w="80" w:type="dxa"/>
              <w:end w:w="120" w:type="dxa"/>
            </w:tcMar>
          </w:tcPr>
          <w:p>
            <w:pPr>
              <w:spacing w:after="0"/>
            </w:pPr>
            <w:r>
              <w:rPr>
                <w:sz w:val="16"/>
              </w:rPr>
              <w:t>IDS/ENERSHARE-ready export foundation</w:t>
            </w:r>
          </w:p>
        </w:tc>
        <w:tc>
          <w:tcPr>
            <w:tcW w:type="dxa" w:w="4824"/>
            <w:tcMar>
              <w:top w:w="80" w:type="dxa"/>
              <w:start w:w="120" w:type="dxa"/>
              <w:bottom w:w="80" w:type="dxa"/>
              <w:end w:w="120" w:type="dxa"/>
            </w:tcMar>
          </w:tcPr>
          <w:p>
            <w:pPr>
              <w:spacing w:after="0"/>
            </w:pPr>
            <w:r>
              <w:rPr>
                <w:sz w:val="16"/>
              </w:rPr>
              <w:t>Real connector, identity, contract negotiation, and external publication</w:t>
            </w:r>
          </w:p>
        </w:tc>
      </w:tr>
      <w:tr>
        <w:trPr>
          <w:trHeight w:hRule="atLeast"/>
        </w:trPr>
        <w:tc>
          <w:tcPr>
            <w:tcW w:type="dxa" w:w="4680"/>
            <w:shd w:fill="F2F4F7"/>
            <w:tcMar>
              <w:top w:w="80" w:type="dxa"/>
              <w:start w:w="120" w:type="dxa"/>
              <w:bottom w:w="80" w:type="dxa"/>
              <w:end w:w="120" w:type="dxa"/>
            </w:tcMar>
          </w:tcPr>
          <w:p>
            <w:pPr>
              <w:spacing w:after="0"/>
            </w:pPr>
            <w:r>
              <w:rPr>
                <w:sz w:val="16"/>
              </w:rPr>
              <w:t>Mock dispatch and simulated device APIs</w:t>
            </w:r>
          </w:p>
        </w:tc>
        <w:tc>
          <w:tcPr>
            <w:tcW w:type="dxa" w:w="4824"/>
            <w:tcMar>
              <w:top w:w="80" w:type="dxa"/>
              <w:start w:w="120" w:type="dxa"/>
              <w:bottom w:w="80" w:type="dxa"/>
              <w:end w:w="120" w:type="dxa"/>
            </w:tcMar>
            <w:shd w:fill="F2F4F7"/>
          </w:tcPr>
          <w:p>
            <w:pPr>
              <w:spacing w:after="0"/>
            </w:pPr>
            <w:r>
              <w:rPr>
                <w:sz w:val="16"/>
              </w:rPr>
              <w:t>Real device credentials, consent, operator controls, safety certification, and rollback</w:t>
            </w:r>
          </w:p>
        </w:tc>
      </w:tr>
      <w:tr>
        <w:trPr>
          <w:trHeight w:hRule="atLeast"/>
        </w:trPr>
        <w:tc>
          <w:tcPr>
            <w:tcW w:type="dxa" w:w="4680"/>
            <w:shd w:fill="FFFFFF"/>
            <w:tcMar>
              <w:top w:w="80" w:type="dxa"/>
              <w:start w:w="120" w:type="dxa"/>
              <w:bottom w:w="80" w:type="dxa"/>
              <w:end w:w="120" w:type="dxa"/>
            </w:tcMar>
          </w:tcPr>
          <w:p>
            <w:pPr>
              <w:spacing w:after="0"/>
            </w:pPr>
            <w:r>
              <w:rPr>
                <w:sz w:val="16"/>
              </w:rPr>
              <w:t>Point-in-time resource samples</w:t>
            </w:r>
          </w:p>
        </w:tc>
        <w:tc>
          <w:tcPr>
            <w:tcW w:type="dxa" w:w="4824"/>
            <w:tcMar>
              <w:top w:w="80" w:type="dxa"/>
              <w:start w:w="120" w:type="dxa"/>
              <w:bottom w:w="80" w:type="dxa"/>
              <w:end w:w="120" w:type="dxa"/>
            </w:tcMar>
          </w:tcPr>
          <w:p>
            <w:pPr>
              <w:spacing w:after="0"/>
            </w:pPr>
            <w:r>
              <w:rPr>
                <w:sz w:val="16"/>
              </w:rPr>
              <w:t>Continuous CPU, memory, tracing, queue, and SLO monitoring</w:t>
            </w:r>
          </w:p>
        </w:tc>
      </w:tr>
      <w:tr>
        <w:trPr>
          <w:trHeight w:hRule="atLeast"/>
        </w:trPr>
        <w:tc>
          <w:tcPr>
            <w:tcW w:type="dxa" w:w="4680"/>
            <w:shd w:fill="F2F4F7"/>
            <w:tcMar>
              <w:top w:w="80" w:type="dxa"/>
              <w:start w:w="120" w:type="dxa"/>
              <w:bottom w:w="80" w:type="dxa"/>
              <w:end w:w="120" w:type="dxa"/>
            </w:tcMar>
          </w:tcPr>
          <w:p>
            <w:pPr>
              <w:spacing w:after="0"/>
            </w:pPr>
            <w:r>
              <w:rPr>
                <w:sz w:val="16"/>
              </w:rPr>
              <w:t>Basic ontology coverage for state codes</w:t>
            </w:r>
          </w:p>
        </w:tc>
        <w:tc>
          <w:tcPr>
            <w:tcW w:type="dxa" w:w="4824"/>
            <w:tcMar>
              <w:top w:w="80" w:type="dxa"/>
              <w:start w:w="120" w:type="dxa"/>
              <w:bottom w:w="80" w:type="dxa"/>
              <w:end w:w="120" w:type="dxa"/>
            </w:tcMar>
            <w:shd w:fill="F2F4F7"/>
          </w:tcPr>
          <w:p>
            <w:pPr>
              <w:spacing w:after="0"/>
            </w:pPr>
            <w:r>
              <w:rPr>
                <w:sz w:val="16"/>
              </w:rPr>
              <w:t>Expanded deterministic/SAREF4ENER mappings and governed vocabulary</w:t>
            </w:r>
          </w:p>
        </w:tc>
      </w:tr>
    </w:tbl>
    <w:p>
      <w:pPr>
        <w:spacing w:after="0"/>
      </w:pPr>
    </w:p>
    <w:p>
      <w:pPr>
        <w:pStyle w:val="Heading1"/>
      </w:pPr>
      <w:r>
        <w:t>8. Conclusions</w:t>
      </w:r>
    </w:p>
    <w:p>
      <w:r>
        <w:t>The AD-FLEX local pipeline successfully supported approximately fifteen simultaneously represented energy assets across five households. Two independent updates from every device were accepted, normalized, semantically processed with local Phi-3 Mini first, validated, stored, translated, and exposed to the customer console. The complete safe load-management path and dataspace export also completed.</w:t>
      </w:r>
    </w:p>
    <w:p>
      <w:r>
        <w:t>The final result was 30 of 30 telemetry messages accepted, 120 of 120 unique semantic and IEEE records stored, zero dropped messages, zero dropped readings, zero duplicate rows, zero processing errors, and 100% end-to-end completion. No real household device was controlled.</w:t>
      </w:r>
    </w:p>
    <w:tbl>
      <w:tblPr>
        <w:tblW w:type="auto" w:w="0"/>
        <w:tblLayout w:type="fixed"/>
        <w:tblLook w:firstColumn="1" w:firstRow="1" w:lastColumn="0" w:lastRow="0" w:noHBand="0" w:noVBand="1" w:val="04A0"/>
      </w:tblPr>
      <w:tblGrid>
        <w:gridCol w:w="9677"/>
      </w:tblGrid>
      <w:tr>
        <w:tc>
          <w:tcPr>
            <w:tcW w:type="dxa" w:w="9878"/>
            <w:shd w:fill="E8F5F0"/>
            <w:tcMar>
              <w:top w:w="120" w:type="dxa"/>
              <w:start w:w="160" w:type="dxa"/>
              <w:bottom w:w="120" w:type="dxa"/>
              <w:end w:w="160" w:type="dxa"/>
            </w:tcMar>
            <w:tcBorders>
              <w:left w:val="single" w:sz="22" w:color="008A6A"/>
            </w:tcBorders>
          </w:tcPr>
          <w:p>
            <w:r>
              <w:rPr>
                <w:b/>
                <w:color w:val="17365D"/>
              </w:rPr>
              <w:t>Final assessment</w:t>
            </w:r>
            <w:r>
              <w:br/>
              <w:t>The architecture is ready for larger controlled local testing. Semantic inference concurrency and ontology coverage should be improved before substantially increasing the workload or moving toward production deployment.</w:t>
            </w:r>
          </w:p>
        </w:tc>
      </w:tr>
    </w:tbl>
    <w:p>
      <w:pPr>
        <w:spacing w:after="0"/>
      </w:pPr>
    </w:p>
    <w:p>
      <w:pPr>
        <w:pStyle w:val="Heading1"/>
      </w:pPr>
      <w:r>
        <w:t>Appendix A. Reproduction Commands</w:t>
      </w:r>
    </w:p>
    <w:p>
      <w:pPr>
        <w:spacing w:after="60"/>
      </w:pPr>
      <w:r>
        <w:rPr>
          <w:rFonts w:ascii="Consolas" w:hAnsi="Consolas"/>
          <w:sz w:val="17"/>
        </w:rPr>
        <w:t>cd C:\Users\Mani\Desktop\Github\IOT-PIPELINE</w:t>
      </w:r>
    </w:p>
    <w:p>
      <w:pPr>
        <w:spacing w:after="60"/>
      </w:pPr>
      <w:r>
        <w:rPr>
          <w:rFonts w:ascii="Consolas" w:hAnsi="Consolas"/>
          <w:sz w:val="17"/>
        </w:rPr>
        <w:t>powershell -ExecutionPolicy Bypass -File .\scripts\start-demo.ps1 -Build</w:t>
      </w:r>
    </w:p>
    <w:p>
      <w:pPr>
        <w:spacing w:after="60"/>
      </w:pPr>
      <w:r>
        <w:rPr>
          <w:rFonts w:ascii="Consolas" w:hAnsi="Consolas"/>
          <w:sz w:val="17"/>
        </w:rPr>
        <w:t>powershell -ExecutionPolicy Bypass -File .\scripts\check-health.ps1</w:t>
      </w:r>
    </w:p>
    <w:p>
      <w:pPr>
        <w:spacing w:after="60"/>
      </w:pPr>
      <w:r>
        <w:rPr>
          <w:rFonts w:ascii="Consolas" w:hAnsi="Consolas"/>
          <w:sz w:val="17"/>
        </w:rPr>
        <w:t>powershell -ExecutionPolicy Bypass -File .\scripts\run-multi-household-validation.ps1 -Households 5 -Cycles 2</w:t>
      </w:r>
    </w:p>
    <w:p>
      <w:pPr>
        <w:spacing w:after="60"/>
      </w:pPr>
      <w:r>
        <w:rPr>
          <w:rFonts w:ascii="Consolas" w:hAnsi="Consolas"/>
          <w:sz w:val="17"/>
        </w:rPr>
        <w:t>cd .\apps\customer-console</w:t>
      </w:r>
    </w:p>
    <w:p>
      <w:pPr>
        <w:spacing w:after="60"/>
      </w:pPr>
      <w:r>
        <w:rPr>
          <w:rFonts w:ascii="Consolas" w:hAnsi="Consolas"/>
          <w:sz w:val="17"/>
        </w:rPr>
        <w:t>npm run build</w:t>
      </w:r>
    </w:p>
    <w:p>
      <w:pPr>
        <w:spacing w:after="60"/>
      </w:pPr>
      <w:r>
        <w:rPr>
          <w:rFonts w:ascii="Consolas" w:hAnsi="Consolas"/>
          <w:sz w:val="17"/>
        </w:rPr>
        <w:t>npm run start</w:t>
      </w:r>
    </w:p>
    <w:p>
      <w:pPr>
        <w:spacing w:after="60"/>
      </w:pPr>
      <w:r>
        <w:rPr>
          <w:rFonts w:ascii="Consolas" w:hAnsi="Consolas"/>
          <w:sz w:val="17"/>
        </w:rPr>
        <w:t>npm run smoke:multi-household</w:t>
      </w:r>
    </w:p>
    <w:p>
      <w:pPr>
        <w:pStyle w:val="Heading1"/>
      </w:pPr>
      <w:r>
        <w:t>Appendix B. Evidence Locations</w:t>
      </w:r>
    </w:p>
    <w:p>
      <w:pPr>
        <w:pStyle w:val="ListBullet"/>
        <w:spacing w:after="60"/>
      </w:pPr>
      <w:r>
        <w:t>Machine-readable results: docs/demo-assets/multi-household-validation-results.json</w:t>
      </w:r>
    </w:p>
    <w:p>
      <w:pPr>
        <w:pStyle w:val="ListBullet"/>
        <w:spacing w:after="60"/>
      </w:pPr>
      <w:r>
        <w:t>Dashboard screenshot: docs/demo-assets/multi-household-dashboard.png</w:t>
      </w:r>
    </w:p>
    <w:p>
      <w:pPr>
        <w:pStyle w:val="ListBullet"/>
        <w:spacing w:after="60"/>
      </w:pPr>
      <w:r>
        <w:t>Technical report: docs/multi-household-scalability-validation-report.md</w:t>
      </w:r>
    </w:p>
    <w:p>
      <w:pPr>
        <w:pStyle w:val="ListBullet"/>
        <w:spacing w:after="60"/>
      </w:pPr>
      <w:r>
        <w:t>Validation runner: scripts/run-multi-household-validation.js</w:t>
      </w:r>
    </w:p>
    <w:p>
      <w:pPr>
        <w:pStyle w:val="ListBullet"/>
        <w:spacing w:after="60"/>
      </w:pPr>
      <w:r>
        <w:t>PowerShell wrapper: scripts/run-multi-household-validation.ps1</w:t>
      </w:r>
    </w:p>
    <w:sectPr w:rsidR="00FC693F" w:rsidRPr="0006063C" w:rsidSect="00034616">
      <w:headerReference w:type="default" r:id="rId9"/>
      <w:footerReference w:type="default" r:id="rId10"/>
      <w:pgSz w:w="12240" w:h="15840"/>
      <w:pgMar w:top="1123" w:right="1181" w:bottom="1037" w:left="1181"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773"/>
        <w:sz w:val="16"/>
      </w:rPr>
      <w:t xml:space="preserve">Local validation environment  |  No real device execution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6912"/>
      <w:gridCol w:w="2966"/>
    </w:tblGrid>
    <w:tr>
      <w:tc>
        <w:tcPr>
          <w:tcW w:type="dxa" w:w="4939"/>
          <w:tcBorders>
            <w:bottom w:val="single" w:sz="8" w:color="D9DEE5"/>
          </w:tcBorders>
        </w:tcPr>
        <w:p>
          <w:r>
            <w:rPr>
              <w:b/>
              <w:color w:val="5C6773"/>
              <w:sz w:val="16"/>
            </w:rPr>
            <w:t>AD-FLEX  |  MULTI-HOUSEHOLD VALIDATION</w:t>
          </w:r>
        </w:p>
      </w:tc>
      <w:tc>
        <w:tcPr>
          <w:tcW w:type="dxa" w:w="4939"/>
          <w:tcBorders>
            <w:bottom w:val="single" w:sz="8" w:color="D9DEE5"/>
          </w:tcBorders>
        </w:tcPr>
        <w:p>
          <w:pPr>
            <w:jc w:val="right"/>
          </w:pPr>
          <w:r>
            <w:rPr>
              <w:color w:val="5C6773"/>
              <w:sz w:val="16"/>
            </w:rPr>
            <w:t>20 JULY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AD-FLEX Multi-Household Pipeline Validation Report</dc:title>
  <dc:subject>Five-household local scalability validation</dc:subject>
  <dc:creator>AD-FLEX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