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Properties"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344000" cy="10385499"/>
            <wp:docPr id="1" name="Picture 1" descr="Cover of the August 2026 AD-FLEX monthly report" title="Cover of the August 2026 AD-FLEX monthly report"/>
            <wp:cNvGraphicFramePr>
              <a:graphicFrameLocks noChangeAspect="1"/>
            </wp:cNvGraphicFramePr>
            <a:graphic>
              <a:graphicData uri="http://schemas.openxmlformats.org/drawingml/2006/picture">
                <pic:pic>
                  <pic:nvPicPr>
                    <pic:cNvPr id="0" name="august_cover.png"/>
                    <pic:cNvPicPr/>
                  </pic:nvPicPr>
                  <pic:blipFill>
                    <a:blip r:embed="rId9"/>
                    <a:stretch>
                      <a:fillRect/>
                    </a:stretch>
                  </pic:blipFill>
                  <pic:spPr>
                    <a:xfrm>
                      <a:off x="0" y="0"/>
                      <a:ext cx="7344000" cy="10385499"/>
                    </a:xfrm>
                    <a:prstGeom prst="rect"/>
                  </pic:spPr>
                </pic:pic>
              </a:graphicData>
            </a:graphic>
          </wp:inline>
        </w:drawing>
      </w:r>
    </w:p>
    <w:p>
      <w:pPr>
        <w:sectPr>
          <w:headerReference w:type="default" r:id="rId18"/>
          <w:footerReference w:type="default" r:id="rId19"/>
          <w:pgSz w:w="11906" w:h="16838"/>
          <w:pgMar w:top="142" w:right="142" w:bottom="142" w:left="142" w:header="0" w:footer="0" w:gutter="0"/>
          <w:cols w:space="720"/>
          <w:docGrid w:linePitch="360"/>
        </w:sectPr>
      </w:pPr>
    </w:p>
    <w:p>
      <w:pPr>
        <w:pStyle w:val="Heading1"/>
        <w:pBdr>
          <w:bottom w:val="single" w:sz="8" w:space="3" w:color="23866C"/>
        </w:pBdr>
      </w:pPr>
      <w:r>
        <w:t>Document Control</w:t>
      </w:r>
    </w:p>
    <w:tbl>
      <w:tblPr>
        <w:tblW w:type="auto" w:w="0"/>
        <w:jc w:val="center"/>
        <w:tblLayout w:type="fixed"/>
        <w:tblLook w:firstColumn="1" w:firstRow="1" w:lastColumn="0" w:lastRow="0" w:noHBand="0" w:noVBand="1" w:val="04A0"/>
      </w:tblPr>
      <w:tblGrid>
        <w:gridCol w:w="2154"/>
        <w:gridCol w:w="7710"/>
      </w:tblGrid>
      <w:tr>
        <w:trPr>
          <w:cantSplit/>
          <w:tblHeader/>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Project Name</w:t>
            </w:r>
          </w:p>
        </w:tc>
        <w:tc>
          <w:tcPr>
            <w:tcW w:type="dxa" w:w="7710"/>
            <w:tcMar>
              <w:top w:w="70" w:type="dxa"/>
              <w:start w:w="90" w:type="dxa"/>
              <w:bottom w:w="70" w:type="dxa"/>
              <w:end w:w="90" w:type="dxa"/>
            </w:tcMar>
            <w:tcBorders>
              <w:bottom w:val="single" w:sz="4" w:color="C9D5DF"/>
            </w:tcBorders>
          </w:tcPr>
          <w:p>
            <w:pPr>
              <w:spacing w:after="0"/>
            </w:pPr>
            <w:r>
              <w:rPr>
                <w:sz w:val="17"/>
              </w:rPr>
              <w:t>AD-FLEX</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Document</w:t>
            </w:r>
          </w:p>
        </w:tc>
        <w:tc>
          <w:tcPr>
            <w:tcW w:type="dxa" w:w="7710"/>
            <w:tcMar>
              <w:top w:w="70" w:type="dxa"/>
              <w:start w:w="90" w:type="dxa"/>
              <w:bottom w:w="70" w:type="dxa"/>
              <w:end w:w="90" w:type="dxa"/>
            </w:tcMar>
            <w:tcBorders>
              <w:bottom w:val="single" w:sz="4" w:color="C9D5DF"/>
            </w:tcBorders>
          </w:tcPr>
          <w:p>
            <w:pPr>
              <w:spacing w:after="0"/>
            </w:pPr>
            <w:r>
              <w:rPr>
                <w:sz w:val="17"/>
              </w:rPr>
              <w:t>AD-FLEX Monthly Project Progress Report - August 2026</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Reporting period</w:t>
            </w:r>
          </w:p>
        </w:tc>
        <w:tc>
          <w:tcPr>
            <w:tcW w:type="dxa" w:w="7710"/>
            <w:tcMar>
              <w:top w:w="70" w:type="dxa"/>
              <w:start w:w="90" w:type="dxa"/>
              <w:bottom w:w="70" w:type="dxa"/>
              <w:end w:w="90" w:type="dxa"/>
            </w:tcMar>
            <w:tcBorders>
              <w:bottom w:val="single" w:sz="4" w:color="C9D5DF"/>
            </w:tcBorders>
          </w:tcPr>
          <w:p>
            <w:pPr>
              <w:spacing w:after="0"/>
            </w:pPr>
            <w:r>
              <w:rPr>
                <w:sz w:val="17"/>
              </w:rPr>
              <w:t>1 August 2026 to 13 August 2026</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Student Name</w:t>
            </w:r>
          </w:p>
        </w:tc>
        <w:tc>
          <w:tcPr>
            <w:tcW w:type="dxa" w:w="7710"/>
            <w:tcMar>
              <w:top w:w="70" w:type="dxa"/>
              <w:start w:w="90" w:type="dxa"/>
              <w:bottom w:w="70" w:type="dxa"/>
              <w:end w:w="90" w:type="dxa"/>
            </w:tcMar>
            <w:tcBorders>
              <w:bottom w:val="single" w:sz="4" w:color="C9D5DF"/>
            </w:tcBorders>
          </w:tcPr>
          <w:p>
            <w:pPr>
              <w:spacing w:after="0"/>
            </w:pPr>
            <w:r>
              <w:rPr>
                <w:sz w:val="17"/>
              </w:rPr>
              <w:t>Mani Tilakraj Sharma</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Student Number</w:t>
            </w:r>
          </w:p>
        </w:tc>
        <w:tc>
          <w:tcPr>
            <w:tcW w:type="dxa" w:w="7710"/>
            <w:tcMar>
              <w:top w:w="70" w:type="dxa"/>
              <w:start w:w="90" w:type="dxa"/>
              <w:bottom w:w="70" w:type="dxa"/>
              <w:end w:w="90" w:type="dxa"/>
            </w:tcMar>
            <w:tcBorders>
              <w:bottom w:val="single" w:sz="4" w:color="C9D5DF"/>
            </w:tcBorders>
          </w:tcPr>
          <w:p>
            <w:pPr>
              <w:spacing w:after="0"/>
            </w:pPr>
            <w:r>
              <w:rPr>
                <w:sz w:val="17"/>
              </w:rPr>
              <w:t>25250889</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Faculty Mentor</w:t>
            </w:r>
          </w:p>
        </w:tc>
        <w:tc>
          <w:tcPr>
            <w:tcW w:type="dxa" w:w="7710"/>
            <w:tcMar>
              <w:top w:w="70" w:type="dxa"/>
              <w:start w:w="90" w:type="dxa"/>
              <w:bottom w:w="70" w:type="dxa"/>
              <w:end w:w="90" w:type="dxa"/>
            </w:tcMar>
            <w:tcBorders>
              <w:bottom w:val="single" w:sz="4" w:color="C9D5DF"/>
            </w:tcBorders>
          </w:tcPr>
          <w:p>
            <w:pPr>
              <w:spacing w:after="0"/>
            </w:pPr>
            <w:r>
              <w:rPr>
                <w:sz w:val="17"/>
              </w:rPr>
              <w:t>Muhammad Waseem</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Client</w:t>
            </w:r>
          </w:p>
        </w:tc>
        <w:tc>
          <w:tcPr>
            <w:tcW w:type="dxa" w:w="7710"/>
            <w:tcMar>
              <w:top w:w="70" w:type="dxa"/>
              <w:start w:w="90" w:type="dxa"/>
              <w:bottom w:w="70" w:type="dxa"/>
              <w:end w:w="90" w:type="dxa"/>
            </w:tcMar>
            <w:tcBorders>
              <w:bottom w:val="single" w:sz="4" w:color="C9D5DF"/>
            </w:tcBorders>
          </w:tcPr>
          <w:p>
            <w:pPr>
              <w:spacing w:after="0"/>
            </w:pPr>
            <w:r>
              <w:rPr>
                <w:sz w:val="17"/>
              </w:rPr>
              <w:t>Paolo Cammardella</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Programme</w:t>
            </w:r>
          </w:p>
        </w:tc>
        <w:tc>
          <w:tcPr>
            <w:tcW w:type="dxa" w:w="7710"/>
            <w:tcMar>
              <w:top w:w="70" w:type="dxa"/>
              <w:start w:w="90" w:type="dxa"/>
              <w:bottom w:w="70" w:type="dxa"/>
              <w:end w:w="90" w:type="dxa"/>
            </w:tcMar>
            <w:tcBorders>
              <w:bottom w:val="single" w:sz="4" w:color="C9D5DF"/>
            </w:tcBorders>
          </w:tcPr>
          <w:p>
            <w:pPr>
              <w:spacing w:after="0"/>
            </w:pPr>
            <w:r>
              <w:rPr>
                <w:sz w:val="17"/>
              </w:rPr>
              <w:t>MSc Business Analytics</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University</w:t>
            </w:r>
          </w:p>
        </w:tc>
        <w:tc>
          <w:tcPr>
            <w:tcW w:type="dxa" w:w="7710"/>
            <w:tcMar>
              <w:top w:w="70" w:type="dxa"/>
              <w:start w:w="90" w:type="dxa"/>
              <w:bottom w:w="70" w:type="dxa"/>
              <w:end w:w="90" w:type="dxa"/>
            </w:tcMar>
            <w:tcBorders>
              <w:bottom w:val="single" w:sz="4" w:color="C9D5DF"/>
            </w:tcBorders>
          </w:tcPr>
          <w:p>
            <w:pPr>
              <w:spacing w:after="0"/>
            </w:pPr>
            <w:r>
              <w:rPr>
                <w:sz w:val="17"/>
              </w:rPr>
              <w:t>Maynooth University</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Version</w:t>
            </w:r>
          </w:p>
        </w:tc>
        <w:tc>
          <w:tcPr>
            <w:tcW w:type="dxa" w:w="7710"/>
            <w:tcMar>
              <w:top w:w="70" w:type="dxa"/>
              <w:start w:w="90" w:type="dxa"/>
              <w:bottom w:w="70" w:type="dxa"/>
              <w:end w:w="90" w:type="dxa"/>
            </w:tcMar>
            <w:tcBorders>
              <w:bottom w:val="single" w:sz="4" w:color="C9D5DF"/>
            </w:tcBorders>
          </w:tcPr>
          <w:p>
            <w:pPr>
              <w:spacing w:after="0"/>
            </w:pPr>
            <w:r>
              <w:rPr>
                <w:sz w:val="17"/>
              </w:rPr>
              <w:t>1.0</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Document date</w:t>
            </w:r>
          </w:p>
        </w:tc>
        <w:tc>
          <w:tcPr>
            <w:tcW w:type="dxa" w:w="7710"/>
            <w:tcMar>
              <w:top w:w="70" w:type="dxa"/>
              <w:start w:w="90" w:type="dxa"/>
              <w:bottom w:w="70" w:type="dxa"/>
              <w:end w:w="90" w:type="dxa"/>
            </w:tcMar>
            <w:tcBorders>
              <w:bottom w:val="single" w:sz="4" w:color="C9D5DF"/>
            </w:tcBorders>
          </w:tcPr>
          <w:p>
            <w:pPr>
              <w:spacing w:after="0"/>
            </w:pPr>
            <w:r>
              <w:rPr>
                <w:sz w:val="17"/>
              </w:rPr>
              <w:t>13 August 2026</w:t>
            </w:r>
          </w:p>
        </w:tc>
      </w:tr>
      <w:tr>
        <w:trPr>
          <w:cantSplit/>
        </w:trPr>
        <w:tc>
          <w:tcPr>
            <w:tcW w:type="dxa" w:w="2154"/>
            <w:tcMar>
              <w:top w:w="70" w:type="dxa"/>
              <w:start w:w="90" w:type="dxa"/>
              <w:bottom w:w="70" w:type="dxa"/>
              <w:end w:w="90" w:type="dxa"/>
            </w:tcMar>
            <w:tcBorders>
              <w:bottom w:val="single" w:sz="4" w:color="C9D5DF"/>
            </w:tcBorders>
            <w:shd w:fill="F3F7FA"/>
          </w:tcPr>
          <w:p>
            <w:pPr>
              <w:spacing w:after="0"/>
            </w:pPr>
            <w:r>
              <w:rPr>
                <w:b/>
                <w:color w:val="0B1F33"/>
                <w:sz w:val="17"/>
              </w:rPr>
              <w:t>Distribution</w:t>
            </w:r>
          </w:p>
        </w:tc>
        <w:tc>
          <w:tcPr>
            <w:tcW w:type="dxa" w:w="7710"/>
            <w:tcMar>
              <w:top w:w="70" w:type="dxa"/>
              <w:start w:w="90" w:type="dxa"/>
              <w:bottom w:w="70" w:type="dxa"/>
              <w:end w:w="90" w:type="dxa"/>
            </w:tcMar>
            <w:tcBorders>
              <w:bottom w:val="single" w:sz="4" w:color="C9D5DF"/>
            </w:tcBorders>
          </w:tcPr>
          <w:p>
            <w:pPr>
              <w:spacing w:after="0"/>
            </w:pPr>
            <w:r>
              <w:rPr>
                <w:sz w:val="17"/>
              </w:rPr>
              <w:t>Paolo Cammardella, Muhammad Waseem, academic review, and technical management</w:t>
            </w:r>
          </w:p>
        </w:tc>
      </w:tr>
    </w:tbl>
    <w:p>
      <w:pPr>
        <w:spacing w:after="0"/>
      </w:pPr>
    </w:p>
    <w:tbl>
      <w:tblPr>
        <w:tblW w:type="auto" w:w="0"/>
        <w:jc w:val="center"/>
        <w:tblLayout w:type="fixed"/>
        <w:tblLook w:firstColumn="1" w:firstRow="1" w:lastColumn="0" w:lastRow="0" w:noHBand="0" w:noVBand="1" w:val="04A0"/>
      </w:tblPr>
      <w:tblGrid>
        <w:gridCol w:w="283"/>
        <w:gridCol w:w="9524"/>
      </w:tblGrid>
      <w:tr>
        <w:trPr>
          <w:cantSplit/>
          <w:tblHeader/>
        </w:trPr>
        <w:tc>
          <w:tcPr>
            <w:tcW w:type="dxa" w:w="4989"/>
            <w:shd w:fill="23866C"/>
            <w:tcMar>
              <w:top w:w="30" w:type="dxa"/>
              <w:start w:w="20" w:type="dxa"/>
              <w:bottom w:w="30" w:type="dxa"/>
              <w:end w:w="20" w:type="dxa"/>
            </w:tcMar>
          </w:tcPr>
          <w:p/>
        </w:tc>
        <w:tc>
          <w:tcPr>
            <w:tcW w:type="dxa" w:w="4989"/>
            <w:shd w:fill="DFF5F4"/>
            <w:tcMar>
              <w:top w:w="100" w:type="dxa"/>
              <w:start w:w="140" w:type="dxa"/>
              <w:bottom w:w="100" w:type="dxa"/>
              <w:end w:w="140" w:type="dxa"/>
            </w:tcMar>
          </w:tcPr>
          <w:p>
            <w:pPr>
              <w:spacing w:after="40"/>
            </w:pPr>
            <w:r>
              <w:rPr>
                <w:b/>
                <w:color w:val="0B1F33"/>
              </w:rPr>
              <w:t>Evidence and claim standard</w:t>
            </w:r>
          </w:p>
          <w:p>
            <w:pPr>
              <w:spacing w:after="0"/>
            </w:pPr>
            <w:r>
              <w:rPr>
                <w:sz w:val="17"/>
              </w:rPr>
              <w:t>Git history is the primary implementation timeline. Live results are included only where the repository contains a dated report or machine-readable artifact. Implemented, validated, demonstrated, planned, and future-production items remain distinct throughout this document.</w:t>
            </w:r>
          </w:p>
        </w:tc>
      </w:tr>
    </w:tbl>
    <w:p>
      <w:pPr>
        <w:spacing w:after="0"/>
      </w:pPr>
    </w:p>
    <w:p>
      <w:r>
        <w:t>Protocol and dataspace references describe simplified IEEE 2030.5-style and ENERSHARE/IDS-ready foundations. They do not assert certification. All device-command evidence is simulated and retains no_real_execution=true.</w:t>
      </w:r>
    </w:p>
    <w:p>
      <w:pPr>
        <w:pStyle w:val="SmallBody"/>
      </w:pPr>
      <w:r>
        <w:t>This report should be read with the month-specific evidence audit and the July-August cross-month consistency check retained in docs/monthly-reports.</w:t>
      </w:r>
    </w:p>
    <w:p>
      <w:r>
        <w:br w:type="page"/>
      </w:r>
    </w:p>
    <w:p>
      <w:pPr>
        <w:pStyle w:val="Heading1"/>
        <w:pBdr>
          <w:bottom w:val="single" w:sz="8" w:space="3" w:color="23866C"/>
        </w:pBdr>
      </w:pPr>
      <w:r>
        <w:t>Table of Contents</w:t>
      </w:r>
    </w:p>
    <w:p>
      <w:pPr>
        <w:pStyle w:val="SmallBody"/>
      </w:pPr>
      <w:r>
        <w:t>The contents follow the report heading hierarchy. Page numbers appear in the document footer.</w:t>
      </w:r>
    </w:p>
    <w:p>
      <w:pPr>
        <w:tabs>
          <w:tab w:pos="9808" w:val="right" w:leader="dot"/>
        </w:tabs>
        <w:spacing w:after="24"/>
      </w:pPr>
      <w:r>
        <w:rPr>
          <w:rFonts w:ascii="Aptos" w:hAnsi="Aptos"/>
          <w:sz w:val="16"/>
        </w:rPr>
        <w:t>1. Executive Summary</w:t>
      </w:r>
      <w:r>
        <w:t/>
      </w:r>
    </w:p>
    <w:p>
      <w:pPr>
        <w:tabs>
          <w:tab w:pos="9808" w:val="right" w:leader="dot"/>
        </w:tabs>
        <w:spacing w:after="24"/>
      </w:pPr>
      <w:r>
        <w:rPr>
          <w:rFonts w:ascii="Aptos" w:hAnsi="Aptos"/>
          <w:sz w:val="16"/>
        </w:rPr>
        <w:t>2. Project Objective</w:t>
      </w:r>
      <w:r>
        <w:t/>
      </w:r>
    </w:p>
    <w:p>
      <w:pPr>
        <w:tabs>
          <w:tab w:pos="9808" w:val="right" w:leader="dot"/>
        </w:tabs>
        <w:spacing w:after="24"/>
      </w:pPr>
      <w:r>
        <w:rPr>
          <w:rFonts w:ascii="Aptos" w:hAnsi="Aptos"/>
          <w:sz w:val="16"/>
        </w:rPr>
        <w:t>3. Position at the Start of the Month</w:t>
      </w:r>
      <w:r>
        <w:t/>
      </w:r>
    </w:p>
    <w:p>
      <w:pPr>
        <w:tabs>
          <w:tab w:pos="9808" w:val="right" w:leader="dot"/>
        </w:tabs>
        <w:spacing w:after="24"/>
      </w:pPr>
      <w:r>
        <w:t>4. Monthly Development Focus</w:t>
      </w:r>
      <w:r>
        <w:t/>
      </w:r>
    </w:p>
    <w:p>
      <w:pPr>
        <w:tabs>
          <w:tab w:pos="9808" w:val="right" w:leader="dot"/>
        </w:tabs>
        <w:spacing w:after="24"/>
      </w:pPr>
      <w:r>
        <w:t>5. Major Work Completed</w:t>
      </w:r>
      <w:r>
        <w:t/>
      </w:r>
    </w:p>
    <w:p>
      <w:pPr>
        <w:tabs>
          <w:tab w:pos="9808" w:val="right" w:leader="dot"/>
        </w:tabs>
        <w:spacing w:after="24"/>
      </w:pPr>
      <w:r>
        <w:t>6. End-of-Month Architecture</w:t>
      </w:r>
      <w:r>
        <w:t/>
      </w:r>
    </w:p>
    <w:p>
      <w:pPr>
        <w:tabs>
          <w:tab w:pos="9808" w:val="right" w:leader="dot"/>
        </w:tabs>
        <w:spacing w:after="24"/>
      </w:pPr>
      <w:r>
        <w:t>7. Component Progress</w:t>
      </w:r>
      <w:r>
        <w:t/>
      </w:r>
    </w:p>
    <w:p>
      <w:pPr>
        <w:tabs>
          <w:tab w:pos="9808" w:val="right" w:leader="dot"/>
        </w:tabs>
        <w:spacing w:after="24"/>
      </w:pPr>
      <w:r>
        <w:rPr>
          <w:rFonts w:ascii="Aptos" w:hAnsi="Aptos"/>
          <w:sz w:val="16"/>
        </w:rPr>
        <w:t>8. SLM and Semantic Intelligence</w:t>
      </w:r>
      <w:r>
        <w:t/>
      </w:r>
    </w:p>
    <w:p>
      <w:pPr>
        <w:tabs>
          <w:tab w:pos="9808" w:val="right" w:leader="dot"/>
        </w:tabs>
        <w:spacing w:after="24"/>
      </w:pPr>
      <w:r>
        <w:rPr>
          <w:rFonts w:ascii="Aptos" w:hAnsi="Aptos"/>
          <w:sz w:val="16"/>
        </w:rPr>
        <w:t>9. Household and Device Simulation</w:t>
      </w:r>
      <w:r>
        <w:t/>
      </w:r>
    </w:p>
    <w:p>
      <w:pPr>
        <w:tabs>
          <w:tab w:pos="9808" w:val="right" w:leader="dot"/>
        </w:tabs>
        <w:spacing w:after="24"/>
      </w:pPr>
      <w:r>
        <w:t>10. Scalability Development</w:t>
      </w:r>
      <w:r>
        <w:t/>
      </w:r>
    </w:p>
    <w:p>
      <w:pPr>
        <w:tabs>
          <w:tab w:pos="9808" w:val="right" w:leader="dot"/>
        </w:tabs>
        <w:spacing w:after="24"/>
      </w:pPr>
      <w:r>
        <w:t>11. Validation and Testing</w:t>
      </w:r>
      <w:r>
        <w:t/>
      </w:r>
    </w:p>
    <w:p>
      <w:pPr>
        <w:tabs>
          <w:tab w:pos="9808" w:val="right" w:leader="dot"/>
        </w:tabs>
        <w:spacing w:after="24"/>
      </w:pPr>
      <w:r>
        <w:t>12. Customer/Product Development</w:t>
      </w:r>
      <w:r>
        <w:t/>
      </w:r>
    </w:p>
    <w:p>
      <w:pPr>
        <w:tabs>
          <w:tab w:pos="9808" w:val="right" w:leader="dot"/>
        </w:tabs>
        <w:spacing w:after="24"/>
      </w:pPr>
      <w:r>
        <w:rPr>
          <w:rFonts w:ascii="Aptos" w:hAnsi="Aptos"/>
          <w:sz w:val="16"/>
        </w:rPr>
        <w:t>13. Business Value for EnerShare</w:t>
      </w:r>
      <w:r>
        <w:t/>
      </w:r>
    </w:p>
    <w:p>
      <w:pPr>
        <w:tabs>
          <w:tab w:pos="9808" w:val="right" w:leader="dot"/>
        </w:tabs>
        <w:spacing w:after="24"/>
      </w:pPr>
      <w:r>
        <w:t>14. Technical Challenges and Resolutions</w:t>
      </w:r>
      <w:r>
        <w:t/>
      </w:r>
    </w:p>
    <w:p>
      <w:pPr>
        <w:tabs>
          <w:tab w:pos="9808" w:val="right" w:leader="dot"/>
        </w:tabs>
        <w:spacing w:after="24"/>
      </w:pPr>
      <w:r>
        <w:rPr>
          <w:rFonts w:ascii="Aptos" w:hAnsi="Aptos"/>
          <w:sz w:val="16"/>
        </w:rPr>
        <w:t>15. Safety, Security and Governance</w:t>
      </w:r>
      <w:r>
        <w:t/>
      </w:r>
    </w:p>
    <w:p>
      <w:pPr>
        <w:tabs>
          <w:tab w:pos="9808" w:val="right" w:leader="dot"/>
        </w:tabs>
        <w:spacing w:after="24"/>
      </w:pPr>
      <w:r>
        <w:rPr>
          <w:rFonts w:ascii="Aptos" w:hAnsi="Aptos"/>
          <w:sz w:val="16"/>
        </w:rPr>
        <w:t>16. End-of-Month Project Status</w:t>
      </w:r>
      <w:r>
        <w:t/>
      </w:r>
    </w:p>
    <w:p>
      <w:pPr>
        <w:tabs>
          <w:tab w:pos="9808" w:val="right" w:leader="dot"/>
        </w:tabs>
        <w:spacing w:after="24"/>
      </w:pPr>
      <w:r>
        <w:t>17. Next Development Priorities</w:t>
      </w:r>
      <w:r>
        <w:t/>
      </w:r>
    </w:p>
    <w:p>
      <w:pPr>
        <w:tabs>
          <w:tab w:pos="9808" w:val="right" w:leader="dot"/>
        </w:tabs>
        <w:spacing w:after="24"/>
      </w:pPr>
      <w:r>
        <w:rPr>
          <w:rFonts w:ascii="Aptos" w:hAnsi="Aptos"/>
          <w:sz w:val="16"/>
        </w:rPr>
        <w:t>18. Monthly Achievement Summary</w:t>
      </w:r>
      <w:r>
        <w:t/>
      </w:r>
    </w:p>
    <w:p>
      <w:pPr>
        <w:tabs>
          <w:tab w:pos="9808" w:val="right" w:leader="dot"/>
        </w:tabs>
        <w:spacing w:after="24"/>
      </w:pPr>
      <w:r>
        <w:rPr>
          <w:rFonts w:ascii="Aptos" w:hAnsi="Aptos"/>
          <w:sz w:val="16"/>
        </w:rPr>
        <w:t>19. Conclusion</w:t>
      </w:r>
      <w:r>
        <w:t/>
      </w:r>
    </w:p>
    <w:p>
      <w:pPr>
        <w:tabs>
          <w:tab w:pos="9808" w:val="right" w:leader="dot"/>
        </w:tabs>
        <w:spacing w:after="24"/>
      </w:pPr>
      <w:r>
        <w:rPr>
          <w:rFonts w:ascii="Aptos" w:hAnsi="Aptos"/>
          <w:b/>
          <w:sz w:val="16"/>
        </w:rPr>
        <w:t>Appendix A - Git Evidence</w:t>
      </w:r>
      <w:r>
        <w:t/>
      </w:r>
    </w:p>
    <w:p>
      <w:pPr>
        <w:tabs>
          <w:tab w:pos="9808" w:val="right" w:leader="dot"/>
        </w:tabs>
        <w:spacing w:after="24"/>
      </w:pPr>
      <w:r>
        <w:rPr>
          <w:rFonts w:ascii="Aptos" w:hAnsi="Aptos"/>
          <w:b/>
          <w:sz w:val="16"/>
        </w:rPr>
        <w:t>Appendix B - Validation Evidence</w:t>
      </w:r>
      <w:r>
        <w:t/>
      </w:r>
    </w:p>
    <w:p>
      <w:pPr>
        <w:tabs>
          <w:tab w:pos="9808" w:val="right" w:leader="dot"/>
        </w:tabs>
        <w:spacing w:after="24"/>
      </w:pPr>
      <w:r>
        <w:rPr>
          <w:rFonts w:ascii="Aptos" w:hAnsi="Aptos"/>
          <w:b/>
          <w:sz w:val="16"/>
        </w:rPr>
        <w:t>Appendix C - Current Limitations</w:t>
      </w:r>
      <w:r>
        <w:t/>
      </w:r>
    </w:p>
    <w:p>
      <w:pPr>
        <w:sectPr>
          <w:headerReference w:type="default" r:id="rId10"/>
          <w:footerReference w:type="default" r:id="rId11"/>
          <w:pgSz w:w="11906" w:h="16838"/>
          <w:pgMar w:top="964" w:right="964" w:bottom="850" w:left="964" w:header="397" w:footer="397" w:gutter="0"/>
          <w:cols w:space="720"/>
          <w:docGrid w:linePitch="360"/>
          <w:pgNumType w:fmt="lowerRoman" w:start="1"/>
        </w:sectPr>
      </w:pPr>
    </w:p>
    <w:p>
      <w:pPr>
        <w:pStyle w:val="Heading1"/>
        <w:pBdr>
          <w:bottom w:val="single" w:sz="8" w:space="3" w:color="23866C"/>
        </w:pBdr>
      </w:pPr>
      <w:r>
        <w:t>1. Executive Summary</w:t>
      </w:r>
    </w:p>
    <w:p>
      <w:r>
        <w:t>August focused on converting July's scalable architecture and household fleet into an exact, reproducible 100-household / 1,000-asset validation programme. The work did not replace the existing AD-FLEX business workflow. It made population construction deterministic, preserved reading identity end to end, expanded semantic guardrails for every selected category, added reproducible stage tooling, and made customer queries suitable for a 1,000-asset cohort.</w:t>
      </w:r>
    </w:p>
    <w:p>
      <w:r>
        <w:t>The population contains 30 apartment households with eight assets each, 50 standard homes with ten assets each, and 20 prosumer homes with thirteen assets each. The resulting 1,000 devices cover smart meters, smart plugs, refrigerators, washing machines, lighting, water heaters, thermostats/HVAC, dishwashers, heat pumps, EV chargers, solar inverters, and home batteries. One bounded fleet/generator process schedules deterministic offsets and sends one primary semantic reading per asset for population tests. Complete multi-field telemetry remains available in a separate coverage mode.</w:t>
      </w:r>
    </w:p>
    <w:p>
      <w:r>
        <w:t>Semantic processing remained mandatory. Every normalized reading was submitted to local Ollama Phi-3 Mini. Deterministic SAREF4ENER logic only validated, rejected, retried, or marked a result safely unmapped; it did not create replacement mappings. Preflight tests compared batch sizes 1, 8, 16, 32, and 64. Batch 8 provided the best local balance because all eight outputs passed strict validation at 0.547 readings per second, while larger batches produced increasing structured-output failure.</w:t>
      </w:r>
    </w:p>
    <w:p>
      <w:r>
        <w:t>The 5 August full-field coverage run represented 100 assets across all 12 exact-profile categories and generated 374 normalized readings. All 374 recorded slm_called=true, 339 model proposals passed validation, 35 became explicit safely-unmapped terminal outcomes, no final rows were duplicated, no processing errors occurred, and Kafka lag returned from a maximum of 159 to zero. The representative DSO, approval, mock dispatch, device translation, and dataspace workflow also completed without unsafe execution.</w:t>
      </w:r>
    </w:p>
    <w:p>
      <w:r>
        <w:t>A separate 5 August 15-minute 1,000-asset run accepted and completed all 1,000 updates with 100% SLM invocation, 961 validated mappings, 39 safely-unmapped outcomes, zero drops, zero duplicates, zero processing errors, and final Kafka lag zero. It did not pass the sustained-rate criterion. Arrival was 1.102 readings per second and durable completion was 0.445 readings per second. Backlog clearance took 1,345.714 seconds after generation, indicating a 2.478x inference-capacity gap before operating headroom. The result is classified functional_only, not sustained local real time.</w:t>
      </w:r>
    </w:p>
    <w:p>
      <w:r>
        <w:t>The repository also formally incorporated machine-readable staged functional evidence produced on 27 July. That evidence records asynchronous end-to-end passes at 100, 250, 500, and 1,000 assets, including a 1,000-asset run with 969 validated mappings, 31 safely-unmapped outcomes, zero final lag, and complete representative flexibility/dataspace processing. Its execution date remains July; August receives credit for the integration, fixes, reporting, and fresh validation rather than retroactively moving the run.</w:t>
      </w:r>
    </w:p>
    <w:p>
      <w:r>
        <w:t>At the current August position, AD-FLEX has a credible 1,000-asset local functional demonstration, complete mandatory-SLM evidence, durable idempotency controls, bounded customer aggregation, and a measured infrastructure model for larger deployments. The exact bottleneck is the single local Phi-3 Mini tier. Million-device material is a scale-out model only; no 10,000-, 100,000-, or million-asset end-to-end validation is claimed.</w:t>
      </w:r>
    </w:p>
    <w:tbl>
      <w:tblPr>
        <w:tblW w:type="auto" w:w="0"/>
        <w:jc w:val="center"/>
        <w:tblLayout w:type="fixed"/>
        <w:tblLook w:firstColumn="1" w:firstRow="1" w:lastColumn="0" w:lastRow="0" w:noHBand="0" w:noVBand="1" w:val="04A0"/>
      </w:tblPr>
      <w:tblGrid>
        <w:gridCol w:w="283"/>
        <w:gridCol w:w="9524"/>
      </w:tblGrid>
      <w:tr>
        <w:trPr>
          <w:cantSplit/>
          <w:tblHeader/>
        </w:trPr>
        <w:tc>
          <w:tcPr>
            <w:tcW w:type="dxa" w:w="4989"/>
            <w:shd w:fill="23866C"/>
            <w:tcMar>
              <w:top w:w="30" w:type="dxa"/>
              <w:start w:w="20" w:type="dxa"/>
              <w:bottom w:w="30" w:type="dxa"/>
              <w:end w:w="20" w:type="dxa"/>
            </w:tcMar>
          </w:tcPr>
          <w:p/>
        </w:tc>
        <w:tc>
          <w:tcPr>
            <w:tcW w:type="dxa" w:w="4989"/>
            <w:shd w:fill="E7F5EF"/>
            <w:tcMar>
              <w:top w:w="100" w:type="dxa"/>
              <w:start w:w="140" w:type="dxa"/>
              <w:bottom w:w="100" w:type="dxa"/>
              <w:end w:w="140" w:type="dxa"/>
            </w:tcMar>
          </w:tcPr>
          <w:p>
            <w:pPr>
              <w:spacing w:after="40"/>
            </w:pPr>
            <w:r>
              <w:rPr>
                <w:b/>
                <w:color w:val="0B1F33"/>
              </w:rPr>
              <w:t>August management conclusion</w:t>
            </w:r>
          </w:p>
          <w:p>
            <w:pPr>
              <w:spacing w:after="0"/>
            </w:pPr>
            <w:r>
              <w:rPr>
                <w:sz w:val="17"/>
              </w:rPr>
              <w:t>The complete local workflow supports controlled asynchronous functional completion for exactly 100 households and 1,000 simulated assets. The same laptop does not sustain the tested arrival rate; additional validated inference capacity is required before a real-time scale claim.</w:t>
            </w:r>
          </w:p>
        </w:tc>
      </w:tr>
    </w:tbl>
    <w:p>
      <w:pPr>
        <w:spacing w:after="0"/>
      </w:pPr>
    </w:p>
    <w:p>
      <w:r>
        <w:br w:type="page"/>
      </w:r>
    </w:p>
    <w:p>
      <w:pPr>
        <w:pStyle w:val="Heading1"/>
        <w:pBdr>
          <w:bottom w:val="single" w:sz="8" w:space="3" w:color="23866C"/>
        </w:pBdr>
      </w:pPr>
      <w:r>
        <w:t>2. Project Objective</w:t>
      </w:r>
    </w:p>
    <w:p>
      <w:r>
        <w:t>AD-FLEX transforms heterogeneous household energy data into standardized, semantically governed information that can support household intelligence, flexibility participation, grid-facing messages, safe approval workflows, simulated device-language translation, and privacy-aware data products. Its business objective for EnerShare is to reduce vendor-specific integration friction while retaining traceable evidence and strict control boundaries.</w:t>
      </w:r>
    </w:p>
    <w:p>
      <w:r>
        <w:t>August tested whether the same logical architecture could represent an exact 1,000-asset portfolio without one process per device and without bypassing the local SLM. The test objective was functional completion and measured capacity, not a claim of production high availability or million-device processing.</w:t>
      </w:r>
    </w:p>
    <w:p>
      <w:pPr>
        <w:pStyle w:val="Heading1"/>
        <w:pBdr>
          <w:bottom w:val="single" w:sz="8" w:space="3" w:color="23866C"/>
        </w:pBdr>
      </w:pPr>
      <w:r>
        <w:t>3. Position at the Start of the Month</w:t>
      </w:r>
    </w:p>
    <w:p>
      <w:r>
        <w:t>As of the final July commit, the platform already had mandatory-SLM batching/provider foundations, a role-aware customer product, an internal operations dashboard, a 20-household/241-device fleet, and a protected public-demonstration path. Table 1 records the inherited position and the August refinement target.</w:t>
      </w:r>
    </w:p>
    <w:p>
      <w:pPr>
        <w:pStyle w:val="CaptionCustom"/>
      </w:pPr>
      <w:r>
        <w:t>Table 1. August starting position and required refinement</w:t>
      </w:r>
    </w:p>
    <w:tbl>
      <w:tblPr>
        <w:tblW w:type="auto" w:w="0"/>
        <w:jc w:val="center"/>
        <w:tblLayout w:type="fixed"/>
        <w:tblLook w:firstColumn="1" w:firstRow="1" w:lastColumn="0" w:lastRow="0" w:noHBand="0" w:noVBand="1" w:val="04A0"/>
      </w:tblPr>
      <w:tblGrid>
        <w:gridCol w:w="1701"/>
        <w:gridCol w:w="4025"/>
        <w:gridCol w:w="4139"/>
      </w:tblGrid>
      <w:tr>
        <w:trPr>
          <w:tblHeader w:val="true"/>
          <w:cantSplit/>
        </w:trPr>
        <w:tc>
          <w:tcPr>
            <w:tcW w:type="dxa" w:w="3326"/>
            <w:shd w:fill="0B1F33"/>
            <w:tcMar>
              <w:top w:w="75" w:type="dxa"/>
              <w:start w:w="75" w:type="dxa"/>
              <w:bottom w:w="75" w:type="dxa"/>
              <w:end w:w="75" w:type="dxa"/>
            </w:tcMar>
            <w:tcBorders>
              <w:bottom w:val="single" w:sz="6" w:color="23866C"/>
            </w:tcBorders>
          </w:tcPr>
          <w:p>
            <w:pPr>
              <w:spacing w:after="0"/>
            </w:pPr>
            <w:r>
              <w:rPr>
                <w:b/>
                <w:color w:val="FFFFFF"/>
                <w:sz w:val="15"/>
              </w:rPr>
              <w:t>Area</w:t>
            </w:r>
          </w:p>
        </w:tc>
        <w:tc>
          <w:tcPr>
            <w:tcW w:type="dxa" w:w="3326"/>
            <w:shd w:fill="0B1F33"/>
            <w:tcMar>
              <w:top w:w="75" w:type="dxa"/>
              <w:start w:w="75" w:type="dxa"/>
              <w:bottom w:w="75" w:type="dxa"/>
              <w:end w:w="75" w:type="dxa"/>
            </w:tcMar>
            <w:tcBorders>
              <w:bottom w:val="single" w:sz="6" w:color="23866C"/>
            </w:tcBorders>
          </w:tcPr>
          <w:p>
            <w:pPr>
              <w:spacing w:after="0"/>
            </w:pPr>
            <w:r>
              <w:rPr>
                <w:b/>
                <w:color w:val="FFFFFF"/>
                <w:sz w:val="15"/>
              </w:rPr>
              <w:t>State at 31 July</w:t>
            </w:r>
          </w:p>
        </w:tc>
        <w:tc>
          <w:tcPr>
            <w:tcW w:type="dxa" w:w="3326"/>
            <w:shd w:fill="0B1F33"/>
            <w:tcMar>
              <w:top w:w="75" w:type="dxa"/>
              <w:start w:w="75" w:type="dxa"/>
              <w:bottom w:w="75" w:type="dxa"/>
              <w:end w:w="75" w:type="dxa"/>
            </w:tcMar>
            <w:tcBorders>
              <w:bottom w:val="single" w:sz="6" w:color="23866C"/>
            </w:tcBorders>
          </w:tcPr>
          <w:p>
            <w:pPr>
              <w:spacing w:after="0"/>
            </w:pPr>
            <w:r>
              <w:rPr>
                <w:b/>
                <w:color w:val="FFFFFF"/>
                <w:sz w:val="15"/>
              </w:rPr>
              <w:t>August requirement</w:t>
            </w:r>
          </w:p>
        </w:tc>
      </w:tr>
      <w:tr>
        <w:trPr>
          <w:cantSplit/>
        </w:trPr>
        <w:tc>
          <w:tcPr>
            <w:tcW w:type="dxa" w:w="1701"/>
            <w:tcMar>
              <w:top w:w="55" w:type="dxa"/>
              <w:start w:w="65" w:type="dxa"/>
              <w:bottom w:w="55" w:type="dxa"/>
              <w:end w:w="65" w:type="dxa"/>
            </w:tcMar>
            <w:tcBorders>
              <w:bottom w:val="single" w:sz="3" w:color="C9D5DF"/>
            </w:tcBorders>
            <w:vAlign w:val="center"/>
          </w:tcPr>
          <w:p>
            <w:pPr>
              <w:spacing w:after="0"/>
            </w:pPr>
            <w:r>
              <w:rPr>
                <w:color w:val="263746"/>
                <w:sz w:val="15"/>
              </w:rPr>
              <w:t>Fleet</w:t>
            </w:r>
          </w:p>
        </w:tc>
        <w:tc>
          <w:tcPr>
            <w:tcW w:type="dxa" w:w="4025"/>
            <w:tcMar>
              <w:top w:w="55" w:type="dxa"/>
              <w:start w:w="65" w:type="dxa"/>
              <w:bottom w:w="55" w:type="dxa"/>
              <w:end w:w="65" w:type="dxa"/>
            </w:tcMar>
            <w:tcBorders>
              <w:bottom w:val="single" w:sz="3" w:color="C9D5DF"/>
            </w:tcBorders>
            <w:vAlign w:val="center"/>
          </w:tcPr>
          <w:p>
            <w:pPr>
              <w:spacing w:after="0"/>
            </w:pPr>
            <w:r>
              <w:rPr>
                <w:color w:val="263746"/>
                <w:sz w:val="15"/>
              </w:rPr>
              <w:t>20 households, 241 devices, range-random profiles</w:t>
            </w:r>
          </w:p>
        </w:tc>
        <w:tc>
          <w:tcPr>
            <w:tcW w:type="dxa" w:w="4139"/>
            <w:tcMar>
              <w:top w:w="55" w:type="dxa"/>
              <w:start w:w="65" w:type="dxa"/>
              <w:bottom w:w="55" w:type="dxa"/>
              <w:end w:w="65" w:type="dxa"/>
            </w:tcMar>
            <w:tcBorders>
              <w:bottom w:val="single" w:sz="3" w:color="C9D5DF"/>
            </w:tcBorders>
            <w:vAlign w:val="center"/>
          </w:tcPr>
          <w:p>
            <w:pPr>
              <w:spacing w:after="0"/>
            </w:pPr>
            <w:r>
              <w:rPr>
                <w:color w:val="263746"/>
                <w:sz w:val="15"/>
              </w:rPr>
              <w:t>Exact 30/50/20 profiles and exactly 1,000 assets</w:t>
            </w:r>
          </w:p>
        </w:tc>
      </w:tr>
      <w:tr>
        <w:trPr>
          <w:cantSplit/>
        </w:trPr>
        <w:tc>
          <w:tcPr>
            <w:tcW w:type="dxa" w:w="1701"/>
            <w:shd w:fill="F3F7FA"/>
            <w:tcMar>
              <w:top w:w="55" w:type="dxa"/>
              <w:start w:w="65" w:type="dxa"/>
              <w:bottom w:w="55" w:type="dxa"/>
              <w:end w:w="65" w:type="dxa"/>
            </w:tcMar>
            <w:tcBorders>
              <w:bottom w:val="single" w:sz="3" w:color="C9D5DF"/>
            </w:tcBorders>
            <w:vAlign w:val="center"/>
          </w:tcPr>
          <w:p>
            <w:pPr>
              <w:spacing w:after="0"/>
            </w:pPr>
            <w:r>
              <w:rPr>
                <w:color w:val="263746"/>
                <w:sz w:val="15"/>
              </w:rPr>
              <w:t>Semantic flow</w:t>
            </w:r>
          </w:p>
        </w:tc>
        <w:tc>
          <w:tcPr>
            <w:tcW w:type="dxa" w:w="4025"/>
            <w:shd w:fill="F3F7FA"/>
            <w:tcMar>
              <w:top w:w="55" w:type="dxa"/>
              <w:start w:w="65" w:type="dxa"/>
              <w:bottom w:w="55" w:type="dxa"/>
              <w:end w:w="65" w:type="dxa"/>
            </w:tcMar>
            <w:tcBorders>
              <w:bottom w:val="single" w:sz="3" w:color="C9D5DF"/>
            </w:tcBorders>
            <w:vAlign w:val="center"/>
          </w:tcPr>
          <w:p>
            <w:pPr>
              <w:spacing w:after="0"/>
            </w:pPr>
            <w:r>
              <w:rPr>
                <w:color w:val="263746"/>
                <w:sz w:val="15"/>
              </w:rPr>
              <w:t>Mandatory batching/provider foundation</w:t>
            </w:r>
          </w:p>
        </w:tc>
        <w:tc>
          <w:tcPr>
            <w:tcW w:type="dxa" w:w="4139"/>
            <w:shd w:fill="F3F7FA"/>
            <w:tcMar>
              <w:top w:w="55" w:type="dxa"/>
              <w:start w:w="65" w:type="dxa"/>
              <w:bottom w:w="55" w:type="dxa"/>
              <w:end w:w="65" w:type="dxa"/>
            </w:tcMar>
            <w:tcBorders>
              <w:bottom w:val="single" w:sz="3" w:color="C9D5DF"/>
            </w:tcBorders>
            <w:vAlign w:val="center"/>
          </w:tcPr>
          <w:p>
            <w:pPr>
              <w:spacing w:after="0"/>
            </w:pPr>
            <w:r>
              <w:rPr>
                <w:color w:val="263746"/>
                <w:sz w:val="15"/>
              </w:rPr>
              <w:t>Category-complete primary readings, strict quality benchmark, 100% audit</w:t>
            </w:r>
          </w:p>
        </w:tc>
      </w:tr>
      <w:tr>
        <w:trPr>
          <w:cantSplit/>
        </w:trPr>
        <w:tc>
          <w:tcPr>
            <w:tcW w:type="dxa" w:w="1701"/>
            <w:tcMar>
              <w:top w:w="55" w:type="dxa"/>
              <w:start w:w="65" w:type="dxa"/>
              <w:bottom w:w="55" w:type="dxa"/>
              <w:end w:w="65" w:type="dxa"/>
            </w:tcMar>
            <w:tcBorders>
              <w:bottom w:val="single" w:sz="3" w:color="C9D5DF"/>
            </w:tcBorders>
            <w:vAlign w:val="center"/>
          </w:tcPr>
          <w:p>
            <w:pPr>
              <w:spacing w:after="0"/>
            </w:pPr>
            <w:r>
              <w:rPr>
                <w:color w:val="263746"/>
                <w:sz w:val="15"/>
              </w:rPr>
              <w:t>Durability</w:t>
            </w:r>
          </w:p>
        </w:tc>
        <w:tc>
          <w:tcPr>
            <w:tcW w:type="dxa" w:w="4025"/>
            <w:tcMar>
              <w:top w:w="55" w:type="dxa"/>
              <w:start w:w="65" w:type="dxa"/>
              <w:bottom w:w="55" w:type="dxa"/>
              <w:end w:w="65" w:type="dxa"/>
            </w:tcMar>
            <w:tcBorders>
              <w:bottom w:val="single" w:sz="3" w:color="C9D5DF"/>
            </w:tcBorders>
            <w:vAlign w:val="center"/>
          </w:tcPr>
          <w:p>
            <w:pPr>
              <w:spacing w:after="0"/>
            </w:pPr>
            <w:r>
              <w:rPr>
                <w:color w:val="263746"/>
                <w:sz w:val="15"/>
              </w:rPr>
              <w:t>Reading IDs and conflict-aware writes</w:t>
            </w:r>
          </w:p>
        </w:tc>
        <w:tc>
          <w:tcPr>
            <w:tcW w:type="dxa" w:w="4139"/>
            <w:tcMar>
              <w:top w:w="55" w:type="dxa"/>
              <w:start w:w="65" w:type="dxa"/>
              <w:bottom w:w="55" w:type="dxa"/>
              <w:end w:w="65" w:type="dxa"/>
            </w:tcMar>
            <w:tcBorders>
              <w:bottom w:val="single" w:sz="3" w:color="C9D5DF"/>
            </w:tcBorders>
            <w:vAlign w:val="center"/>
          </w:tcPr>
          <w:p>
            <w:pPr>
              <w:spacing w:after="0"/>
            </w:pPr>
            <w:r>
              <w:rPr>
                <w:color w:val="263746"/>
                <w:sz w:val="15"/>
              </w:rPr>
              <w:t>End-to-end idempotency and retry identity across the scale run</w:t>
            </w:r>
          </w:p>
        </w:tc>
      </w:tr>
      <w:tr>
        <w:trPr>
          <w:cantSplit/>
        </w:trPr>
        <w:tc>
          <w:tcPr>
            <w:tcW w:type="dxa" w:w="1701"/>
            <w:shd w:fill="F3F7FA"/>
            <w:tcMar>
              <w:top w:w="55" w:type="dxa"/>
              <w:start w:w="65" w:type="dxa"/>
              <w:bottom w:w="55" w:type="dxa"/>
              <w:end w:w="65" w:type="dxa"/>
            </w:tcMar>
            <w:tcBorders>
              <w:bottom w:val="single" w:sz="3" w:color="C9D5DF"/>
            </w:tcBorders>
            <w:vAlign w:val="center"/>
          </w:tcPr>
          <w:p>
            <w:pPr>
              <w:spacing w:after="0"/>
            </w:pPr>
            <w:r>
              <w:rPr>
                <w:color w:val="263746"/>
                <w:sz w:val="15"/>
              </w:rPr>
              <w:t>Kafka</w:t>
            </w:r>
          </w:p>
        </w:tc>
        <w:tc>
          <w:tcPr>
            <w:tcW w:type="dxa" w:w="4025"/>
            <w:shd w:fill="F3F7FA"/>
            <w:tcMar>
              <w:top w:w="55" w:type="dxa"/>
              <w:start w:w="65" w:type="dxa"/>
              <w:bottom w:w="55" w:type="dxa"/>
              <w:end w:w="65" w:type="dxa"/>
            </w:tcMar>
            <w:tcBorders>
              <w:bottom w:val="single" w:sz="3" w:color="C9D5DF"/>
            </w:tcBorders>
            <w:vAlign w:val="center"/>
          </w:tcPr>
          <w:p>
            <w:pPr>
              <w:spacing w:after="0"/>
            </w:pPr>
            <w:r>
              <w:rPr>
                <w:color w:val="263746"/>
                <w:sz w:val="15"/>
              </w:rPr>
              <w:t>Single broker; scale topics and lag tooling</w:t>
            </w:r>
          </w:p>
        </w:tc>
        <w:tc>
          <w:tcPr>
            <w:tcW w:type="dxa" w:w="4139"/>
            <w:shd w:fill="F3F7FA"/>
            <w:tcMar>
              <w:top w:w="55" w:type="dxa"/>
              <w:start w:w="65" w:type="dxa"/>
              <w:bottom w:w="55" w:type="dxa"/>
              <w:end w:w="65" w:type="dxa"/>
            </w:tcMar>
            <w:tcBorders>
              <w:bottom w:val="single" w:sz="3" w:color="C9D5DF"/>
            </w:tcBorders>
            <w:vAlign w:val="center"/>
          </w:tcPr>
          <w:p>
            <w:pPr>
              <w:spacing w:after="0"/>
            </w:pPr>
            <w:r>
              <w:rPr>
                <w:color w:val="263746"/>
                <w:sz w:val="15"/>
              </w:rPr>
              <w:t>Six main-topic partitions and isolated consumer evidence</w:t>
            </w:r>
          </w:p>
        </w:tc>
      </w:tr>
      <w:tr>
        <w:trPr>
          <w:cantSplit/>
        </w:trPr>
        <w:tc>
          <w:tcPr>
            <w:tcW w:type="dxa" w:w="1701"/>
            <w:tcMar>
              <w:top w:w="55" w:type="dxa"/>
              <w:start w:w="65" w:type="dxa"/>
              <w:bottom w:w="55" w:type="dxa"/>
              <w:end w:w="65" w:type="dxa"/>
            </w:tcMar>
            <w:tcBorders>
              <w:bottom w:val="single" w:sz="3" w:color="C9D5DF"/>
            </w:tcBorders>
            <w:vAlign w:val="center"/>
          </w:tcPr>
          <w:p>
            <w:pPr>
              <w:spacing w:after="0"/>
            </w:pPr>
            <w:r>
              <w:rPr>
                <w:color w:val="263746"/>
                <w:sz w:val="15"/>
              </w:rPr>
              <w:t>Customer product</w:t>
            </w:r>
          </w:p>
        </w:tc>
        <w:tc>
          <w:tcPr>
            <w:tcW w:type="dxa" w:w="4025"/>
            <w:tcMar>
              <w:top w:w="55" w:type="dxa"/>
              <w:start w:w="65" w:type="dxa"/>
              <w:bottom w:w="55" w:type="dxa"/>
              <w:end w:w="65" w:type="dxa"/>
            </w:tcMar>
            <w:tcBorders>
              <w:bottom w:val="single" w:sz="3" w:color="C9D5DF"/>
            </w:tcBorders>
            <w:vAlign w:val="center"/>
          </w:tcPr>
          <w:p>
            <w:pPr>
              <w:spacing w:after="0"/>
            </w:pPr>
            <w:r>
              <w:rPr>
                <w:color w:val="263746"/>
                <w:sz w:val="15"/>
              </w:rPr>
              <w:t>Bounded household dashboard</w:t>
            </w:r>
          </w:p>
        </w:tc>
        <w:tc>
          <w:tcPr>
            <w:tcW w:type="dxa" w:w="4139"/>
            <w:tcMar>
              <w:top w:w="55" w:type="dxa"/>
              <w:start w:w="65" w:type="dxa"/>
              <w:bottom w:w="55" w:type="dxa"/>
              <w:end w:w="65" w:type="dxa"/>
            </w:tcMar>
            <w:tcBorders>
              <w:bottom w:val="single" w:sz="3" w:color="C9D5DF"/>
            </w:tcBorders>
            <w:vAlign w:val="center"/>
          </w:tcPr>
          <w:p>
            <w:pPr>
              <w:spacing w:after="0"/>
            </w:pPr>
            <w:r>
              <w:rPr>
                <w:color w:val="263746"/>
                <w:sz w:val="15"/>
              </w:rPr>
              <w:t>Exact cohort aggregate, search/profile filters, pagination</w:t>
            </w:r>
          </w:p>
        </w:tc>
      </w:tr>
      <w:tr>
        <w:trPr>
          <w:cantSplit/>
        </w:trPr>
        <w:tc>
          <w:tcPr>
            <w:tcW w:type="dxa" w:w="1701"/>
            <w:shd w:fill="F3F7FA"/>
            <w:tcMar>
              <w:top w:w="55" w:type="dxa"/>
              <w:start w:w="65" w:type="dxa"/>
              <w:bottom w:w="55" w:type="dxa"/>
              <w:end w:w="65" w:type="dxa"/>
            </w:tcMar>
            <w:tcBorders>
              <w:bottom w:val="single" w:sz="3" w:color="C9D5DF"/>
            </w:tcBorders>
            <w:vAlign w:val="center"/>
          </w:tcPr>
          <w:p>
            <w:pPr>
              <w:spacing w:after="0"/>
            </w:pPr>
            <w:r>
              <w:rPr>
                <w:color w:val="263746"/>
                <w:sz w:val="15"/>
              </w:rPr>
              <w:t>Scale evidence</w:t>
            </w:r>
          </w:p>
        </w:tc>
        <w:tc>
          <w:tcPr>
            <w:tcW w:type="dxa" w:w="4025"/>
            <w:shd w:fill="F3F7FA"/>
            <w:tcMar>
              <w:top w:w="55" w:type="dxa"/>
              <w:start w:w="65" w:type="dxa"/>
              <w:bottom w:w="55" w:type="dxa"/>
              <w:end w:w="65" w:type="dxa"/>
            </w:tcMar>
            <w:tcBorders>
              <w:bottom w:val="single" w:sz="3" w:color="C9D5DF"/>
            </w:tcBorders>
            <w:vAlign w:val="center"/>
          </w:tcPr>
          <w:p>
            <w:pPr>
              <w:spacing w:after="0"/>
            </w:pPr>
            <w:r>
              <w:rPr>
                <w:color w:val="263746"/>
                <w:sz w:val="15"/>
              </w:rPr>
              <w:t>15-device pass; 241-device delivery demo; failed first capacity gate</w:t>
            </w:r>
          </w:p>
        </w:tc>
        <w:tc>
          <w:tcPr>
            <w:tcW w:type="dxa" w:w="4139"/>
            <w:shd w:fill="F3F7FA"/>
            <w:tcMar>
              <w:top w:w="55" w:type="dxa"/>
              <w:start w:w="65" w:type="dxa"/>
              <w:bottom w:w="55" w:type="dxa"/>
              <w:end w:w="65" w:type="dxa"/>
            </w:tcMar>
            <w:tcBorders>
              <w:bottom w:val="single" w:sz="3" w:color="C9D5DF"/>
            </w:tcBorders>
            <w:vAlign w:val="center"/>
          </w:tcPr>
          <w:p>
            <w:pPr>
              <w:spacing w:after="0"/>
            </w:pPr>
            <w:r>
              <w:rPr>
                <w:color w:val="263746"/>
                <w:sz w:val="15"/>
              </w:rPr>
              <w:t>Staged functional and sustained classification</w:t>
            </w:r>
          </w:p>
        </w:tc>
      </w:tr>
    </w:tbl>
    <w:p>
      <w:pPr>
        <w:spacing w:after="0"/>
      </w:pPr>
    </w:p>
    <w:p>
      <w:pPr>
        <w:pStyle w:val="Heading1"/>
        <w:pBdr>
          <w:bottom w:val="single" w:sz="8" w:space="3" w:color="23866C"/>
        </w:pBdr>
      </w:pPr>
      <w:r>
        <w:t>4. Monthly Development Focus</w:t>
      </w:r>
    </w:p>
    <w:p>
      <w:pPr>
        <w:pStyle w:val="ListBullet"/>
        <w:spacing w:after="40"/>
        <w:ind w:left="283" w:hanging="170"/>
      </w:pPr>
      <w:r>
        <w:t>Create exactly 100 unique households and exactly 1,000 unique assets from deterministic profile inventories.</w:t>
      </w:r>
    </w:p>
    <w:p>
      <w:pPr>
        <w:pStyle w:val="ListBullet"/>
        <w:spacing w:after="40"/>
        <w:ind w:left="283" w:hanging="170"/>
      </w:pPr>
      <w:r>
        <w:t>Use one bounded generator process and deterministic reporting offsets rather than per-device containers or timers.</w:t>
      </w:r>
    </w:p>
    <w:p>
      <w:pPr>
        <w:pStyle w:val="ListBullet"/>
        <w:spacing w:after="40"/>
        <w:ind w:left="283" w:hanging="170"/>
      </w:pPr>
      <w:r>
        <w:t>Submit every generated normalized reading to local Phi-3 Mini and retain full terminal SLM evidence.</w:t>
      </w:r>
    </w:p>
    <w:p>
      <w:pPr>
        <w:pStyle w:val="ListBullet"/>
        <w:spacing w:after="40"/>
        <w:ind w:left="283" w:hanging="170"/>
      </w:pPr>
      <w:r>
        <w:t>Preserve deterministic SAREF4ENER as validator/retry/safe-unmapped logic only.</w:t>
      </w:r>
    </w:p>
    <w:p>
      <w:pPr>
        <w:pStyle w:val="ListBullet"/>
        <w:spacing w:after="40"/>
        <w:ind w:left="283" w:hanging="170"/>
      </w:pPr>
      <w:r>
        <w:t>Benchmark local micro-batches and select a stable configuration from measured quality and throughput.</w:t>
      </w:r>
    </w:p>
    <w:p>
      <w:pPr>
        <w:pStyle w:val="ListBullet"/>
        <w:spacing w:after="40"/>
        <w:ind w:left="283" w:hanging="170"/>
      </w:pPr>
      <w:r>
        <w:t>Guarantee stable message/reading identities, conflict-safe durable writes, zero silent drops, and duplicate detection.</w:t>
      </w:r>
    </w:p>
    <w:p>
      <w:pPr>
        <w:pStyle w:val="ListBullet"/>
        <w:spacing w:after="40"/>
        <w:ind w:left="283" w:hanging="170"/>
      </w:pPr>
      <w:r>
        <w:t>Execute staged and sustained validations through semantic, IEEE-style, flexibility, mock dispatch, device translation, dataspace export, and dashboard views.</w:t>
      </w:r>
    </w:p>
    <w:p>
      <w:pPr>
        <w:pStyle w:val="ListBullet"/>
        <w:spacing w:after="40"/>
        <w:ind w:left="283" w:hanging="170"/>
      </w:pPr>
      <w:r>
        <w:t>Build a measured future infrastructure model without claiming unexecuted scale.</w:t>
      </w:r>
    </w:p>
    <w:p>
      <w:r>
        <w:br w:type="page"/>
      </w:r>
    </w:p>
    <w:p>
      <w:pPr>
        <w:pStyle w:val="Heading1"/>
        <w:pBdr>
          <w:bottom w:val="single" w:sz="8" w:space="3" w:color="23866C"/>
        </w:pBdr>
      </w:pPr>
      <w:r>
        <w:t>5. Major Work Completed</w:t>
      </w:r>
    </w:p>
    <w:p>
      <w:pPr>
        <w:pStyle w:val="Heading2"/>
      </w:pPr>
      <w:r>
        <w:t>5.1 Exact population and workload model</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Previous state</w:t>
            </w:r>
          </w:p>
        </w:tc>
        <w:tc>
          <w:tcPr>
            <w:tcW w:type="dxa" w:w="7483"/>
            <w:tcMar>
              <w:top w:w="70" w:type="dxa"/>
              <w:start w:w="90" w:type="dxa"/>
              <w:bottom w:w="70" w:type="dxa"/>
              <w:end w:w="90" w:type="dxa"/>
            </w:tcMar>
            <w:tcBorders>
              <w:bottom w:val="single" w:sz="4" w:color="C9D5DF"/>
            </w:tcBorders>
          </w:tcPr>
          <w:p>
            <w:pPr>
              <w:spacing w:after="0"/>
            </w:pPr>
            <w:r>
              <w:rPr>
                <w:sz w:val="17"/>
              </w:rPr>
              <w:t>The July fleet used profile ranges and produced 241 devices across 20 households. It was suitable for a product demo but not the exact validation contract.</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Change made</w:t>
            </w:r>
          </w:p>
        </w:tc>
        <w:tc>
          <w:tcPr>
            <w:tcW w:type="dxa" w:w="7483"/>
            <w:tcMar>
              <w:top w:w="70" w:type="dxa"/>
              <w:start w:w="90" w:type="dxa"/>
              <w:bottom w:w="70" w:type="dxa"/>
              <w:end w:w="90" w:type="dxa"/>
            </w:tcMar>
            <w:tcBorders>
              <w:bottom w:val="single" w:sz="4" w:color="C9D5DF"/>
            </w:tcBorders>
          </w:tcPr>
          <w:p>
            <w:pPr>
              <w:spacing w:after="0"/>
            </w:pPr>
            <w:r>
              <w:rPr>
                <w:sz w:val="17"/>
              </w:rPr>
              <w:t>Three profile configuration files and scale-1000-assets.json now create 30 apartments, 50 standard homes, and 20 prosumer homes with fixed inventories totaling 1,000 assets.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Reason</w:t>
            </w:r>
          </w:p>
        </w:tc>
        <w:tc>
          <w:tcPr>
            <w:tcW w:type="dxa" w:w="7483"/>
            <w:tcMar>
              <w:top w:w="70" w:type="dxa"/>
              <w:start w:w="90" w:type="dxa"/>
              <w:bottom w:w="70" w:type="dxa"/>
              <w:end w:w="90" w:type="dxa"/>
            </w:tcMar>
            <w:tcBorders>
              <w:bottom w:val="single" w:sz="4" w:color="C9D5DF"/>
            </w:tcBorders>
          </w:tcPr>
          <w:p>
            <w:pPr>
              <w:spacing w:after="0"/>
            </w:pPr>
            <w:r>
              <w:rPr>
                <w:sz w:val="17"/>
              </w:rPr>
              <w:t>A reproducible validation requires exact counts, stable identities, predictable category coverage, and comparable stage subsets.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Technical implementation</w:t>
            </w:r>
          </w:p>
        </w:tc>
        <w:tc>
          <w:tcPr>
            <w:tcW w:type="dxa" w:w="7483"/>
            <w:tcMar>
              <w:top w:w="70" w:type="dxa"/>
              <w:start w:w="90" w:type="dxa"/>
              <w:bottom w:w="70" w:type="dxa"/>
              <w:end w:w="90" w:type="dxa"/>
            </w:tcMar>
            <w:tcBorders>
              <w:bottom w:val="single" w:sz="4" w:color="C9D5DF"/>
            </w:tcBorders>
          </w:tcPr>
          <w:p>
            <w:pPr>
              <w:spacing w:after="0"/>
            </w:pPr>
            <w:r>
              <w:rPr>
                <w:sz w:val="17"/>
              </w:rPr>
              <w:t>Seed 1000100, Europe/Dublin context, profile-qualified household IDs, globally unique device IDs, deterministic hash offsets, occupancy/base-load metadata, measurement capabilities, and safety flags are preserved. Stages use exact 10/100, 25/250, 50/500, and 100/1,000 subsets.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Validation</w:t>
            </w:r>
          </w:p>
        </w:tc>
        <w:tc>
          <w:tcPr>
            <w:tcW w:type="dxa" w:w="7483"/>
            <w:tcMar>
              <w:top w:w="70" w:type="dxa"/>
              <w:start w:w="90" w:type="dxa"/>
              <w:bottom w:w="70" w:type="dxa"/>
              <w:end w:w="90" w:type="dxa"/>
            </w:tcMar>
            <w:tcBorders>
              <w:bottom w:val="single" w:sz="4" w:color="C9D5DF"/>
            </w:tcBorders>
          </w:tcPr>
          <w:p>
            <w:pPr>
              <w:spacing w:after="0"/>
            </w:pPr>
            <w:r>
              <w:rPr>
                <w:sz w:val="17"/>
              </w:rPr>
              <w:t>Automated tests fail if profile, household, device, or category totals differ. Machine-readable population summaries and device inventories accompany each run.</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EnerShare value</w:t>
            </w:r>
          </w:p>
        </w:tc>
        <w:tc>
          <w:tcPr>
            <w:tcW w:type="dxa" w:w="7483"/>
            <w:tcMar>
              <w:top w:w="70" w:type="dxa"/>
              <w:start w:w="90" w:type="dxa"/>
              <w:bottom w:w="70" w:type="dxa"/>
              <w:end w:w="90" w:type="dxa"/>
            </w:tcMar>
            <w:tcBorders>
              <w:bottom w:val="single" w:sz="4" w:color="C9D5DF"/>
            </w:tcBorders>
          </w:tcPr>
          <w:p>
            <w:pPr>
              <w:spacing w:after="0"/>
            </w:pPr>
            <w:r>
              <w:rPr>
                <w:sz w:val="17"/>
              </w:rPr>
              <w:t>EnerShare can reproduce the same portfolio and compare semantic, operational, and customer metrics across test runs.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Current status</w:t>
            </w:r>
          </w:p>
        </w:tc>
        <w:tc>
          <w:tcPr>
            <w:tcW w:type="dxa" w:w="7483"/>
            <w:tcMar>
              <w:top w:w="70" w:type="dxa"/>
              <w:start w:w="90" w:type="dxa"/>
              <w:bottom w:w="70" w:type="dxa"/>
              <w:end w:w="90" w:type="dxa"/>
            </w:tcMar>
            <w:tcBorders>
              <w:bottom w:val="single" w:sz="4" w:color="C9D5DF"/>
            </w:tcBorders>
          </w:tcPr>
          <w:p>
            <w:pPr>
              <w:spacing w:after="0"/>
            </w:pPr>
            <w:r>
              <w:rPr>
                <w:sz w:val="17"/>
              </w:rPr>
              <w:t>Implemented and validated for the exact 100-household/1,000-asset cohort.</w:t>
            </w:r>
          </w:p>
        </w:tc>
      </w:tr>
    </w:tbl>
    <w:p>
      <w:pPr>
        <w:spacing w:after="0"/>
      </w:pPr>
    </w:p>
    <w:p>
      <w:pPr>
        <w:pStyle w:val="Heading2"/>
      </w:pPr>
      <w:r>
        <w:t>5.2 Memory-efficient scheduling and primary-reading strategy</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Previous state</w:t>
            </w:r>
          </w:p>
        </w:tc>
        <w:tc>
          <w:tcPr>
            <w:tcW w:type="dxa" w:w="7483"/>
            <w:tcMar>
              <w:top w:w="70" w:type="dxa"/>
              <w:start w:w="90" w:type="dxa"/>
              <w:bottom w:w="70" w:type="dxa"/>
              <w:end w:w="90" w:type="dxa"/>
            </w:tcMar>
            <w:tcBorders>
              <w:bottom w:val="single" w:sz="4" w:color="C9D5DF"/>
            </w:tcBorders>
          </w:tcPr>
          <w:p>
            <w:pPr>
              <w:spacing w:after="0"/>
            </w:pPr>
            <w:r>
              <w:rPr>
                <w:sz w:val="17"/>
              </w:rPr>
              <w:t>The fleet emitted several measurements per message, and generic scale generation covered only three device families.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Change made</w:t>
            </w:r>
          </w:p>
        </w:tc>
        <w:tc>
          <w:tcPr>
            <w:tcW w:type="dxa" w:w="7483"/>
            <w:tcMar>
              <w:top w:w="70" w:type="dxa"/>
              <w:start w:w="90" w:type="dxa"/>
              <w:bottom w:w="70" w:type="dxa"/>
              <w:end w:w="90" w:type="dxa"/>
            </w:tcMar>
            <w:tcBorders>
              <w:bottom w:val="single" w:sz="4" w:color="C9D5DF"/>
            </w:tcBorders>
          </w:tcPr>
          <w:p>
            <w:pPr>
              <w:spacing w:after="0"/>
            </w:pPr>
            <w:r>
              <w:rPr>
                <w:sz w:val="17"/>
              </w:rPr>
              <w:t>The exact fleet supports all requested categories, deterministic stage populations, one primary measurement per asset for functional runs, and complete multi-field coverage mode.</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Reason</w:t>
            </w:r>
          </w:p>
        </w:tc>
        <w:tc>
          <w:tcPr>
            <w:tcW w:type="dxa" w:w="7483"/>
            <w:tcMar>
              <w:top w:w="70" w:type="dxa"/>
              <w:start w:w="90" w:type="dxa"/>
              <w:bottom w:w="70" w:type="dxa"/>
              <w:end w:w="90" w:type="dxa"/>
            </w:tcMar>
            <w:tcBorders>
              <w:bottom w:val="single" w:sz="4" w:color="C9D5DF"/>
            </w:tcBorders>
          </w:tcPr>
          <w:p>
            <w:pPr>
              <w:spacing w:after="0"/>
            </w:pPr>
            <w:r>
              <w:rPr>
                <w:sz w:val="17"/>
              </w:rPr>
              <w:t>The laptop must process every reading through the SLM. Treating identity and state metadata as separate readings would inflate inference volume without adding semantic value.</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Technical implementation</w:t>
            </w:r>
          </w:p>
        </w:tc>
        <w:tc>
          <w:tcPr>
            <w:tcW w:type="dxa" w:w="7483"/>
            <w:tcMar>
              <w:top w:w="70" w:type="dxa"/>
              <w:start w:w="90" w:type="dxa"/>
              <w:bottom w:w="70" w:type="dxa"/>
              <w:end w:w="90" w:type="dxa"/>
            </w:tcMar>
            <w:tcBorders>
              <w:bottom w:val="single" w:sz="4" w:color="C9D5DF"/>
            </w:tcBorders>
          </w:tcPr>
          <w:p>
            <w:pPr>
              <w:spacing w:after="0"/>
            </w:pPr>
            <w:r>
              <w:rPr>
                <w:sz w:val="17"/>
              </w:rPr>
              <w:t>One scheduler uses stable device-ID offsets over configurable windows, bounded concurrency, streamed JSONL evidence, stable retry identities, and no process/thread/timer per device. Primary fields rotate over later cycles.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Validation</w:t>
            </w:r>
          </w:p>
        </w:tc>
        <w:tc>
          <w:tcPr>
            <w:tcW w:type="dxa" w:w="7483"/>
            <w:tcMar>
              <w:top w:w="70" w:type="dxa"/>
              <w:start w:w="90" w:type="dxa"/>
              <w:bottom w:w="70" w:type="dxa"/>
              <w:end w:w="90" w:type="dxa"/>
            </w:tcMar>
            <w:tcBorders>
              <w:bottom w:val="single" w:sz="4" w:color="C9D5DF"/>
            </w:tcBorders>
          </w:tcPr>
          <w:p>
            <w:pPr>
              <w:spacing w:after="0"/>
            </w:pPr>
            <w:r>
              <w:rPr>
                <w:sz w:val="17"/>
              </w:rPr>
              <w:t>The 1,000-asset generator peak RSS was 74.57 MiB. The measured incremental slope from 100 to 1,000 assets was about 16.9 KiB per virtual asset.</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EnerShare value</w:t>
            </w:r>
          </w:p>
        </w:tc>
        <w:tc>
          <w:tcPr>
            <w:tcW w:type="dxa" w:w="7483"/>
            <w:tcMar>
              <w:top w:w="70" w:type="dxa"/>
              <w:start w:w="90" w:type="dxa"/>
              <w:bottom w:w="70" w:type="dxa"/>
              <w:end w:w="90" w:type="dxa"/>
            </w:tcMar>
            <w:tcBorders>
              <w:bottom w:val="single" w:sz="4" w:color="C9D5DF"/>
            </w:tcBorders>
          </w:tcPr>
          <w:p>
            <w:pPr>
              <w:spacing w:after="0"/>
            </w:pPr>
            <w:r>
              <w:rPr>
                <w:sz w:val="17"/>
              </w:rPr>
              <w:t>The simulator can increase population by configuration while keeping local resource use and evidence generation controlled.</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Current status</w:t>
            </w:r>
          </w:p>
        </w:tc>
        <w:tc>
          <w:tcPr>
            <w:tcW w:type="dxa" w:w="7483"/>
            <w:tcMar>
              <w:top w:w="70" w:type="dxa"/>
              <w:start w:w="90" w:type="dxa"/>
              <w:bottom w:w="70" w:type="dxa"/>
              <w:end w:w="90" w:type="dxa"/>
            </w:tcMar>
            <w:tcBorders>
              <w:bottom w:val="single" w:sz="4" w:color="C9D5DF"/>
            </w:tcBorders>
          </w:tcPr>
          <w:p>
            <w:pPr>
              <w:spacing w:after="0"/>
            </w:pPr>
            <w:r>
              <w:rPr>
                <w:sz w:val="17"/>
              </w:rPr>
              <w:t>Implemented. Generator memory was not the observed bottleneck.</w:t>
            </w:r>
          </w:p>
        </w:tc>
      </w:tr>
    </w:tbl>
    <w:p>
      <w:pPr>
        <w:spacing w:after="0"/>
      </w:pPr>
    </w:p>
    <w:p>
      <w:pPr>
        <w:pStyle w:val="Heading2"/>
      </w:pPr>
      <w:r>
        <w:t>5.3 Durable identity and database processing</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Previous state</w:t>
            </w:r>
          </w:p>
        </w:tc>
        <w:tc>
          <w:tcPr>
            <w:tcW w:type="dxa" w:w="7483"/>
            <w:tcMar>
              <w:top w:w="70" w:type="dxa"/>
              <w:start w:w="90" w:type="dxa"/>
              <w:bottom w:w="70" w:type="dxa"/>
              <w:end w:w="90" w:type="dxa"/>
            </w:tcMar>
            <w:tcBorders>
              <w:bottom w:val="single" w:sz="4" w:color="C9D5DF"/>
            </w:tcBorders>
          </w:tcPr>
          <w:p>
            <w:pPr>
              <w:spacing w:after="0"/>
            </w:pPr>
            <w:r>
              <w:rPr>
                <w:sz w:val="17"/>
              </w:rPr>
              <w:t>Existing reads were conflict-aware, but the exact scale programme needed stronger population registration and identity continuity across retries and rebalances.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Change made</w:t>
            </w:r>
          </w:p>
        </w:tc>
        <w:tc>
          <w:tcPr>
            <w:tcW w:type="dxa" w:w="7483"/>
            <w:tcMar>
              <w:top w:w="70" w:type="dxa"/>
              <w:start w:w="90" w:type="dxa"/>
              <w:bottom w:w="70" w:type="dxa"/>
              <w:end w:w="90" w:type="dxa"/>
            </w:tcMar>
            <w:tcBorders>
              <w:bottom w:val="single" w:sz="4" w:color="C9D5DF"/>
            </w:tcBorders>
          </w:tcPr>
          <w:p>
            <w:pPr>
              <w:spacing w:after="0"/>
            </w:pPr>
            <w:r>
              <w:rPr>
                <w:sz w:val="17"/>
              </w:rPr>
              <w:t>Migrations 013 and 014, transactional registry upserts, producer-supplied reading IDs, and conflict-safe raw/normalized/semantic/IEEE writes were integrated.</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Reason</w:t>
            </w:r>
          </w:p>
        </w:tc>
        <w:tc>
          <w:tcPr>
            <w:tcW w:type="dxa" w:w="7483"/>
            <w:tcMar>
              <w:top w:w="70" w:type="dxa"/>
              <w:start w:w="90" w:type="dxa"/>
              <w:bottom w:w="70" w:type="dxa"/>
              <w:end w:w="90" w:type="dxa"/>
            </w:tcMar>
            <w:tcBorders>
              <w:bottom w:val="single" w:sz="4" w:color="C9D5DF"/>
            </w:tcBorders>
          </w:tcPr>
          <w:p>
            <w:pPr>
              <w:spacing w:after="0"/>
            </w:pPr>
            <w:r>
              <w:rPr>
                <w:sz w:val="17"/>
              </w:rPr>
              <w:t>Queue retries and consumer rebalances must not create duplicate durable results, and offset completion cannot occur before storage/output publication succeeds.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Technical implementation</w:t>
            </w:r>
          </w:p>
        </w:tc>
        <w:tc>
          <w:tcPr>
            <w:tcW w:type="dxa" w:w="7483"/>
            <w:tcMar>
              <w:top w:w="70" w:type="dxa"/>
              <w:start w:w="90" w:type="dxa"/>
              <w:bottom w:w="70" w:type="dxa"/>
              <w:end w:w="90" w:type="dxa"/>
            </w:tcMar>
            <w:tcBorders>
              <w:bottom w:val="single" w:sz="4" w:color="C9D5DF"/>
            </w:tcBorders>
          </w:tcPr>
          <w:p>
            <w:pPr>
              <w:spacing w:after="0"/>
            </w:pPr>
            <w:r>
              <w:rPr>
                <w:sz w:val="17"/>
              </w:rPr>
              <w:t>Message and reading identities remain stable on gateway retries. The engine preserves producer reading IDs. The semantic connector commits only after terminal audit plus semantic/IEEE/output completion. Stage checks query duplicate IDs in every durable class.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Validation</w:t>
            </w:r>
          </w:p>
        </w:tc>
        <w:tc>
          <w:tcPr>
            <w:tcW w:type="dxa" w:w="7483"/>
            <w:tcMar>
              <w:top w:w="70" w:type="dxa"/>
              <w:start w:w="90" w:type="dxa"/>
              <w:bottom w:w="70" w:type="dxa"/>
              <w:end w:w="90" w:type="dxa"/>
            </w:tcMar>
            <w:tcBorders>
              <w:bottom w:val="single" w:sz="4" w:color="C9D5DF"/>
            </w:tcBorders>
          </w:tcPr>
          <w:p>
            <w:pPr>
              <w:spacing w:after="0"/>
            </w:pPr>
            <w:r>
              <w:rPr>
                <w:sz w:val="17"/>
              </w:rPr>
              <w:t>The authoritative functional and 5 August coverage/sustained runs recorded zero duplicate normalized, audit, semantic, or IEEE IDs and zero database/processing error rows.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EnerShare value</w:t>
            </w:r>
          </w:p>
        </w:tc>
        <w:tc>
          <w:tcPr>
            <w:tcW w:type="dxa" w:w="7483"/>
            <w:tcMar>
              <w:top w:w="70" w:type="dxa"/>
              <w:start w:w="90" w:type="dxa"/>
              <w:bottom w:w="70" w:type="dxa"/>
              <w:end w:w="90" w:type="dxa"/>
            </w:tcMar>
            <w:tcBorders>
              <w:bottom w:val="single" w:sz="4" w:color="C9D5DF"/>
            </w:tcBorders>
          </w:tcPr>
          <w:p>
            <w:pPr>
              <w:spacing w:after="0"/>
            </w:pPr>
            <w:r>
              <w:rPr>
                <w:sz w:val="17"/>
              </w:rPr>
              <w:t>EnerShare obtains replay-safe evidence suitable for audit and recovery testing rather than optimistic queue counters.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Current status</w:t>
            </w:r>
          </w:p>
        </w:tc>
        <w:tc>
          <w:tcPr>
            <w:tcW w:type="dxa" w:w="7483"/>
            <w:tcMar>
              <w:top w:w="70" w:type="dxa"/>
              <w:start w:w="90" w:type="dxa"/>
              <w:bottom w:w="70" w:type="dxa"/>
              <w:end w:w="90" w:type="dxa"/>
            </w:tcMar>
            <w:tcBorders>
              <w:bottom w:val="single" w:sz="4" w:color="C9D5DF"/>
            </w:tcBorders>
          </w:tcPr>
          <w:p>
            <w:pPr>
              <w:spacing w:after="0"/>
            </w:pPr>
            <w:r>
              <w:rPr>
                <w:sz w:val="17"/>
              </w:rPr>
              <w:t>Implemented and validated in the controlled local runs.</w:t>
            </w:r>
          </w:p>
        </w:tc>
      </w:tr>
    </w:tbl>
    <w:p>
      <w:pPr>
        <w:spacing w:after="0"/>
      </w:pPr>
    </w:p>
    <w:p>
      <w:pPr>
        <w:pStyle w:val="Heading2"/>
      </w:pPr>
      <w:r>
        <w:t>5.4 Semantic coverage and local batch selection</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Previous state</w:t>
            </w:r>
          </w:p>
        </w:tc>
        <w:tc>
          <w:tcPr>
            <w:tcW w:type="dxa" w:w="7483"/>
            <w:tcMar>
              <w:top w:w="70" w:type="dxa"/>
              <w:start w:w="90" w:type="dxa"/>
              <w:bottom w:w="70" w:type="dxa"/>
              <w:end w:w="90" w:type="dxa"/>
            </w:tcMar>
            <w:tcBorders>
              <w:bottom w:val="single" w:sz="4" w:color="C9D5DF"/>
            </w:tcBorders>
          </w:tcPr>
          <w:p>
            <w:pPr>
              <w:spacing w:after="0"/>
            </w:pPr>
            <w:r>
              <w:rPr>
                <w:sz w:val="17"/>
              </w:rPr>
              <w:t>The July provider/batching foundation existed, but exact categories and locally stable batch size were not fully established.</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Change made</w:t>
            </w:r>
          </w:p>
        </w:tc>
        <w:tc>
          <w:tcPr>
            <w:tcW w:type="dxa" w:w="7483"/>
            <w:tcMar>
              <w:top w:w="70" w:type="dxa"/>
              <w:start w:w="90" w:type="dxa"/>
              <w:bottom w:w="70" w:type="dxa"/>
              <w:end w:w="90" w:type="dxa"/>
            </w:tcMar>
            <w:tcBorders>
              <w:bottom w:val="single" w:sz="4" w:color="C9D5DF"/>
            </w:tcBorders>
          </w:tcPr>
          <w:p>
            <w:pPr>
              <w:spacing w:after="0"/>
            </w:pPr>
            <w:r>
              <w:rPr>
                <w:sz w:val="17"/>
              </w:rPr>
              <w:t>Prompts, Ollama/vLLM adapters, strict schema, and SAREF4ENER allowlists were extended for power, energy, voltage, current, temperature, state of charge, generation, operating/charging state, and availability.</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Reason</w:t>
            </w:r>
          </w:p>
        </w:tc>
        <w:tc>
          <w:tcPr>
            <w:tcW w:type="dxa" w:w="7483"/>
            <w:tcMar>
              <w:top w:w="70" w:type="dxa"/>
              <w:start w:w="90" w:type="dxa"/>
              <w:bottom w:w="70" w:type="dxa"/>
              <w:end w:w="90" w:type="dxa"/>
            </w:tcMar>
            <w:tcBorders>
              <w:bottom w:val="single" w:sz="4" w:color="C9D5DF"/>
            </w:tcBorders>
          </w:tcPr>
          <w:p>
            <w:pPr>
              <w:spacing w:after="0"/>
            </w:pPr>
            <w:r>
              <w:rPr>
                <w:sz w:val="17"/>
              </w:rPr>
              <w:t>Every selected device category must enter the same mandatory semantic process, and larger batches are useful only if outputs remain validator-compatible.</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Technical implementation</w:t>
            </w:r>
          </w:p>
        </w:tc>
        <w:tc>
          <w:tcPr>
            <w:tcW w:type="dxa" w:w="7483"/>
            <w:tcMar>
              <w:top w:w="70" w:type="dxa"/>
              <w:start w:w="90" w:type="dxa"/>
              <w:bottom w:w="70" w:type="dxa"/>
              <w:end w:w="90" w:type="dxa"/>
            </w:tcMar>
            <w:tcBorders>
              <w:bottom w:val="single" w:sz="4" w:color="C9D5DF"/>
            </w:tcBorders>
          </w:tcPr>
          <w:p>
            <w:pPr>
              <w:spacing w:after="0"/>
            </w:pPr>
            <w:r>
              <w:rPr>
                <w:sz w:val="17"/>
              </w:rPr>
              <w:t>The connector requires structured reading IDs, rejects duplicates/unexpected/missing mappings and command output, applies confidence/unit/property relationships, retries bounded failures, and persists mapped or safely-unmapped terminal outcomes. Batch size 8 was selected after direct preflight.</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Validation</w:t>
            </w:r>
          </w:p>
        </w:tc>
        <w:tc>
          <w:tcPr>
            <w:tcW w:type="dxa" w:w="7483"/>
            <w:tcMar>
              <w:top w:w="70" w:type="dxa"/>
              <w:start w:w="90" w:type="dxa"/>
              <w:bottom w:w="70" w:type="dxa"/>
              <w:end w:w="90" w:type="dxa"/>
            </w:tcMar>
            <w:tcBorders>
              <w:bottom w:val="single" w:sz="4" w:color="C9D5DF"/>
            </w:tcBorders>
          </w:tcPr>
          <w:p>
            <w:pPr>
              <w:spacing w:after="0"/>
            </w:pPr>
            <w:r>
              <w:rPr>
                <w:sz w:val="17"/>
              </w:rPr>
              <w:t>The 5 August coverage run produced 374/374 terminal SLM outcomes with 339 accepted and 35 safely unmapped. No deterministic replacement mapping was generated.</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EnerShare value</w:t>
            </w:r>
          </w:p>
        </w:tc>
        <w:tc>
          <w:tcPr>
            <w:tcW w:type="dxa" w:w="7483"/>
            <w:tcMar>
              <w:top w:w="70" w:type="dxa"/>
              <w:start w:w="90" w:type="dxa"/>
              <w:bottom w:w="70" w:type="dxa"/>
              <w:end w:w="90" w:type="dxa"/>
            </w:tcMar>
            <w:tcBorders>
              <w:bottom w:val="single" w:sz="4" w:color="C9D5DF"/>
            </w:tcBorders>
          </w:tcPr>
          <w:p>
            <w:pPr>
              <w:spacing w:after="0"/>
            </w:pPr>
            <w:r>
              <w:rPr>
                <w:sz w:val="17"/>
              </w:rPr>
              <w:t>Broader vendor/device interpretation is added without weakening semantic governance when the model is uncertain.</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Current status</w:t>
            </w:r>
          </w:p>
        </w:tc>
        <w:tc>
          <w:tcPr>
            <w:tcW w:type="dxa" w:w="7483"/>
            <w:tcMar>
              <w:top w:w="70" w:type="dxa"/>
              <w:start w:w="90" w:type="dxa"/>
              <w:bottom w:w="70" w:type="dxa"/>
              <w:end w:w="90" w:type="dxa"/>
            </w:tcMar>
            <w:tcBorders>
              <w:bottom w:val="single" w:sz="4" w:color="C9D5DF"/>
            </w:tcBorders>
          </w:tcPr>
          <w:p>
            <w:pPr>
              <w:spacing w:after="0"/>
            </w:pPr>
            <w:r>
              <w:rPr>
                <w:sz w:val="17"/>
              </w:rPr>
              <w:t>Implemented and functionally validated; home-battery state-of-charge remains the principal semantic-quality gap.</w:t>
            </w:r>
          </w:p>
        </w:tc>
      </w:tr>
    </w:tbl>
    <w:p>
      <w:pPr>
        <w:spacing w:after="0"/>
      </w:pPr>
    </w:p>
    <w:p>
      <w:pPr>
        <w:pStyle w:val="Heading2"/>
      </w:pPr>
      <w:r>
        <w:t>5.5 Scale-aware customer product and evidence reporting</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Previous state</w:t>
            </w:r>
          </w:p>
        </w:tc>
        <w:tc>
          <w:tcPr>
            <w:tcW w:type="dxa" w:w="7483"/>
            <w:tcMar>
              <w:top w:w="70" w:type="dxa"/>
              <w:start w:w="90" w:type="dxa"/>
              <w:bottom w:w="70" w:type="dxa"/>
              <w:end w:w="90" w:type="dxa"/>
            </w:tcMar>
            <w:tcBorders>
              <w:bottom w:val="single" w:sz="4" w:color="C9D5DF"/>
            </w:tcBorders>
          </w:tcPr>
          <w:p>
            <w:pPr>
              <w:spacing w:after="0"/>
            </w:pPr>
            <w:r>
              <w:rPr>
                <w:sz w:val="17"/>
              </w:rPr>
              <w:t>The July product was bounded and role-aware but had not been proven against an exact 1,000-asset cohort.</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Change made</w:t>
            </w:r>
          </w:p>
        </w:tc>
        <w:tc>
          <w:tcPr>
            <w:tcW w:type="dxa" w:w="7483"/>
            <w:tcMar>
              <w:top w:w="70" w:type="dxa"/>
              <w:start w:w="90" w:type="dxa"/>
              <w:bottom w:w="70" w:type="dxa"/>
              <w:end w:w="90" w:type="dxa"/>
            </w:tcMar>
            <w:tcBorders>
              <w:bottom w:val="single" w:sz="4" w:color="C9D5DF"/>
            </w:tcBorders>
          </w:tcPr>
          <w:p>
            <w:pPr>
              <w:spacing w:after="0"/>
            </w:pPr>
            <w:r>
              <w:rPr>
                <w:sz w:val="17"/>
              </w:rPr>
              <w:t>Community/device APIs gained exact cohort aggregation, household profile filtering, device search, bounded pagination, and scale-specific data-readiness fields. Evidence builders now create JSON, CSV, charts, screenshots, and query benchmarks.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Reason</w:t>
            </w:r>
          </w:p>
        </w:tc>
        <w:tc>
          <w:tcPr>
            <w:tcW w:type="dxa" w:w="7483"/>
            <w:tcMar>
              <w:top w:w="70" w:type="dxa"/>
              <w:start w:w="90" w:type="dxa"/>
              <w:bottom w:w="70" w:type="dxa"/>
              <w:end w:w="90" w:type="dxa"/>
            </w:tcMar>
            <w:tcBorders>
              <w:bottom w:val="single" w:sz="4" w:color="C9D5DF"/>
            </w:tcBorders>
          </w:tcPr>
          <w:p>
            <w:pPr>
              <w:spacing w:after="0"/>
            </w:pPr>
            <w:r>
              <w:rPr>
                <w:sz w:val="17"/>
              </w:rPr>
              <w:t>A customer dashboard must remain responsive and private without loading 1,000 devices or exposing technical worker/model diagnostics.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Technical implementation</w:t>
            </w:r>
          </w:p>
        </w:tc>
        <w:tc>
          <w:tcPr>
            <w:tcW w:type="dxa" w:w="7483"/>
            <w:tcMar>
              <w:top w:w="70" w:type="dxa"/>
              <w:start w:w="90" w:type="dxa"/>
              <w:bottom w:w="70" w:type="dxa"/>
              <w:end w:w="90" w:type="dxa"/>
            </w:tcMar>
            <w:tcBorders>
              <w:bottom w:val="single" w:sz="4" w:color="C9D5DF"/>
            </w:tcBorders>
          </w:tcPr>
          <w:p>
            <w:pPr>
              <w:spacing w:after="0"/>
            </w:pPr>
            <w:r>
              <w:rPr>
                <w:sz w:val="17"/>
              </w:rPr>
              <w:t>Customer queries run server-side through the gateway, retain household scope, return 12/25-row pages, and aggregate portfolio totals. Technical diagnostics remain in /admin/operations.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Validation</w:t>
            </w:r>
          </w:p>
        </w:tc>
        <w:tc>
          <w:tcPr>
            <w:tcW w:type="dxa" w:w="7483"/>
            <w:tcMar>
              <w:top w:w="70" w:type="dxa"/>
              <w:start w:w="90" w:type="dxa"/>
              <w:bottom w:w="70" w:type="dxa"/>
              <w:end w:w="90" w:type="dxa"/>
            </w:tcMar>
            <w:tcBorders>
              <w:bottom w:val="single" w:sz="4" w:color="C9D5DF"/>
            </w:tcBorders>
          </w:tcPr>
          <w:p>
            <w:pPr>
              <w:spacing w:after="0"/>
            </w:pPr>
            <w:r>
              <w:rPr>
                <w:sz w:val="17"/>
              </w:rPr>
              <w:t>Community aggregates averaged 1.25 s and filtered 25-row pages 0.96 s during active inference. Production build, lint, product boundary, responsive/mobile, and live scale smoke tests passed.</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EnerShare value</w:t>
            </w:r>
          </w:p>
        </w:tc>
        <w:tc>
          <w:tcPr>
            <w:tcW w:type="dxa" w:w="7483"/>
            <w:tcMar>
              <w:top w:w="70" w:type="dxa"/>
              <w:start w:w="90" w:type="dxa"/>
              <w:bottom w:w="70" w:type="dxa"/>
              <w:end w:w="90" w:type="dxa"/>
            </w:tcMar>
            <w:tcBorders>
              <w:bottom w:val="single" w:sz="4" w:color="C9D5DF"/>
            </w:tcBorders>
          </w:tcPr>
          <w:p>
            <w:pPr>
              <w:spacing w:after="0"/>
            </w:pPr>
            <w:r>
              <w:rPr>
                <w:sz w:val="17"/>
              </w:rPr>
              <w:t>EnerShare can present portfolio composition and household detail at the validated population size without turning the browser into an operations console.</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Current status</w:t>
            </w:r>
          </w:p>
        </w:tc>
        <w:tc>
          <w:tcPr>
            <w:tcW w:type="dxa" w:w="7483"/>
            <w:tcMar>
              <w:top w:w="70" w:type="dxa"/>
              <w:start w:w="90" w:type="dxa"/>
              <w:bottom w:w="70" w:type="dxa"/>
              <w:end w:w="90" w:type="dxa"/>
            </w:tcMar>
            <w:tcBorders>
              <w:bottom w:val="single" w:sz="4" w:color="C9D5DF"/>
            </w:tcBorders>
          </w:tcPr>
          <w:p>
            <w:pPr>
              <w:spacing w:after="0"/>
            </w:pPr>
            <w:r>
              <w:rPr>
                <w:sz w:val="17"/>
              </w:rPr>
              <w:t>Implemented and validated for the local 1,000-asset evidence cohort.</w:t>
            </w:r>
          </w:p>
        </w:tc>
      </w:tr>
    </w:tbl>
    <w:p>
      <w:pPr>
        <w:spacing w:after="0"/>
      </w:pPr>
    </w:p>
    <w:p>
      <w:pPr>
        <w:pStyle w:val="Heading2"/>
      </w:pPr>
      <w:r>
        <w:t>5.6 Measured future scale-out model</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Previous state</w:t>
            </w:r>
          </w:p>
        </w:tc>
        <w:tc>
          <w:tcPr>
            <w:tcW w:type="dxa" w:w="7483"/>
            <w:tcMar>
              <w:top w:w="70" w:type="dxa"/>
              <w:start w:w="90" w:type="dxa"/>
              <w:bottom w:w="70" w:type="dxa"/>
              <w:end w:w="90" w:type="dxa"/>
            </w:tcMar>
            <w:tcBorders>
              <w:bottom w:val="single" w:sz="4" w:color="C9D5DF"/>
            </w:tcBorders>
          </w:tcPr>
          <w:p>
            <w:pPr>
              <w:spacing w:after="0"/>
            </w:pPr>
            <w:r>
              <w:rPr>
                <w:sz w:val="17"/>
              </w:rPr>
              <w:t>July contained a conceptual million-device roadmap based on the first scale evidence.</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Change made</w:t>
            </w:r>
          </w:p>
        </w:tc>
        <w:tc>
          <w:tcPr>
            <w:tcW w:type="dxa" w:w="7483"/>
            <w:tcMar>
              <w:top w:w="70" w:type="dxa"/>
              <w:start w:w="90" w:type="dxa"/>
              <w:bottom w:w="70" w:type="dxa"/>
              <w:end w:w="90" w:type="dxa"/>
            </w:tcMar>
            <w:tcBorders>
              <w:bottom w:val="single" w:sz="4" w:color="C9D5DF"/>
            </w:tcBorders>
          </w:tcPr>
          <w:p>
            <w:pPr>
              <w:spacing w:after="0"/>
            </w:pPr>
            <w:r>
              <w:rPr>
                <w:sz w:val="17"/>
              </w:rPr>
              <w:t>August added formulas and projections using measured local completion rate, generator memory slope, table footprints, dashboard query cost, and planning headroom.</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Reason</w:t>
            </w:r>
          </w:p>
        </w:tc>
        <w:tc>
          <w:tcPr>
            <w:tcW w:type="dxa" w:w="7483"/>
            <w:tcMar>
              <w:top w:w="70" w:type="dxa"/>
              <w:start w:w="90" w:type="dxa"/>
              <w:bottom w:w="70" w:type="dxa"/>
              <w:end w:w="90" w:type="dxa"/>
            </w:tcMar>
            <w:tcBorders>
              <w:bottom w:val="single" w:sz="4" w:color="C9D5DF"/>
            </w:tcBorders>
          </w:tcPr>
          <w:p>
            <w:pPr>
              <w:spacing w:after="0"/>
            </w:pPr>
            <w:r>
              <w:rPr>
                <w:sz w:val="17"/>
              </w:rPr>
              <w:t>Future 10,000-, 100,000-, and million-asset infrastructure discussions need transparent assumptions rather than arbitrary capacity figures.</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Technical implementation</w:t>
            </w:r>
          </w:p>
        </w:tc>
        <w:tc>
          <w:tcPr>
            <w:tcW w:type="dxa" w:w="7483"/>
            <w:tcMar>
              <w:top w:w="70" w:type="dxa"/>
              <w:start w:w="90" w:type="dxa"/>
              <w:bottom w:w="70" w:type="dxa"/>
              <w:end w:w="90" w:type="dxa"/>
            </w:tcMar>
            <w:tcBorders>
              <w:bottom w:val="single" w:sz="4" w:color="C9D5DF"/>
            </w:tcBorders>
          </w:tcPr>
          <w:p>
            <w:pPr>
              <w:spacing w:after="0"/>
            </w:pPr>
            <w:r>
              <w:rPr>
                <w:sz w:val="17"/>
              </w:rPr>
              <w:t>The model derives messages/readings per second from population and interval, compares required semantic capacity with 0.424 local readings/s, and outlines distributed generators, multi-broker Kafka, GPU-backed vLLM pools, partitioned storage, retention, regional processing, and governance.</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Validation</w:t>
            </w:r>
          </w:p>
        </w:tc>
        <w:tc>
          <w:tcPr>
            <w:tcW w:type="dxa" w:w="7483"/>
            <w:tcMar>
              <w:top w:w="70" w:type="dxa"/>
              <w:start w:w="90" w:type="dxa"/>
              <w:bottom w:w="70" w:type="dxa"/>
              <w:end w:w="90" w:type="dxa"/>
            </w:tcMar>
            <w:tcBorders>
              <w:bottom w:val="single" w:sz="4" w:color="C9D5DF"/>
            </w:tcBorders>
          </w:tcPr>
          <w:p>
            <w:pPr>
              <w:spacing w:after="0"/>
            </w:pPr>
            <w:r>
              <w:rPr>
                <w:sz w:val="17"/>
              </w:rPr>
              <w:t>The input measurements come from the exact 1,000-asset functional run and current table/resource samples; the projected deployments themselves were not executed.</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EnerShare value</w:t>
            </w:r>
          </w:p>
        </w:tc>
        <w:tc>
          <w:tcPr>
            <w:tcW w:type="dxa" w:w="7483"/>
            <w:tcMar>
              <w:top w:w="70" w:type="dxa"/>
              <w:start w:w="90" w:type="dxa"/>
              <w:bottom w:w="70" w:type="dxa"/>
              <w:end w:w="90" w:type="dxa"/>
            </w:tcMar>
            <w:tcBorders>
              <w:bottom w:val="single" w:sz="4" w:color="C9D5DF"/>
            </w:tcBorders>
          </w:tcPr>
          <w:p>
            <w:pPr>
              <w:spacing w:after="0"/>
            </w:pPr>
            <w:r>
              <w:rPr>
                <w:sz w:val="17"/>
              </w:rPr>
              <w:t>EnerShare receives a quantified benchmark agenda and scale-out sequence without an unsupported million-device claim.</w:t>
            </w:r>
          </w:p>
        </w:tc>
      </w:tr>
      <w:tr>
        <w:trPr>
          <w:cantSplit/>
        </w:trPr>
        <w:tc>
          <w:tcPr>
            <w:tcW w:type="dxa" w:w="2381"/>
            <w:tcMar>
              <w:top w:w="70" w:type="dxa"/>
              <w:start w:w="90" w:type="dxa"/>
              <w:bottom w:w="70" w:type="dxa"/>
              <w:end w:w="90" w:type="dxa"/>
            </w:tcMar>
            <w:tcBorders>
              <w:bottom w:val="single" w:sz="4" w:color="C9D5DF"/>
            </w:tcBorders>
            <w:shd w:fill="F3F7FA"/>
          </w:tcPr>
          <w:p>
            <w:pPr>
              <w:spacing w:after="0"/>
            </w:pPr>
            <w:r>
              <w:rPr>
                <w:b/>
                <w:color w:val="0B1F33"/>
                <w:sz w:val="17"/>
              </w:rPr>
              <w:t>Current status</w:t>
            </w:r>
          </w:p>
        </w:tc>
        <w:tc>
          <w:tcPr>
            <w:tcW w:type="dxa" w:w="7483"/>
            <w:tcMar>
              <w:top w:w="70" w:type="dxa"/>
              <w:start w:w="90" w:type="dxa"/>
              <w:bottom w:w="70" w:type="dxa"/>
              <w:end w:w="90" w:type="dxa"/>
            </w:tcMar>
            <w:tcBorders>
              <w:bottom w:val="single" w:sz="4" w:color="C9D5DF"/>
            </w:tcBorders>
          </w:tcPr>
          <w:p>
            <w:pPr>
              <w:spacing w:after="0"/>
            </w:pPr>
            <w:r>
              <w:rPr>
                <w:sz w:val="17"/>
              </w:rPr>
              <w:t>Modeled future architecture only.</w:t>
            </w:r>
          </w:p>
        </w:tc>
      </w:tr>
    </w:tbl>
    <w:p>
      <w:pPr>
        <w:spacing w:after="0"/>
      </w:pPr>
    </w:p>
    <w:p>
      <w:r>
        <w:br w:type="page"/>
      </w:r>
    </w:p>
    <w:p>
      <w:pPr>
        <w:pStyle w:val="Heading1"/>
        <w:pBdr>
          <w:bottom w:val="single" w:sz="8" w:space="3" w:color="23866C"/>
        </w:pBdr>
      </w:pPr>
      <w:r>
        <w:t>6. End-of-Month Architecture</w:t>
      </w:r>
    </w:p>
    <w:p>
      <w:r>
        <w:t>Figure 1 shows the August end-state, including the exact validation population, durable semantic evidence, scale-aware customer layer, and the explicitly dashed future inference/broker tier.</w:t>
      </w:r>
    </w:p>
    <w:tbl>
      <w:tblPr>
        <w:tblW w:type="auto" w:w="0"/>
        <w:jc w:val="center"/>
        <w:tblLayout w:type="fixed"/>
        <w:tblLook w:firstColumn="1" w:firstRow="1" w:lastColumn="0" w:lastRow="0" w:noHBand="0" w:noVBand="1" w:val="04A0"/>
      </w:tblPr>
      <w:tblGrid>
        <w:gridCol w:w="9808"/>
      </w:tblGrid>
      <w:tr>
        <w:trPr>
          <w:cantSplit/>
          <w:tblHeader/>
        </w:trPr>
        <w:tc>
          <w:tcPr>
            <w:tcW w:type="dxa" w:w="9978"/>
            <w:tcMar>
              <w:top w:w="20" w:type="dxa"/>
              <w:start w:w="20" w:type="dxa"/>
              <w:bottom w:w="20" w:type="dxa"/>
              <w:end w:w="20" w:type="dxa"/>
            </w:tcMar>
          </w:tcPr>
          <w:p>
            <w:pPr>
              <w:spacing w:after="40"/>
              <w:jc w:val="center"/>
            </w:pPr>
            <w:r>
              <w:drawing>
                <wp:inline xmlns:a="http://schemas.openxmlformats.org/drawingml/2006/main" xmlns:pic="http://schemas.openxmlformats.org/drawingml/2006/picture">
                  <wp:extent cx="6156000" cy="4377600"/>
                  <wp:docPr id="2" name="Picture 2" descr="Layered AD-FLEX architecture at 13 August 2026. The future multi-GPU/multi-broker tier is modeled, not deployed." title="Layered AD-FLEX architecture at 13 August 2026. The future multi-GPU/multi-broker tier is modeled, not deployed."/>
                  <wp:cNvGraphicFramePr>
                    <a:graphicFrameLocks noChangeAspect="1"/>
                  </wp:cNvGraphicFramePr>
                  <a:graphic>
                    <a:graphicData uri="http://schemas.openxmlformats.org/drawingml/2006/picture">
                      <pic:pic>
                        <pic:nvPicPr>
                          <pic:cNvPr id="0" name="august_architecture.png"/>
                          <pic:cNvPicPr/>
                        </pic:nvPicPr>
                        <pic:blipFill>
                          <a:blip r:embed="rId14"/>
                          <a:stretch>
                            <a:fillRect/>
                          </a:stretch>
                        </pic:blipFill>
                        <pic:spPr>
                          <a:xfrm>
                            <a:off x="0" y="0"/>
                            <a:ext cx="6156000" cy="4377600"/>
                          </a:xfrm>
                          <a:prstGeom prst="rect"/>
                        </pic:spPr>
                      </pic:pic>
                    </a:graphicData>
                  </a:graphic>
                </wp:inline>
              </w:drawing>
            </w:r>
          </w:p>
          <w:p>
            <w:pPr>
              <w:pStyle w:val="CaptionCustom"/>
              <w:jc w:val="center"/>
            </w:pPr>
            <w:r>
              <w:t>Figure 1. Layered AD-FLEX architecture at 13 August 2026. The future multi-GPU/multi-broker tier is modeled, not deployed.</w:t>
            </w:r>
          </w:p>
        </w:tc>
      </w:tr>
    </w:tbl>
    <w:p>
      <w:pPr>
        <w:spacing w:after="0"/>
      </w:pPr>
    </w:p>
    <w:p>
      <w:r>
        <w:t>The business sequence remains unchanged: simulated household assets enter through authenticated HTTP/MQTT paths, Kafka buffers normalized work, local Phi-3 Mini proposes semantics, deterministic SAREF4ENER rules validate the proposal, TimescaleDB records mapped or safely-unmapped evidence, and validated mappings continue into IEEE-style and flexibility services. The exact population layer changes scale and evidence discipline rather than rewriting the pipeline.</w:t>
      </w:r>
    </w:p>
    <w:p>
      <w:r>
        <w:t>The architecture intentionally permits backlog while preventing loss. Six main-topic partitions, stable keys, durable offsets, idempotent writes, and retry/DLQ paths preserve work while the slower local inference tier catches up. Customer pages consume aggregates and paginated records. Future vLLM/GPU replicas and multi-broker Kafka are shown as modeled production work, not current local components.</w:t>
      </w:r>
    </w:p>
    <w:p>
      <w:r>
        <w:br w:type="page"/>
      </w:r>
    </w:p>
    <w:p>
      <w:pPr>
        <w:pStyle w:val="Heading1"/>
        <w:pBdr>
          <w:bottom w:val="single" w:sz="8" w:space="3" w:color="23866C"/>
        </w:pBdr>
      </w:pPr>
      <w:r>
        <w:t>7. Component Progress</w:t>
      </w:r>
    </w:p>
    <w:p>
      <w:pPr>
        <w:pStyle w:val="CaptionCustom"/>
      </w:pPr>
      <w:r>
        <w:t>Table 2. Component progress during August 2026</w:t>
      </w:r>
    </w:p>
    <w:tbl>
      <w:tblPr>
        <w:tblW w:type="auto" w:w="0"/>
        <w:jc w:val="center"/>
        <w:tblLayout w:type="fixed"/>
        <w:tblLook w:firstColumn="1" w:firstRow="1" w:lastColumn="0" w:lastRow="0" w:noHBand="0" w:noVBand="1" w:val="04A0"/>
      </w:tblPr>
      <w:tblGrid>
        <w:gridCol w:w="1531"/>
        <w:gridCol w:w="1984"/>
        <w:gridCol w:w="2381"/>
        <w:gridCol w:w="2154"/>
        <w:gridCol w:w="1757"/>
      </w:tblGrid>
      <w:tr>
        <w:trPr>
          <w:tblHeader w:val="true"/>
          <w:cantSplit/>
        </w:trPr>
        <w:tc>
          <w:tcPr>
            <w:tcW w:type="dxa" w:w="1996"/>
            <w:shd w:fill="0B1F33"/>
            <w:tcMar>
              <w:top w:w="75" w:type="dxa"/>
              <w:start w:w="75" w:type="dxa"/>
              <w:bottom w:w="75" w:type="dxa"/>
              <w:end w:w="75" w:type="dxa"/>
            </w:tcMar>
            <w:tcBorders>
              <w:bottom w:val="single" w:sz="6" w:color="23866C"/>
            </w:tcBorders>
          </w:tcPr>
          <w:p>
            <w:pPr>
              <w:spacing w:after="0"/>
            </w:pPr>
            <w:r>
              <w:rPr>
                <w:b/>
                <w:color w:val="FFFFFF"/>
                <w:sz w:val="14"/>
              </w:rPr>
              <w:t>Component</w:t>
            </w:r>
          </w:p>
        </w:tc>
        <w:tc>
          <w:tcPr>
            <w:tcW w:type="dxa" w:w="1996"/>
            <w:shd w:fill="0B1F33"/>
            <w:tcMar>
              <w:top w:w="75" w:type="dxa"/>
              <w:start w:w="75" w:type="dxa"/>
              <w:bottom w:w="75" w:type="dxa"/>
              <w:end w:w="75" w:type="dxa"/>
            </w:tcMar>
            <w:tcBorders>
              <w:bottom w:val="single" w:sz="6" w:color="23866C"/>
            </w:tcBorders>
          </w:tcPr>
          <w:p>
            <w:pPr>
              <w:spacing w:after="0"/>
            </w:pPr>
            <w:r>
              <w:rPr>
                <w:b/>
                <w:color w:val="FFFFFF"/>
                <w:sz w:val="14"/>
              </w:rPr>
              <w:t>Start-of-month state</w:t>
            </w:r>
          </w:p>
        </w:tc>
        <w:tc>
          <w:tcPr>
            <w:tcW w:type="dxa" w:w="1996"/>
            <w:shd w:fill="0B1F33"/>
            <w:tcMar>
              <w:top w:w="75" w:type="dxa"/>
              <w:start w:w="75" w:type="dxa"/>
              <w:bottom w:w="75" w:type="dxa"/>
              <w:end w:w="75" w:type="dxa"/>
            </w:tcMar>
            <w:tcBorders>
              <w:bottom w:val="single" w:sz="6" w:color="23866C"/>
            </w:tcBorders>
          </w:tcPr>
          <w:p>
            <w:pPr>
              <w:spacing w:after="0"/>
            </w:pPr>
            <w:r>
              <w:rPr>
                <w:b/>
                <w:color w:val="FFFFFF"/>
                <w:sz w:val="14"/>
              </w:rPr>
              <w:t>Work this month</w:t>
            </w:r>
          </w:p>
        </w:tc>
        <w:tc>
          <w:tcPr>
            <w:tcW w:type="dxa" w:w="1996"/>
            <w:shd w:fill="0B1F33"/>
            <w:tcMar>
              <w:top w:w="75" w:type="dxa"/>
              <w:start w:w="75" w:type="dxa"/>
              <w:bottom w:w="75" w:type="dxa"/>
              <w:end w:w="75" w:type="dxa"/>
            </w:tcMar>
            <w:tcBorders>
              <w:bottom w:val="single" w:sz="6" w:color="23866C"/>
            </w:tcBorders>
          </w:tcPr>
          <w:p>
            <w:pPr>
              <w:spacing w:after="0"/>
            </w:pPr>
            <w:r>
              <w:rPr>
                <w:b/>
                <w:color w:val="FFFFFF"/>
                <w:sz w:val="14"/>
              </w:rPr>
              <w:t>End-of-month state</w:t>
            </w:r>
          </w:p>
        </w:tc>
        <w:tc>
          <w:tcPr>
            <w:tcW w:type="dxa" w:w="1996"/>
            <w:shd w:fill="0B1F33"/>
            <w:tcMar>
              <w:top w:w="75" w:type="dxa"/>
              <w:start w:w="75" w:type="dxa"/>
              <w:bottom w:w="75" w:type="dxa"/>
              <w:end w:w="75" w:type="dxa"/>
            </w:tcMar>
            <w:tcBorders>
              <w:bottom w:val="single" w:sz="6" w:color="23866C"/>
            </w:tcBorders>
          </w:tcPr>
          <w:p>
            <w:pPr>
              <w:spacing w:after="0"/>
            </w:pPr>
            <w:r>
              <w:rPr>
                <w:b/>
                <w:color w:val="FFFFFF"/>
                <w:sz w:val="14"/>
              </w:rPr>
              <w:t>Business relevance</w:t>
            </w:r>
          </w:p>
        </w:tc>
      </w:tr>
      <w:tr>
        <w:trPr>
          <w:cantSplit/>
        </w:trPr>
        <w:tc>
          <w:tcPr>
            <w:tcW w:type="dxa" w:w="1531"/>
            <w:tcMar>
              <w:top w:w="55" w:type="dxa"/>
              <w:start w:w="65" w:type="dxa"/>
              <w:bottom w:w="55" w:type="dxa"/>
              <w:end w:w="65" w:type="dxa"/>
            </w:tcMar>
            <w:tcBorders>
              <w:bottom w:val="single" w:sz="3" w:color="C9D5DF"/>
            </w:tcBorders>
            <w:vAlign w:val="center"/>
          </w:tcPr>
          <w:p>
            <w:pPr>
              <w:spacing w:after="0"/>
            </w:pPr>
            <w:r>
              <w:rPr>
                <w:color w:val="263746"/>
                <w:sz w:val="14"/>
              </w:rPr>
              <w:t>Population model</w:t>
            </w:r>
          </w:p>
        </w:tc>
        <w:tc>
          <w:tcPr>
            <w:tcW w:type="dxa" w:w="1984"/>
            <w:tcMar>
              <w:top w:w="55" w:type="dxa"/>
              <w:start w:w="65" w:type="dxa"/>
              <w:bottom w:w="55" w:type="dxa"/>
              <w:end w:w="65" w:type="dxa"/>
            </w:tcMar>
            <w:tcBorders>
              <w:bottom w:val="single" w:sz="3" w:color="C9D5DF"/>
            </w:tcBorders>
            <w:vAlign w:val="center"/>
          </w:tcPr>
          <w:p>
            <w:pPr>
              <w:spacing w:after="0"/>
            </w:pPr>
            <w:r>
              <w:rPr>
                <w:color w:val="263746"/>
                <w:sz w:val="14"/>
              </w:rPr>
              <w:t>20 HH / 241 range-random devices</w:t>
            </w:r>
          </w:p>
        </w:tc>
        <w:tc>
          <w:tcPr>
            <w:tcW w:type="dxa" w:w="2381"/>
            <w:tcMar>
              <w:top w:w="55" w:type="dxa"/>
              <w:start w:w="65" w:type="dxa"/>
              <w:bottom w:w="55" w:type="dxa"/>
              <w:end w:w="65" w:type="dxa"/>
            </w:tcMar>
            <w:tcBorders>
              <w:bottom w:val="single" w:sz="3" w:color="C9D5DF"/>
            </w:tcBorders>
            <w:vAlign w:val="center"/>
          </w:tcPr>
          <w:p>
            <w:pPr>
              <w:spacing w:after="0"/>
            </w:pPr>
            <w:r>
              <w:rPr>
                <w:color w:val="263746"/>
                <w:sz w:val="14"/>
              </w:rPr>
              <w:t>Exact profiles and 1,000-device contract</w:t>
            </w:r>
          </w:p>
        </w:tc>
        <w:tc>
          <w:tcPr>
            <w:tcW w:type="dxa" w:w="2154"/>
            <w:tcMar>
              <w:top w:w="55" w:type="dxa"/>
              <w:start w:w="65" w:type="dxa"/>
              <w:bottom w:w="55" w:type="dxa"/>
              <w:end w:w="65" w:type="dxa"/>
            </w:tcMar>
            <w:tcBorders>
              <w:bottom w:val="single" w:sz="3" w:color="C9D5DF"/>
            </w:tcBorders>
            <w:vAlign w:val="center"/>
          </w:tcPr>
          <w:p>
            <w:pPr>
              <w:spacing w:after="0"/>
            </w:pPr>
            <w:r>
              <w:rPr>
                <w:color w:val="263746"/>
                <w:sz w:val="14"/>
              </w:rPr>
              <w:t>100 HH / 1,000 assets reproducible</w:t>
            </w:r>
          </w:p>
        </w:tc>
        <w:tc>
          <w:tcPr>
            <w:tcW w:type="dxa" w:w="1757"/>
            <w:tcMar>
              <w:top w:w="55" w:type="dxa"/>
              <w:start w:w="65" w:type="dxa"/>
              <w:bottom w:w="55" w:type="dxa"/>
              <w:end w:w="65" w:type="dxa"/>
            </w:tcMar>
            <w:tcBorders>
              <w:bottom w:val="single" w:sz="3" w:color="C9D5DF"/>
            </w:tcBorders>
            <w:vAlign w:val="center"/>
          </w:tcPr>
          <w:p>
            <w:pPr>
              <w:spacing w:after="0"/>
            </w:pPr>
            <w:r>
              <w:rPr>
                <w:color w:val="263746"/>
                <w:sz w:val="14"/>
              </w:rPr>
              <w:t>Comparable portfolio validation</w:t>
            </w:r>
          </w:p>
        </w:tc>
      </w:tr>
      <w:tr>
        <w:trPr>
          <w:cantSplit/>
        </w:trPr>
        <w:tc>
          <w:tcPr>
            <w:tcW w:type="dxa" w:w="1531"/>
            <w:shd w:fill="F3F7FA"/>
            <w:tcMar>
              <w:top w:w="55" w:type="dxa"/>
              <w:start w:w="65" w:type="dxa"/>
              <w:bottom w:w="55" w:type="dxa"/>
              <w:end w:w="65" w:type="dxa"/>
            </w:tcMar>
            <w:tcBorders>
              <w:bottom w:val="single" w:sz="3" w:color="C9D5DF"/>
            </w:tcBorders>
            <w:vAlign w:val="center"/>
          </w:tcPr>
          <w:p>
            <w:pPr>
              <w:spacing w:after="0"/>
            </w:pPr>
            <w:r>
              <w:rPr>
                <w:color w:val="263746"/>
                <w:sz w:val="14"/>
              </w:rPr>
              <w:t>Fleet generator</w:t>
            </w:r>
          </w:p>
        </w:tc>
        <w:tc>
          <w:tcPr>
            <w:tcW w:type="dxa" w:w="1984"/>
            <w:shd w:fill="F3F7FA"/>
            <w:tcMar>
              <w:top w:w="55" w:type="dxa"/>
              <w:start w:w="65" w:type="dxa"/>
              <w:bottom w:w="55" w:type="dxa"/>
              <w:end w:w="65" w:type="dxa"/>
            </w:tcMar>
            <w:tcBorders>
              <w:bottom w:val="single" w:sz="3" w:color="C9D5DF"/>
            </w:tcBorders>
            <w:vAlign w:val="center"/>
          </w:tcPr>
          <w:p>
            <w:pPr>
              <w:spacing w:after="0"/>
            </w:pPr>
            <w:r>
              <w:rPr>
                <w:color w:val="263746"/>
                <w:sz w:val="14"/>
              </w:rPr>
              <w:t>Bounded scheduler</w:t>
            </w:r>
          </w:p>
        </w:tc>
        <w:tc>
          <w:tcPr>
            <w:tcW w:type="dxa" w:w="2381"/>
            <w:shd w:fill="F3F7FA"/>
            <w:tcMar>
              <w:top w:w="55" w:type="dxa"/>
              <w:start w:w="65" w:type="dxa"/>
              <w:bottom w:w="55" w:type="dxa"/>
              <w:end w:w="65" w:type="dxa"/>
            </w:tcMar>
            <w:tcBorders>
              <w:bottom w:val="single" w:sz="3" w:color="C9D5DF"/>
            </w:tcBorders>
            <w:vAlign w:val="center"/>
          </w:tcPr>
          <w:p>
            <w:pPr>
              <w:spacing w:after="0"/>
            </w:pPr>
            <w:r>
              <w:rPr>
                <w:color w:val="263746"/>
                <w:sz w:val="14"/>
              </w:rPr>
              <w:t>Primary-reading and exact stage modes</w:t>
            </w:r>
          </w:p>
        </w:tc>
        <w:tc>
          <w:tcPr>
            <w:tcW w:type="dxa" w:w="2154"/>
            <w:shd w:fill="F3F7FA"/>
            <w:tcMar>
              <w:top w:w="55" w:type="dxa"/>
              <w:start w:w="65" w:type="dxa"/>
              <w:bottom w:w="55" w:type="dxa"/>
              <w:end w:w="65" w:type="dxa"/>
            </w:tcMar>
            <w:tcBorders>
              <w:bottom w:val="single" w:sz="3" w:color="C9D5DF"/>
            </w:tcBorders>
            <w:vAlign w:val="center"/>
          </w:tcPr>
          <w:p>
            <w:pPr>
              <w:spacing w:after="0"/>
            </w:pPr>
            <w:r>
              <w:rPr>
                <w:color w:val="263746"/>
                <w:sz w:val="14"/>
              </w:rPr>
              <w:t>Memory-efficient scale generator</w:t>
            </w:r>
          </w:p>
        </w:tc>
        <w:tc>
          <w:tcPr>
            <w:tcW w:type="dxa" w:w="1757"/>
            <w:shd w:fill="F3F7FA"/>
            <w:tcMar>
              <w:top w:w="55" w:type="dxa"/>
              <w:start w:w="65" w:type="dxa"/>
              <w:bottom w:w="55" w:type="dxa"/>
              <w:end w:w="65" w:type="dxa"/>
            </w:tcMar>
            <w:tcBorders>
              <w:bottom w:val="single" w:sz="3" w:color="C9D5DF"/>
            </w:tcBorders>
            <w:vAlign w:val="center"/>
          </w:tcPr>
          <w:p>
            <w:pPr>
              <w:spacing w:after="0"/>
            </w:pPr>
            <w:r>
              <w:rPr>
                <w:color w:val="263746"/>
                <w:sz w:val="14"/>
              </w:rPr>
              <w:t>Lower-cost local testing</w:t>
            </w:r>
          </w:p>
        </w:tc>
      </w:tr>
      <w:tr>
        <w:trPr>
          <w:cantSplit/>
        </w:trPr>
        <w:tc>
          <w:tcPr>
            <w:tcW w:type="dxa" w:w="1531"/>
            <w:tcMar>
              <w:top w:w="55" w:type="dxa"/>
              <w:start w:w="65" w:type="dxa"/>
              <w:bottom w:w="55" w:type="dxa"/>
              <w:end w:w="65" w:type="dxa"/>
            </w:tcMar>
            <w:tcBorders>
              <w:bottom w:val="single" w:sz="3" w:color="C9D5DF"/>
            </w:tcBorders>
            <w:vAlign w:val="center"/>
          </w:tcPr>
          <w:p>
            <w:pPr>
              <w:spacing w:after="0"/>
            </w:pPr>
            <w:r>
              <w:rPr>
                <w:color w:val="263746"/>
                <w:sz w:val="14"/>
              </w:rPr>
              <w:t>Semantic connector</w:t>
            </w:r>
          </w:p>
        </w:tc>
        <w:tc>
          <w:tcPr>
            <w:tcW w:type="dxa" w:w="1984"/>
            <w:tcMar>
              <w:top w:w="55" w:type="dxa"/>
              <w:start w:w="65" w:type="dxa"/>
              <w:bottom w:w="55" w:type="dxa"/>
              <w:end w:w="65" w:type="dxa"/>
            </w:tcMar>
            <w:tcBorders>
              <w:bottom w:val="single" w:sz="3" w:color="C9D5DF"/>
            </w:tcBorders>
            <w:vAlign w:val="center"/>
          </w:tcPr>
          <w:p>
            <w:pPr>
              <w:spacing w:after="0"/>
            </w:pPr>
            <w:r>
              <w:rPr>
                <w:color w:val="263746"/>
                <w:sz w:val="14"/>
              </w:rPr>
              <w:t>Mandatory batching/provider foundation</w:t>
            </w:r>
          </w:p>
        </w:tc>
        <w:tc>
          <w:tcPr>
            <w:tcW w:type="dxa" w:w="2381"/>
            <w:tcMar>
              <w:top w:w="55" w:type="dxa"/>
              <w:start w:w="65" w:type="dxa"/>
              <w:bottom w:w="55" w:type="dxa"/>
              <w:end w:w="65" w:type="dxa"/>
            </w:tcMar>
            <w:tcBorders>
              <w:bottom w:val="single" w:sz="3" w:color="C9D5DF"/>
            </w:tcBorders>
            <w:vAlign w:val="center"/>
          </w:tcPr>
          <w:p>
            <w:pPr>
              <w:spacing w:after="0"/>
            </w:pPr>
            <w:r>
              <w:rPr>
                <w:color w:val="263746"/>
                <w:sz w:val="14"/>
              </w:rPr>
              <w:t>Category coverage, batch-8 tuning, strict evidence</w:t>
            </w:r>
          </w:p>
        </w:tc>
        <w:tc>
          <w:tcPr>
            <w:tcW w:type="dxa" w:w="2154"/>
            <w:tcMar>
              <w:top w:w="55" w:type="dxa"/>
              <w:start w:w="65" w:type="dxa"/>
              <w:bottom w:w="55" w:type="dxa"/>
              <w:end w:w="65" w:type="dxa"/>
            </w:tcMar>
            <w:tcBorders>
              <w:bottom w:val="single" w:sz="3" w:color="C9D5DF"/>
            </w:tcBorders>
            <w:vAlign w:val="center"/>
          </w:tcPr>
          <w:p>
            <w:pPr>
              <w:spacing w:after="0"/>
            </w:pPr>
            <w:r>
              <w:rPr>
                <w:color w:val="263746"/>
                <w:sz w:val="14"/>
              </w:rPr>
              <w:t>100% SLM audit in runs</w:t>
            </w:r>
          </w:p>
        </w:tc>
        <w:tc>
          <w:tcPr>
            <w:tcW w:type="dxa" w:w="1757"/>
            <w:tcMar>
              <w:top w:w="55" w:type="dxa"/>
              <w:start w:w="65" w:type="dxa"/>
              <w:bottom w:w="55" w:type="dxa"/>
              <w:end w:w="65" w:type="dxa"/>
            </w:tcMar>
            <w:tcBorders>
              <w:bottom w:val="single" w:sz="3" w:color="C9D5DF"/>
            </w:tcBorders>
            <w:vAlign w:val="center"/>
          </w:tcPr>
          <w:p>
            <w:pPr>
              <w:spacing w:after="0"/>
            </w:pPr>
            <w:r>
              <w:rPr>
                <w:color w:val="263746"/>
                <w:sz w:val="14"/>
              </w:rPr>
              <w:t>Governed interoperability</w:t>
            </w:r>
          </w:p>
        </w:tc>
      </w:tr>
      <w:tr>
        <w:trPr>
          <w:cantSplit/>
        </w:trPr>
        <w:tc>
          <w:tcPr>
            <w:tcW w:type="dxa" w:w="1531"/>
            <w:shd w:fill="F3F7FA"/>
            <w:tcMar>
              <w:top w:w="55" w:type="dxa"/>
              <w:start w:w="65" w:type="dxa"/>
              <w:bottom w:w="55" w:type="dxa"/>
              <w:end w:w="65" w:type="dxa"/>
            </w:tcMar>
            <w:tcBorders>
              <w:bottom w:val="single" w:sz="3" w:color="C9D5DF"/>
            </w:tcBorders>
            <w:vAlign w:val="center"/>
          </w:tcPr>
          <w:p>
            <w:pPr>
              <w:spacing w:after="0"/>
            </w:pPr>
            <w:r>
              <w:rPr>
                <w:color w:val="263746"/>
                <w:sz w:val="14"/>
              </w:rPr>
              <w:t>Durability</w:t>
            </w:r>
          </w:p>
        </w:tc>
        <w:tc>
          <w:tcPr>
            <w:tcW w:type="dxa" w:w="1984"/>
            <w:shd w:fill="F3F7FA"/>
            <w:tcMar>
              <w:top w:w="55" w:type="dxa"/>
              <w:start w:w="65" w:type="dxa"/>
              <w:bottom w:w="55" w:type="dxa"/>
              <w:end w:w="65" w:type="dxa"/>
            </w:tcMar>
            <w:tcBorders>
              <w:bottom w:val="single" w:sz="3" w:color="C9D5DF"/>
            </w:tcBorders>
            <w:vAlign w:val="center"/>
          </w:tcPr>
          <w:p>
            <w:pPr>
              <w:spacing w:after="0"/>
            </w:pPr>
            <w:r>
              <w:rPr>
                <w:color w:val="263746"/>
                <w:sz w:val="14"/>
              </w:rPr>
              <w:t>Conflict-aware writes</w:t>
            </w:r>
          </w:p>
        </w:tc>
        <w:tc>
          <w:tcPr>
            <w:tcW w:type="dxa" w:w="2381"/>
            <w:shd w:fill="F3F7FA"/>
            <w:tcMar>
              <w:top w:w="55" w:type="dxa"/>
              <w:start w:w="65" w:type="dxa"/>
              <w:bottom w:w="55" w:type="dxa"/>
              <w:end w:w="65" w:type="dxa"/>
            </w:tcMar>
            <w:tcBorders>
              <w:bottom w:val="single" w:sz="3" w:color="C9D5DF"/>
            </w:tcBorders>
            <w:vAlign w:val="center"/>
          </w:tcPr>
          <w:p>
            <w:pPr>
              <w:spacing w:after="0"/>
            </w:pPr>
            <w:r>
              <w:rPr>
                <w:color w:val="263746"/>
                <w:sz w:val="14"/>
              </w:rPr>
              <w:t>Population registry and end-to-end identities</w:t>
            </w:r>
          </w:p>
        </w:tc>
        <w:tc>
          <w:tcPr>
            <w:tcW w:type="dxa" w:w="2154"/>
            <w:shd w:fill="F3F7FA"/>
            <w:tcMar>
              <w:top w:w="55" w:type="dxa"/>
              <w:start w:w="65" w:type="dxa"/>
              <w:bottom w:w="55" w:type="dxa"/>
              <w:end w:w="65" w:type="dxa"/>
            </w:tcMar>
            <w:tcBorders>
              <w:bottom w:val="single" w:sz="3" w:color="C9D5DF"/>
            </w:tcBorders>
            <w:vAlign w:val="center"/>
          </w:tcPr>
          <w:p>
            <w:pPr>
              <w:spacing w:after="0"/>
            </w:pPr>
            <w:r>
              <w:rPr>
                <w:color w:val="263746"/>
                <w:sz w:val="14"/>
              </w:rPr>
              <w:t>Zero duplicates in authoritative runs</w:t>
            </w:r>
          </w:p>
        </w:tc>
        <w:tc>
          <w:tcPr>
            <w:tcW w:type="dxa" w:w="1757"/>
            <w:shd w:fill="F3F7FA"/>
            <w:tcMar>
              <w:top w:w="55" w:type="dxa"/>
              <w:start w:w="65" w:type="dxa"/>
              <w:bottom w:w="55" w:type="dxa"/>
              <w:end w:w="65" w:type="dxa"/>
            </w:tcMar>
            <w:tcBorders>
              <w:bottom w:val="single" w:sz="3" w:color="C9D5DF"/>
            </w:tcBorders>
            <w:vAlign w:val="center"/>
          </w:tcPr>
          <w:p>
            <w:pPr>
              <w:spacing w:after="0"/>
            </w:pPr>
            <w:r>
              <w:rPr>
                <w:color w:val="263746"/>
                <w:sz w:val="14"/>
              </w:rPr>
              <w:t>Audit/replay confidence</w:t>
            </w:r>
          </w:p>
        </w:tc>
      </w:tr>
      <w:tr>
        <w:trPr>
          <w:cantSplit/>
        </w:trPr>
        <w:tc>
          <w:tcPr>
            <w:tcW w:type="dxa" w:w="1531"/>
            <w:tcMar>
              <w:top w:w="55" w:type="dxa"/>
              <w:start w:w="65" w:type="dxa"/>
              <w:bottom w:w="55" w:type="dxa"/>
              <w:end w:w="65" w:type="dxa"/>
            </w:tcMar>
            <w:tcBorders>
              <w:bottom w:val="single" w:sz="3" w:color="C9D5DF"/>
            </w:tcBorders>
            <w:vAlign w:val="center"/>
          </w:tcPr>
          <w:p>
            <w:pPr>
              <w:spacing w:after="0"/>
            </w:pPr>
            <w:r>
              <w:rPr>
                <w:color w:val="263746"/>
                <w:sz w:val="14"/>
              </w:rPr>
              <w:t>Kafka</w:t>
            </w:r>
          </w:p>
        </w:tc>
        <w:tc>
          <w:tcPr>
            <w:tcW w:type="dxa" w:w="1984"/>
            <w:tcMar>
              <w:top w:w="55" w:type="dxa"/>
              <w:start w:w="65" w:type="dxa"/>
              <w:bottom w:w="55" w:type="dxa"/>
              <w:end w:w="65" w:type="dxa"/>
            </w:tcMar>
            <w:tcBorders>
              <w:bottom w:val="single" w:sz="3" w:color="C9D5DF"/>
            </w:tcBorders>
            <w:vAlign w:val="center"/>
          </w:tcPr>
          <w:p>
            <w:pPr>
              <w:spacing w:after="0"/>
            </w:pPr>
            <w:r>
              <w:rPr>
                <w:color w:val="263746"/>
                <w:sz w:val="14"/>
              </w:rPr>
              <w:t>Single-broker local topics</w:t>
            </w:r>
          </w:p>
        </w:tc>
        <w:tc>
          <w:tcPr>
            <w:tcW w:type="dxa" w:w="2381"/>
            <w:tcMar>
              <w:top w:w="55" w:type="dxa"/>
              <w:start w:w="65" w:type="dxa"/>
              <w:bottom w:w="55" w:type="dxa"/>
              <w:end w:w="65" w:type="dxa"/>
            </w:tcMar>
            <w:tcBorders>
              <w:bottom w:val="single" w:sz="3" w:color="C9D5DF"/>
            </w:tcBorders>
            <w:vAlign w:val="center"/>
          </w:tcPr>
          <w:p>
            <w:pPr>
              <w:spacing w:after="0"/>
            </w:pPr>
            <w:r>
              <w:rPr>
                <w:color w:val="263746"/>
                <w:sz w:val="14"/>
              </w:rPr>
              <w:t>Six partitions, isolated groups, lag evidence</w:t>
            </w:r>
          </w:p>
        </w:tc>
        <w:tc>
          <w:tcPr>
            <w:tcW w:type="dxa" w:w="2154"/>
            <w:tcMar>
              <w:top w:w="55" w:type="dxa"/>
              <w:start w:w="65" w:type="dxa"/>
              <w:bottom w:w="55" w:type="dxa"/>
              <w:end w:w="65" w:type="dxa"/>
            </w:tcMar>
            <w:tcBorders>
              <w:bottom w:val="single" w:sz="3" w:color="C9D5DF"/>
            </w:tcBorders>
            <w:vAlign w:val="center"/>
          </w:tcPr>
          <w:p>
            <w:pPr>
              <w:spacing w:after="0"/>
            </w:pPr>
            <w:r>
              <w:rPr>
                <w:color w:val="263746"/>
                <w:sz w:val="14"/>
              </w:rPr>
              <w:t>Backlog preserved and cleared</w:t>
            </w:r>
          </w:p>
        </w:tc>
        <w:tc>
          <w:tcPr>
            <w:tcW w:type="dxa" w:w="1757"/>
            <w:tcMar>
              <w:top w:w="55" w:type="dxa"/>
              <w:start w:w="65" w:type="dxa"/>
              <w:bottom w:w="55" w:type="dxa"/>
              <w:end w:w="65" w:type="dxa"/>
            </w:tcMar>
            <w:tcBorders>
              <w:bottom w:val="single" w:sz="3" w:color="C9D5DF"/>
            </w:tcBorders>
            <w:vAlign w:val="center"/>
          </w:tcPr>
          <w:p>
            <w:pPr>
              <w:spacing w:after="0"/>
            </w:pPr>
            <w:r>
              <w:rPr>
                <w:color w:val="263746"/>
                <w:sz w:val="14"/>
              </w:rPr>
              <w:t>Measurable backpressure</w:t>
            </w:r>
          </w:p>
        </w:tc>
      </w:tr>
      <w:tr>
        <w:trPr>
          <w:cantSplit/>
        </w:trPr>
        <w:tc>
          <w:tcPr>
            <w:tcW w:type="dxa" w:w="1531"/>
            <w:shd w:fill="F3F7FA"/>
            <w:tcMar>
              <w:top w:w="55" w:type="dxa"/>
              <w:start w:w="65" w:type="dxa"/>
              <w:bottom w:w="55" w:type="dxa"/>
              <w:end w:w="65" w:type="dxa"/>
            </w:tcMar>
            <w:tcBorders>
              <w:bottom w:val="single" w:sz="3" w:color="C9D5DF"/>
            </w:tcBorders>
            <w:vAlign w:val="center"/>
          </w:tcPr>
          <w:p>
            <w:pPr>
              <w:spacing w:after="0"/>
            </w:pPr>
            <w:r>
              <w:rPr>
                <w:color w:val="263746"/>
                <w:sz w:val="14"/>
              </w:rPr>
              <w:t>Customer dashboard</w:t>
            </w:r>
          </w:p>
        </w:tc>
        <w:tc>
          <w:tcPr>
            <w:tcW w:type="dxa" w:w="1984"/>
            <w:shd w:fill="F3F7FA"/>
            <w:tcMar>
              <w:top w:w="55" w:type="dxa"/>
              <w:start w:w="65" w:type="dxa"/>
              <w:bottom w:w="55" w:type="dxa"/>
              <w:end w:w="65" w:type="dxa"/>
            </w:tcMar>
            <w:tcBorders>
              <w:bottom w:val="single" w:sz="3" w:color="C9D5DF"/>
            </w:tcBorders>
            <w:vAlign w:val="center"/>
          </w:tcPr>
          <w:p>
            <w:pPr>
              <w:spacing w:after="0"/>
            </w:pPr>
            <w:r>
              <w:rPr>
                <w:color w:val="263746"/>
                <w:sz w:val="14"/>
              </w:rPr>
              <w:t>Role-scoped bounded product</w:t>
            </w:r>
          </w:p>
        </w:tc>
        <w:tc>
          <w:tcPr>
            <w:tcW w:type="dxa" w:w="2381"/>
            <w:shd w:fill="F3F7FA"/>
            <w:tcMar>
              <w:top w:w="55" w:type="dxa"/>
              <w:start w:w="65" w:type="dxa"/>
              <w:bottom w:w="55" w:type="dxa"/>
              <w:end w:w="65" w:type="dxa"/>
            </w:tcMar>
            <w:tcBorders>
              <w:bottom w:val="single" w:sz="3" w:color="C9D5DF"/>
            </w:tcBorders>
            <w:vAlign w:val="center"/>
          </w:tcPr>
          <w:p>
            <w:pPr>
              <w:spacing w:after="0"/>
            </w:pPr>
            <w:r>
              <w:rPr>
                <w:color w:val="263746"/>
                <w:sz w:val="14"/>
              </w:rPr>
              <w:t>Scale aggregate, profile/search filters</w:t>
            </w:r>
          </w:p>
        </w:tc>
        <w:tc>
          <w:tcPr>
            <w:tcW w:type="dxa" w:w="2154"/>
            <w:shd w:fill="F3F7FA"/>
            <w:tcMar>
              <w:top w:w="55" w:type="dxa"/>
              <w:start w:w="65" w:type="dxa"/>
              <w:bottom w:w="55" w:type="dxa"/>
              <w:end w:w="65" w:type="dxa"/>
            </w:tcMar>
            <w:tcBorders>
              <w:bottom w:val="single" w:sz="3" w:color="C9D5DF"/>
            </w:tcBorders>
            <w:vAlign w:val="center"/>
          </w:tcPr>
          <w:p>
            <w:pPr>
              <w:spacing w:after="0"/>
            </w:pPr>
            <w:r>
              <w:rPr>
                <w:color w:val="263746"/>
                <w:sz w:val="14"/>
              </w:rPr>
              <w:t>Responsive 1,000-asset view</w:t>
            </w:r>
          </w:p>
        </w:tc>
        <w:tc>
          <w:tcPr>
            <w:tcW w:type="dxa" w:w="1757"/>
            <w:shd w:fill="F3F7FA"/>
            <w:tcMar>
              <w:top w:w="55" w:type="dxa"/>
              <w:start w:w="65" w:type="dxa"/>
              <w:bottom w:w="55" w:type="dxa"/>
              <w:end w:w="65" w:type="dxa"/>
            </w:tcMar>
            <w:tcBorders>
              <w:bottom w:val="single" w:sz="3" w:color="C9D5DF"/>
            </w:tcBorders>
            <w:vAlign w:val="center"/>
          </w:tcPr>
          <w:p>
            <w:pPr>
              <w:spacing w:after="0"/>
            </w:pPr>
            <w:r>
              <w:rPr>
                <w:color w:val="263746"/>
                <w:sz w:val="14"/>
              </w:rPr>
              <w:t>Portfolio usability</w:t>
            </w:r>
          </w:p>
        </w:tc>
      </w:tr>
      <w:tr>
        <w:trPr>
          <w:cantSplit/>
        </w:trPr>
        <w:tc>
          <w:tcPr>
            <w:tcW w:type="dxa" w:w="1531"/>
            <w:tcMar>
              <w:top w:w="55" w:type="dxa"/>
              <w:start w:w="65" w:type="dxa"/>
              <w:bottom w:w="55" w:type="dxa"/>
              <w:end w:w="65" w:type="dxa"/>
            </w:tcMar>
            <w:tcBorders>
              <w:bottom w:val="single" w:sz="3" w:color="C9D5DF"/>
            </w:tcBorders>
            <w:vAlign w:val="center"/>
          </w:tcPr>
          <w:p>
            <w:pPr>
              <w:spacing w:after="0"/>
            </w:pPr>
            <w:r>
              <w:rPr>
                <w:color w:val="263746"/>
                <w:sz w:val="14"/>
              </w:rPr>
              <w:t>Scale roadmap</w:t>
            </w:r>
          </w:p>
        </w:tc>
        <w:tc>
          <w:tcPr>
            <w:tcW w:type="dxa" w:w="1984"/>
            <w:tcMar>
              <w:top w:w="55" w:type="dxa"/>
              <w:start w:w="65" w:type="dxa"/>
              <w:bottom w:w="55" w:type="dxa"/>
              <w:end w:w="65" w:type="dxa"/>
            </w:tcMar>
            <w:tcBorders>
              <w:bottom w:val="single" w:sz="3" w:color="C9D5DF"/>
            </w:tcBorders>
            <w:vAlign w:val="center"/>
          </w:tcPr>
          <w:p>
            <w:pPr>
              <w:spacing w:after="0"/>
            </w:pPr>
            <w:r>
              <w:rPr>
                <w:color w:val="263746"/>
                <w:sz w:val="14"/>
              </w:rPr>
              <w:t>Conceptual</w:t>
            </w:r>
          </w:p>
        </w:tc>
        <w:tc>
          <w:tcPr>
            <w:tcW w:type="dxa" w:w="2381"/>
            <w:tcMar>
              <w:top w:w="55" w:type="dxa"/>
              <w:start w:w="65" w:type="dxa"/>
              <w:bottom w:w="55" w:type="dxa"/>
              <w:end w:w="65" w:type="dxa"/>
            </w:tcMar>
            <w:tcBorders>
              <w:bottom w:val="single" w:sz="3" w:color="C9D5DF"/>
            </w:tcBorders>
            <w:vAlign w:val="center"/>
          </w:tcPr>
          <w:p>
            <w:pPr>
              <w:spacing w:after="0"/>
            </w:pPr>
            <w:r>
              <w:rPr>
                <w:color w:val="263746"/>
                <w:sz w:val="14"/>
              </w:rPr>
              <w:t>Measured sizing formulas and retention model</w:t>
            </w:r>
          </w:p>
        </w:tc>
        <w:tc>
          <w:tcPr>
            <w:tcW w:type="dxa" w:w="2154"/>
            <w:tcMar>
              <w:top w:w="55" w:type="dxa"/>
              <w:start w:w="65" w:type="dxa"/>
              <w:bottom w:w="55" w:type="dxa"/>
              <w:end w:w="65" w:type="dxa"/>
            </w:tcMar>
            <w:tcBorders>
              <w:bottom w:val="single" w:sz="3" w:color="C9D5DF"/>
            </w:tcBorders>
            <w:vAlign w:val="center"/>
          </w:tcPr>
          <w:p>
            <w:pPr>
              <w:spacing w:after="0"/>
            </w:pPr>
            <w:r>
              <w:rPr>
                <w:color w:val="263746"/>
                <w:sz w:val="14"/>
              </w:rPr>
              <w:t>Quantified future benchmark plan</w:t>
            </w:r>
          </w:p>
        </w:tc>
        <w:tc>
          <w:tcPr>
            <w:tcW w:type="dxa" w:w="1757"/>
            <w:tcMar>
              <w:top w:w="55" w:type="dxa"/>
              <w:start w:w="65" w:type="dxa"/>
              <w:bottom w:w="55" w:type="dxa"/>
              <w:end w:w="65" w:type="dxa"/>
            </w:tcMar>
            <w:tcBorders>
              <w:bottom w:val="single" w:sz="3" w:color="C9D5DF"/>
            </w:tcBorders>
            <w:vAlign w:val="center"/>
          </w:tcPr>
          <w:p>
            <w:pPr>
              <w:spacing w:after="0"/>
            </w:pPr>
            <w:r>
              <w:rPr>
                <w:color w:val="263746"/>
                <w:sz w:val="14"/>
              </w:rPr>
              <w:t>Investment planning</w:t>
            </w:r>
          </w:p>
        </w:tc>
      </w:tr>
    </w:tbl>
    <w:p>
      <w:pPr>
        <w:spacing w:after="0"/>
      </w:pPr>
    </w:p>
    <w:p>
      <w:pPr>
        <w:pStyle w:val="Heading1"/>
        <w:pBdr>
          <w:bottom w:val="single" w:sz="8" w:space="3" w:color="23866C"/>
        </w:pBdr>
      </w:pPr>
      <w:r>
        <w:t>8. SLM and Semantic Intelligence</w:t>
      </w:r>
    </w:p>
    <w:p>
      <w:r>
        <w:t>August retained Phi-3 Mini as the mandatory semantic proposal engine. SLM evidence records provider, model, worker, batch, request, attempt, inference timestamps and latency, output receipt, mapping, confidence, deterministic validation, failure reason, terminal status, and safely-unmapped state. Hidden reasoning and unnecessary raw prompts are not stored.</w:t>
      </w:r>
    </w:p>
    <w:p>
      <w:pPr>
        <w:pStyle w:val="CaptionCustom"/>
      </w:pPr>
      <w:r>
        <w:t>Table 3. Local SLM batch preflight</w:t>
      </w:r>
    </w:p>
    <w:tbl>
      <w:tblPr>
        <w:tblW w:type="auto" w:w="0"/>
        <w:jc w:val="center"/>
        <w:tblLayout w:type="fixed"/>
        <w:tblLook w:firstColumn="1" w:firstRow="1" w:lastColumn="0" w:lastRow="0" w:noHBand="0" w:noVBand="1" w:val="04A0"/>
      </w:tblPr>
      <w:tblGrid>
        <w:gridCol w:w="1247"/>
        <w:gridCol w:w="1304"/>
        <w:gridCol w:w="1587"/>
        <w:gridCol w:w="1928"/>
        <w:gridCol w:w="1814"/>
        <w:gridCol w:w="1701"/>
      </w:tblGrid>
      <w:tr>
        <w:trPr>
          <w:tblHeader w:val="true"/>
          <w:cantSplit/>
        </w:trPr>
        <w:tc>
          <w:tcPr>
            <w:tcW w:type="dxa" w:w="1663"/>
            <w:shd w:fill="0B1F33"/>
            <w:tcMar>
              <w:top w:w="75" w:type="dxa"/>
              <w:start w:w="75" w:type="dxa"/>
              <w:bottom w:w="75" w:type="dxa"/>
              <w:end w:w="75" w:type="dxa"/>
            </w:tcMar>
            <w:tcBorders>
              <w:bottom w:val="single" w:sz="6" w:color="23866C"/>
            </w:tcBorders>
          </w:tcPr>
          <w:p>
            <w:pPr>
              <w:spacing w:after="0"/>
            </w:pPr>
            <w:r>
              <w:rPr>
                <w:b/>
                <w:color w:val="FFFFFF"/>
                <w:sz w:val="15"/>
              </w:rPr>
              <w:t>Batch</w:t>
            </w:r>
          </w:p>
        </w:tc>
        <w:tc>
          <w:tcPr>
            <w:tcW w:type="dxa" w:w="1663"/>
            <w:shd w:fill="0B1F33"/>
            <w:tcMar>
              <w:top w:w="75" w:type="dxa"/>
              <w:start w:w="75" w:type="dxa"/>
              <w:bottom w:w="75" w:type="dxa"/>
              <w:end w:w="75" w:type="dxa"/>
            </w:tcMar>
            <w:tcBorders>
              <w:bottom w:val="single" w:sz="6" w:color="23866C"/>
            </w:tcBorders>
          </w:tcPr>
          <w:p>
            <w:pPr>
              <w:spacing w:after="0"/>
            </w:pPr>
            <w:r>
              <w:rPr>
                <w:b/>
                <w:color w:val="FFFFFF"/>
                <w:sz w:val="15"/>
              </w:rPr>
              <w:t>Input</w:t>
            </w:r>
          </w:p>
        </w:tc>
        <w:tc>
          <w:tcPr>
            <w:tcW w:type="dxa" w:w="1663"/>
            <w:shd w:fill="0B1F33"/>
            <w:tcMar>
              <w:top w:w="75" w:type="dxa"/>
              <w:start w:w="75" w:type="dxa"/>
              <w:bottom w:w="75" w:type="dxa"/>
              <w:end w:w="75" w:type="dxa"/>
            </w:tcMar>
            <w:tcBorders>
              <w:bottom w:val="single" w:sz="6" w:color="23866C"/>
            </w:tcBorders>
          </w:tcPr>
          <w:p>
            <w:pPr>
              <w:spacing w:after="0"/>
            </w:pPr>
            <w:r>
              <w:rPr>
                <w:b/>
                <w:color w:val="FFFFFF"/>
                <w:sz w:val="15"/>
              </w:rPr>
              <w:t>Validated</w:t>
            </w:r>
          </w:p>
        </w:tc>
        <w:tc>
          <w:tcPr>
            <w:tcW w:type="dxa" w:w="1663"/>
            <w:shd w:fill="0B1F33"/>
            <w:tcMar>
              <w:top w:w="75" w:type="dxa"/>
              <w:start w:w="75" w:type="dxa"/>
              <w:bottom w:w="75" w:type="dxa"/>
              <w:end w:w="75" w:type="dxa"/>
            </w:tcMar>
            <w:tcBorders>
              <w:bottom w:val="single" w:sz="6" w:color="23866C"/>
            </w:tcBorders>
          </w:tcPr>
          <w:p>
            <w:pPr>
              <w:spacing w:after="0"/>
            </w:pPr>
            <w:r>
              <w:rPr>
                <w:b/>
                <w:color w:val="FFFFFF"/>
                <w:sz w:val="15"/>
              </w:rPr>
              <w:t>Safely unmapped</w:t>
            </w:r>
          </w:p>
        </w:tc>
        <w:tc>
          <w:tcPr>
            <w:tcW w:type="dxa" w:w="1663"/>
            <w:shd w:fill="0B1F33"/>
            <w:tcMar>
              <w:top w:w="75" w:type="dxa"/>
              <w:start w:w="75" w:type="dxa"/>
              <w:bottom w:w="75" w:type="dxa"/>
              <w:end w:w="75" w:type="dxa"/>
            </w:tcMar>
            <w:tcBorders>
              <w:bottom w:val="single" w:sz="6" w:color="23866C"/>
            </w:tcBorders>
          </w:tcPr>
          <w:p>
            <w:pPr>
              <w:spacing w:after="0"/>
            </w:pPr>
            <w:r>
              <w:rPr>
                <w:b/>
                <w:color w:val="FFFFFF"/>
                <w:sz w:val="15"/>
              </w:rPr>
              <w:t>Elapsed</w:t>
            </w:r>
          </w:p>
        </w:tc>
        <w:tc>
          <w:tcPr>
            <w:tcW w:type="dxa" w:w="1663"/>
            <w:shd w:fill="0B1F33"/>
            <w:tcMar>
              <w:top w:w="75" w:type="dxa"/>
              <w:start w:w="75" w:type="dxa"/>
              <w:bottom w:w="75" w:type="dxa"/>
              <w:end w:w="75" w:type="dxa"/>
            </w:tcMar>
            <w:tcBorders>
              <w:bottom w:val="single" w:sz="6" w:color="23866C"/>
            </w:tcBorders>
          </w:tcPr>
          <w:p>
            <w:pPr>
              <w:spacing w:after="0"/>
            </w:pPr>
            <w:r>
              <w:rPr>
                <w:b/>
                <w:color w:val="FFFFFF"/>
                <w:sz w:val="15"/>
              </w:rPr>
              <w:t>Readings/s</w:t>
            </w:r>
          </w:p>
        </w:tc>
      </w:tr>
      <w:tr>
        <w:trPr>
          <w:cantSplit/>
        </w:trPr>
        <w:tc>
          <w:tcPr>
            <w:tcW w:type="dxa" w:w="1247"/>
            <w:tcMar>
              <w:top w:w="55" w:type="dxa"/>
              <w:start w:w="65" w:type="dxa"/>
              <w:bottom w:w="55" w:type="dxa"/>
              <w:end w:w="65" w:type="dxa"/>
            </w:tcMar>
            <w:tcBorders>
              <w:bottom w:val="single" w:sz="3" w:color="C9D5DF"/>
            </w:tcBorders>
            <w:vAlign w:val="center"/>
          </w:tcPr>
          <w:p>
            <w:pPr>
              <w:spacing w:after="0"/>
            </w:pPr>
            <w:r>
              <w:rPr>
                <w:color w:val="263746"/>
                <w:sz w:val="15"/>
              </w:rPr>
              <w:t>1</w:t>
            </w:r>
          </w:p>
        </w:tc>
        <w:tc>
          <w:tcPr>
            <w:tcW w:type="dxa" w:w="1304"/>
            <w:tcMar>
              <w:top w:w="55" w:type="dxa"/>
              <w:start w:w="65" w:type="dxa"/>
              <w:bottom w:w="55" w:type="dxa"/>
              <w:end w:w="65" w:type="dxa"/>
            </w:tcMar>
            <w:tcBorders>
              <w:bottom w:val="single" w:sz="3" w:color="C9D5DF"/>
            </w:tcBorders>
            <w:vAlign w:val="center"/>
          </w:tcPr>
          <w:p>
            <w:pPr>
              <w:spacing w:after="0"/>
            </w:pPr>
            <w:r>
              <w:rPr>
                <w:color w:val="263746"/>
                <w:sz w:val="15"/>
              </w:rPr>
              <w:t>1</w:t>
            </w:r>
          </w:p>
        </w:tc>
        <w:tc>
          <w:tcPr>
            <w:tcW w:type="dxa" w:w="1587"/>
            <w:tcMar>
              <w:top w:w="55" w:type="dxa"/>
              <w:start w:w="65" w:type="dxa"/>
              <w:bottom w:w="55" w:type="dxa"/>
              <w:end w:w="65" w:type="dxa"/>
            </w:tcMar>
            <w:tcBorders>
              <w:bottom w:val="single" w:sz="3" w:color="C9D5DF"/>
            </w:tcBorders>
            <w:vAlign w:val="center"/>
          </w:tcPr>
          <w:p>
            <w:pPr>
              <w:spacing w:after="0"/>
            </w:pPr>
            <w:r>
              <w:rPr>
                <w:color w:val="263746"/>
                <w:sz w:val="15"/>
              </w:rPr>
              <w:t>1</w:t>
            </w:r>
          </w:p>
        </w:tc>
        <w:tc>
          <w:tcPr>
            <w:tcW w:type="dxa" w:w="1928"/>
            <w:tcMar>
              <w:top w:w="55" w:type="dxa"/>
              <w:start w:w="65" w:type="dxa"/>
              <w:bottom w:w="55" w:type="dxa"/>
              <w:end w:w="65" w:type="dxa"/>
            </w:tcMar>
            <w:tcBorders>
              <w:bottom w:val="single" w:sz="3" w:color="C9D5DF"/>
            </w:tcBorders>
            <w:vAlign w:val="center"/>
          </w:tcPr>
          <w:p>
            <w:pPr>
              <w:spacing w:after="0"/>
            </w:pPr>
            <w:r>
              <w:rPr>
                <w:color w:val="263746"/>
                <w:sz w:val="15"/>
              </w:rPr>
              <w:t>0</w:t>
            </w:r>
          </w:p>
        </w:tc>
        <w:tc>
          <w:tcPr>
            <w:tcW w:type="dxa" w:w="1814"/>
            <w:tcMar>
              <w:top w:w="55" w:type="dxa"/>
              <w:start w:w="65" w:type="dxa"/>
              <w:bottom w:w="55" w:type="dxa"/>
              <w:end w:w="65" w:type="dxa"/>
            </w:tcMar>
            <w:tcBorders>
              <w:bottom w:val="single" w:sz="3" w:color="C9D5DF"/>
            </w:tcBorders>
            <w:vAlign w:val="center"/>
          </w:tcPr>
          <w:p>
            <w:pPr>
              <w:spacing w:after="0"/>
            </w:pPr>
            <w:r>
              <w:rPr>
                <w:color w:val="263746"/>
                <w:sz w:val="15"/>
              </w:rPr>
              <w:t>2.07 s</w:t>
            </w:r>
          </w:p>
        </w:tc>
        <w:tc>
          <w:tcPr>
            <w:tcW w:type="dxa" w:w="1701"/>
            <w:tcMar>
              <w:top w:w="55" w:type="dxa"/>
              <w:start w:w="65" w:type="dxa"/>
              <w:bottom w:w="55" w:type="dxa"/>
              <w:end w:w="65" w:type="dxa"/>
            </w:tcMar>
            <w:tcBorders>
              <w:bottom w:val="single" w:sz="3" w:color="C9D5DF"/>
            </w:tcBorders>
            <w:vAlign w:val="center"/>
          </w:tcPr>
          <w:p>
            <w:pPr>
              <w:spacing w:after="0"/>
            </w:pPr>
            <w:r>
              <w:rPr>
                <w:color w:val="263746"/>
                <w:sz w:val="15"/>
              </w:rPr>
              <w:t>0.482</w:t>
            </w:r>
          </w:p>
        </w:tc>
      </w:tr>
      <w:tr>
        <w:trPr>
          <w:cantSplit/>
        </w:trPr>
        <w:tc>
          <w:tcPr>
            <w:tcW w:type="dxa" w:w="1247"/>
            <w:shd w:fill="F3F7FA"/>
            <w:tcMar>
              <w:top w:w="55" w:type="dxa"/>
              <w:start w:w="65" w:type="dxa"/>
              <w:bottom w:w="55" w:type="dxa"/>
              <w:end w:w="65" w:type="dxa"/>
            </w:tcMar>
            <w:tcBorders>
              <w:bottom w:val="single" w:sz="3" w:color="C9D5DF"/>
            </w:tcBorders>
            <w:vAlign w:val="center"/>
          </w:tcPr>
          <w:p>
            <w:pPr>
              <w:spacing w:after="0"/>
            </w:pPr>
            <w:r>
              <w:rPr>
                <w:color w:val="263746"/>
                <w:sz w:val="15"/>
              </w:rPr>
              <w:t>8</w:t>
            </w:r>
          </w:p>
        </w:tc>
        <w:tc>
          <w:tcPr>
            <w:tcW w:type="dxa" w:w="1304"/>
            <w:shd w:fill="F3F7FA"/>
            <w:tcMar>
              <w:top w:w="55" w:type="dxa"/>
              <w:start w:w="65" w:type="dxa"/>
              <w:bottom w:w="55" w:type="dxa"/>
              <w:end w:w="65" w:type="dxa"/>
            </w:tcMar>
            <w:tcBorders>
              <w:bottom w:val="single" w:sz="3" w:color="C9D5DF"/>
            </w:tcBorders>
            <w:vAlign w:val="center"/>
          </w:tcPr>
          <w:p>
            <w:pPr>
              <w:spacing w:after="0"/>
            </w:pPr>
            <w:r>
              <w:rPr>
                <w:color w:val="263746"/>
                <w:sz w:val="15"/>
              </w:rPr>
              <w:t>8</w:t>
            </w:r>
          </w:p>
        </w:tc>
        <w:tc>
          <w:tcPr>
            <w:tcW w:type="dxa" w:w="1587"/>
            <w:shd w:fill="F3F7FA"/>
            <w:tcMar>
              <w:top w:w="55" w:type="dxa"/>
              <w:start w:w="65" w:type="dxa"/>
              <w:bottom w:w="55" w:type="dxa"/>
              <w:end w:w="65" w:type="dxa"/>
            </w:tcMar>
            <w:tcBorders>
              <w:bottom w:val="single" w:sz="3" w:color="C9D5DF"/>
            </w:tcBorders>
            <w:vAlign w:val="center"/>
          </w:tcPr>
          <w:p>
            <w:pPr>
              <w:spacing w:after="0"/>
            </w:pPr>
            <w:r>
              <w:rPr>
                <w:color w:val="263746"/>
                <w:sz w:val="15"/>
              </w:rPr>
              <w:t>8</w:t>
            </w:r>
          </w:p>
        </w:tc>
        <w:tc>
          <w:tcPr>
            <w:tcW w:type="dxa" w:w="1928"/>
            <w:shd w:fill="F3F7FA"/>
            <w:tcMar>
              <w:top w:w="55" w:type="dxa"/>
              <w:start w:w="65" w:type="dxa"/>
              <w:bottom w:w="55" w:type="dxa"/>
              <w:end w:w="65" w:type="dxa"/>
            </w:tcMar>
            <w:tcBorders>
              <w:bottom w:val="single" w:sz="3" w:color="C9D5DF"/>
            </w:tcBorders>
            <w:vAlign w:val="center"/>
          </w:tcPr>
          <w:p>
            <w:pPr>
              <w:spacing w:after="0"/>
            </w:pPr>
            <w:r>
              <w:rPr>
                <w:color w:val="263746"/>
                <w:sz w:val="15"/>
              </w:rPr>
              <w:t>0</w:t>
            </w:r>
          </w:p>
        </w:tc>
        <w:tc>
          <w:tcPr>
            <w:tcW w:type="dxa" w:w="1814"/>
            <w:shd w:fill="F3F7FA"/>
            <w:tcMar>
              <w:top w:w="55" w:type="dxa"/>
              <w:start w:w="65" w:type="dxa"/>
              <w:bottom w:w="55" w:type="dxa"/>
              <w:end w:w="65" w:type="dxa"/>
            </w:tcMar>
            <w:tcBorders>
              <w:bottom w:val="single" w:sz="3" w:color="C9D5DF"/>
            </w:tcBorders>
            <w:vAlign w:val="center"/>
          </w:tcPr>
          <w:p>
            <w:pPr>
              <w:spacing w:after="0"/>
            </w:pPr>
            <w:r>
              <w:rPr>
                <w:color w:val="263746"/>
                <w:sz w:val="15"/>
              </w:rPr>
              <w:t>14.63 s</w:t>
            </w:r>
          </w:p>
        </w:tc>
        <w:tc>
          <w:tcPr>
            <w:tcW w:type="dxa" w:w="1701"/>
            <w:shd w:fill="F3F7FA"/>
            <w:tcMar>
              <w:top w:w="55" w:type="dxa"/>
              <w:start w:w="65" w:type="dxa"/>
              <w:bottom w:w="55" w:type="dxa"/>
              <w:end w:w="65" w:type="dxa"/>
            </w:tcMar>
            <w:tcBorders>
              <w:bottom w:val="single" w:sz="3" w:color="C9D5DF"/>
            </w:tcBorders>
            <w:vAlign w:val="center"/>
          </w:tcPr>
          <w:p>
            <w:pPr>
              <w:spacing w:after="0"/>
            </w:pPr>
            <w:r>
              <w:rPr>
                <w:color w:val="263746"/>
                <w:sz w:val="15"/>
              </w:rPr>
              <w:t>0.547</w:t>
            </w:r>
          </w:p>
        </w:tc>
      </w:tr>
      <w:tr>
        <w:trPr>
          <w:cantSplit/>
        </w:trPr>
        <w:tc>
          <w:tcPr>
            <w:tcW w:type="dxa" w:w="1247"/>
            <w:tcMar>
              <w:top w:w="55" w:type="dxa"/>
              <w:start w:w="65" w:type="dxa"/>
              <w:bottom w:w="55" w:type="dxa"/>
              <w:end w:w="65" w:type="dxa"/>
            </w:tcMar>
            <w:tcBorders>
              <w:bottom w:val="single" w:sz="3" w:color="C9D5DF"/>
            </w:tcBorders>
            <w:vAlign w:val="center"/>
          </w:tcPr>
          <w:p>
            <w:pPr>
              <w:spacing w:after="0"/>
            </w:pPr>
            <w:r>
              <w:rPr>
                <w:color w:val="263746"/>
                <w:sz w:val="15"/>
              </w:rPr>
              <w:t>16</w:t>
            </w:r>
          </w:p>
        </w:tc>
        <w:tc>
          <w:tcPr>
            <w:tcW w:type="dxa" w:w="1304"/>
            <w:tcMar>
              <w:top w:w="55" w:type="dxa"/>
              <w:start w:w="65" w:type="dxa"/>
              <w:bottom w:w="55" w:type="dxa"/>
              <w:end w:w="65" w:type="dxa"/>
            </w:tcMar>
            <w:tcBorders>
              <w:bottom w:val="single" w:sz="3" w:color="C9D5DF"/>
            </w:tcBorders>
            <w:vAlign w:val="center"/>
          </w:tcPr>
          <w:p>
            <w:pPr>
              <w:spacing w:after="0"/>
            </w:pPr>
            <w:r>
              <w:rPr>
                <w:color w:val="263746"/>
                <w:sz w:val="15"/>
              </w:rPr>
              <w:t>16</w:t>
            </w:r>
          </w:p>
        </w:tc>
        <w:tc>
          <w:tcPr>
            <w:tcW w:type="dxa" w:w="1587"/>
            <w:tcMar>
              <w:top w:w="55" w:type="dxa"/>
              <w:start w:w="65" w:type="dxa"/>
              <w:bottom w:w="55" w:type="dxa"/>
              <w:end w:w="65" w:type="dxa"/>
            </w:tcMar>
            <w:tcBorders>
              <w:bottom w:val="single" w:sz="3" w:color="C9D5DF"/>
            </w:tcBorders>
            <w:vAlign w:val="center"/>
          </w:tcPr>
          <w:p>
            <w:pPr>
              <w:spacing w:after="0"/>
            </w:pPr>
            <w:r>
              <w:rPr>
                <w:color w:val="263746"/>
                <w:sz w:val="15"/>
              </w:rPr>
              <w:t>14</w:t>
            </w:r>
          </w:p>
        </w:tc>
        <w:tc>
          <w:tcPr>
            <w:tcW w:type="dxa" w:w="1928"/>
            <w:tcMar>
              <w:top w:w="55" w:type="dxa"/>
              <w:start w:w="65" w:type="dxa"/>
              <w:bottom w:w="55" w:type="dxa"/>
              <w:end w:w="65" w:type="dxa"/>
            </w:tcMar>
            <w:tcBorders>
              <w:bottom w:val="single" w:sz="3" w:color="C9D5DF"/>
            </w:tcBorders>
            <w:vAlign w:val="center"/>
          </w:tcPr>
          <w:p>
            <w:pPr>
              <w:spacing w:after="0"/>
            </w:pPr>
            <w:r>
              <w:rPr>
                <w:color w:val="263746"/>
                <w:sz w:val="15"/>
              </w:rPr>
              <w:t>2</w:t>
            </w:r>
          </w:p>
        </w:tc>
        <w:tc>
          <w:tcPr>
            <w:tcW w:type="dxa" w:w="1814"/>
            <w:tcMar>
              <w:top w:w="55" w:type="dxa"/>
              <w:start w:w="65" w:type="dxa"/>
              <w:bottom w:w="55" w:type="dxa"/>
              <w:end w:w="65" w:type="dxa"/>
            </w:tcMar>
            <w:tcBorders>
              <w:bottom w:val="single" w:sz="3" w:color="C9D5DF"/>
            </w:tcBorders>
            <w:vAlign w:val="center"/>
          </w:tcPr>
          <w:p>
            <w:pPr>
              <w:spacing w:after="0"/>
            </w:pPr>
            <w:r>
              <w:rPr>
                <w:color w:val="263746"/>
                <w:sz w:val="15"/>
              </w:rPr>
              <w:t>43.07 s</w:t>
            </w:r>
          </w:p>
        </w:tc>
        <w:tc>
          <w:tcPr>
            <w:tcW w:type="dxa" w:w="1701"/>
            <w:tcMar>
              <w:top w:w="55" w:type="dxa"/>
              <w:start w:w="65" w:type="dxa"/>
              <w:bottom w:w="55" w:type="dxa"/>
              <w:end w:w="65" w:type="dxa"/>
            </w:tcMar>
            <w:tcBorders>
              <w:bottom w:val="single" w:sz="3" w:color="C9D5DF"/>
            </w:tcBorders>
            <w:vAlign w:val="center"/>
          </w:tcPr>
          <w:p>
            <w:pPr>
              <w:spacing w:after="0"/>
            </w:pPr>
            <w:r>
              <w:rPr>
                <w:color w:val="263746"/>
                <w:sz w:val="15"/>
              </w:rPr>
              <w:t>0.372</w:t>
            </w:r>
          </w:p>
        </w:tc>
      </w:tr>
      <w:tr>
        <w:trPr>
          <w:cantSplit/>
        </w:trPr>
        <w:tc>
          <w:tcPr>
            <w:tcW w:type="dxa" w:w="1247"/>
            <w:shd w:fill="F3F7FA"/>
            <w:tcMar>
              <w:top w:w="55" w:type="dxa"/>
              <w:start w:w="65" w:type="dxa"/>
              <w:bottom w:w="55" w:type="dxa"/>
              <w:end w:w="65" w:type="dxa"/>
            </w:tcMar>
            <w:tcBorders>
              <w:bottom w:val="single" w:sz="3" w:color="C9D5DF"/>
            </w:tcBorders>
            <w:vAlign w:val="center"/>
          </w:tcPr>
          <w:p>
            <w:pPr>
              <w:spacing w:after="0"/>
            </w:pPr>
            <w:r>
              <w:rPr>
                <w:color w:val="263746"/>
                <w:sz w:val="15"/>
              </w:rPr>
              <w:t>32</w:t>
            </w:r>
          </w:p>
        </w:tc>
        <w:tc>
          <w:tcPr>
            <w:tcW w:type="dxa" w:w="1304"/>
            <w:shd w:fill="F3F7FA"/>
            <w:tcMar>
              <w:top w:w="55" w:type="dxa"/>
              <w:start w:w="65" w:type="dxa"/>
              <w:bottom w:w="55" w:type="dxa"/>
              <w:end w:w="65" w:type="dxa"/>
            </w:tcMar>
            <w:tcBorders>
              <w:bottom w:val="single" w:sz="3" w:color="C9D5DF"/>
            </w:tcBorders>
            <w:vAlign w:val="center"/>
          </w:tcPr>
          <w:p>
            <w:pPr>
              <w:spacing w:after="0"/>
            </w:pPr>
            <w:r>
              <w:rPr>
                <w:color w:val="263746"/>
                <w:sz w:val="15"/>
              </w:rPr>
              <w:t>32</w:t>
            </w:r>
          </w:p>
        </w:tc>
        <w:tc>
          <w:tcPr>
            <w:tcW w:type="dxa" w:w="1587"/>
            <w:shd w:fill="F3F7FA"/>
            <w:tcMar>
              <w:top w:w="55" w:type="dxa"/>
              <w:start w:w="65" w:type="dxa"/>
              <w:bottom w:w="55" w:type="dxa"/>
              <w:end w:w="65" w:type="dxa"/>
            </w:tcMar>
            <w:tcBorders>
              <w:bottom w:val="single" w:sz="3" w:color="C9D5DF"/>
            </w:tcBorders>
            <w:vAlign w:val="center"/>
          </w:tcPr>
          <w:p>
            <w:pPr>
              <w:spacing w:after="0"/>
            </w:pPr>
            <w:r>
              <w:rPr>
                <w:color w:val="263746"/>
                <w:sz w:val="15"/>
              </w:rPr>
              <w:t>3</w:t>
            </w:r>
          </w:p>
        </w:tc>
        <w:tc>
          <w:tcPr>
            <w:tcW w:type="dxa" w:w="1928"/>
            <w:shd w:fill="F3F7FA"/>
            <w:tcMar>
              <w:top w:w="55" w:type="dxa"/>
              <w:start w:w="65" w:type="dxa"/>
              <w:bottom w:w="55" w:type="dxa"/>
              <w:end w:w="65" w:type="dxa"/>
            </w:tcMar>
            <w:tcBorders>
              <w:bottom w:val="single" w:sz="3" w:color="C9D5DF"/>
            </w:tcBorders>
            <w:vAlign w:val="center"/>
          </w:tcPr>
          <w:p>
            <w:pPr>
              <w:spacing w:after="0"/>
            </w:pPr>
            <w:r>
              <w:rPr>
                <w:color w:val="263746"/>
                <w:sz w:val="15"/>
              </w:rPr>
              <w:t>29</w:t>
            </w:r>
          </w:p>
        </w:tc>
        <w:tc>
          <w:tcPr>
            <w:tcW w:type="dxa" w:w="1814"/>
            <w:shd w:fill="F3F7FA"/>
            <w:tcMar>
              <w:top w:w="55" w:type="dxa"/>
              <w:start w:w="65" w:type="dxa"/>
              <w:bottom w:w="55" w:type="dxa"/>
              <w:end w:w="65" w:type="dxa"/>
            </w:tcMar>
            <w:tcBorders>
              <w:bottom w:val="single" w:sz="3" w:color="C9D5DF"/>
            </w:tcBorders>
            <w:vAlign w:val="center"/>
          </w:tcPr>
          <w:p>
            <w:pPr>
              <w:spacing w:after="0"/>
            </w:pPr>
            <w:r>
              <w:rPr>
                <w:color w:val="263746"/>
                <w:sz w:val="15"/>
              </w:rPr>
              <w:t>68.18 s</w:t>
            </w:r>
          </w:p>
        </w:tc>
        <w:tc>
          <w:tcPr>
            <w:tcW w:type="dxa" w:w="1701"/>
            <w:shd w:fill="F3F7FA"/>
            <w:tcMar>
              <w:top w:w="55" w:type="dxa"/>
              <w:start w:w="65" w:type="dxa"/>
              <w:bottom w:w="55" w:type="dxa"/>
              <w:end w:w="65" w:type="dxa"/>
            </w:tcMar>
            <w:tcBorders>
              <w:bottom w:val="single" w:sz="3" w:color="C9D5DF"/>
            </w:tcBorders>
            <w:vAlign w:val="center"/>
          </w:tcPr>
          <w:p>
            <w:pPr>
              <w:spacing w:after="0"/>
            </w:pPr>
            <w:r>
              <w:rPr>
                <w:color w:val="263746"/>
                <w:sz w:val="15"/>
              </w:rPr>
              <w:t>0.469</w:t>
            </w:r>
          </w:p>
        </w:tc>
      </w:tr>
      <w:tr>
        <w:trPr>
          <w:cantSplit/>
        </w:trPr>
        <w:tc>
          <w:tcPr>
            <w:tcW w:type="dxa" w:w="1247"/>
            <w:tcMar>
              <w:top w:w="55" w:type="dxa"/>
              <w:start w:w="65" w:type="dxa"/>
              <w:bottom w:w="55" w:type="dxa"/>
              <w:end w:w="65" w:type="dxa"/>
            </w:tcMar>
            <w:tcBorders>
              <w:bottom w:val="single" w:sz="3" w:color="C9D5DF"/>
            </w:tcBorders>
            <w:vAlign w:val="center"/>
          </w:tcPr>
          <w:p>
            <w:pPr>
              <w:spacing w:after="0"/>
            </w:pPr>
            <w:r>
              <w:rPr>
                <w:color w:val="263746"/>
                <w:sz w:val="15"/>
              </w:rPr>
              <w:t>64</w:t>
            </w:r>
          </w:p>
        </w:tc>
        <w:tc>
          <w:tcPr>
            <w:tcW w:type="dxa" w:w="1304"/>
            <w:tcMar>
              <w:top w:w="55" w:type="dxa"/>
              <w:start w:w="65" w:type="dxa"/>
              <w:bottom w:w="55" w:type="dxa"/>
              <w:end w:w="65" w:type="dxa"/>
            </w:tcMar>
            <w:tcBorders>
              <w:bottom w:val="single" w:sz="3" w:color="C9D5DF"/>
            </w:tcBorders>
            <w:vAlign w:val="center"/>
          </w:tcPr>
          <w:p>
            <w:pPr>
              <w:spacing w:after="0"/>
            </w:pPr>
            <w:r>
              <w:rPr>
                <w:color w:val="263746"/>
                <w:sz w:val="15"/>
              </w:rPr>
              <w:t>64</w:t>
            </w:r>
          </w:p>
        </w:tc>
        <w:tc>
          <w:tcPr>
            <w:tcW w:type="dxa" w:w="1587"/>
            <w:tcMar>
              <w:top w:w="55" w:type="dxa"/>
              <w:start w:w="65" w:type="dxa"/>
              <w:bottom w:w="55" w:type="dxa"/>
              <w:end w:w="65" w:type="dxa"/>
            </w:tcMar>
            <w:tcBorders>
              <w:bottom w:val="single" w:sz="3" w:color="C9D5DF"/>
            </w:tcBorders>
            <w:vAlign w:val="center"/>
          </w:tcPr>
          <w:p>
            <w:pPr>
              <w:spacing w:after="0"/>
            </w:pPr>
            <w:r>
              <w:rPr>
                <w:color w:val="263746"/>
                <w:sz w:val="15"/>
              </w:rPr>
              <w:t>0</w:t>
            </w:r>
          </w:p>
        </w:tc>
        <w:tc>
          <w:tcPr>
            <w:tcW w:type="dxa" w:w="1928"/>
            <w:tcMar>
              <w:top w:w="55" w:type="dxa"/>
              <w:start w:w="65" w:type="dxa"/>
              <w:bottom w:w="55" w:type="dxa"/>
              <w:end w:w="65" w:type="dxa"/>
            </w:tcMar>
            <w:tcBorders>
              <w:bottom w:val="single" w:sz="3" w:color="C9D5DF"/>
            </w:tcBorders>
            <w:vAlign w:val="center"/>
          </w:tcPr>
          <w:p>
            <w:pPr>
              <w:spacing w:after="0"/>
            </w:pPr>
            <w:r>
              <w:rPr>
                <w:color w:val="263746"/>
                <w:sz w:val="15"/>
              </w:rPr>
              <w:t>64</w:t>
            </w:r>
          </w:p>
        </w:tc>
        <w:tc>
          <w:tcPr>
            <w:tcW w:type="dxa" w:w="1814"/>
            <w:tcMar>
              <w:top w:w="55" w:type="dxa"/>
              <w:start w:w="65" w:type="dxa"/>
              <w:bottom w:w="55" w:type="dxa"/>
              <w:end w:w="65" w:type="dxa"/>
            </w:tcMar>
            <w:tcBorders>
              <w:bottom w:val="single" w:sz="3" w:color="C9D5DF"/>
            </w:tcBorders>
            <w:vAlign w:val="center"/>
          </w:tcPr>
          <w:p>
            <w:pPr>
              <w:spacing w:after="0"/>
            </w:pPr>
            <w:r>
              <w:rPr>
                <w:color w:val="263746"/>
                <w:sz w:val="15"/>
              </w:rPr>
              <w:t>129.11 s</w:t>
            </w:r>
          </w:p>
        </w:tc>
        <w:tc>
          <w:tcPr>
            <w:tcW w:type="dxa" w:w="1701"/>
            <w:tcMar>
              <w:top w:w="55" w:type="dxa"/>
              <w:start w:w="65" w:type="dxa"/>
              <w:bottom w:w="55" w:type="dxa"/>
              <w:end w:w="65" w:type="dxa"/>
            </w:tcMar>
            <w:tcBorders>
              <w:bottom w:val="single" w:sz="3" w:color="C9D5DF"/>
            </w:tcBorders>
            <w:vAlign w:val="center"/>
          </w:tcPr>
          <w:p>
            <w:pPr>
              <w:spacing w:after="0"/>
            </w:pPr>
            <w:r>
              <w:rPr>
                <w:color w:val="263746"/>
                <w:sz w:val="15"/>
              </w:rPr>
              <w:t>0.496</w:t>
            </w:r>
          </w:p>
        </w:tc>
      </w:tr>
    </w:tbl>
    <w:p>
      <w:pPr>
        <w:spacing w:after="0"/>
      </w:pPr>
    </w:p>
    <w:p>
      <w:r>
        <w:t>Batch 8 was selected because throughput and strict output quality must be considered together. Although batch 64 had a superficially comparable input rate, none of its outputs passed validation. The connector therefore favors useful validated throughput over raw model completion.</w:t>
      </w:r>
    </w:p>
    <w:p>
      <w:r>
        <w:t>Home-battery state of charge remained the most visible category gap in the functional population run: 19 of 20 readings were safely rejected because the local model did not consistently return a permitted property/unit relationship. This is reported as a model/prompt quality issue and is not replaced by deterministic semantics.</w:t>
      </w:r>
    </w:p>
    <w:p>
      <w:pPr>
        <w:pStyle w:val="Heading1"/>
        <w:pBdr>
          <w:bottom w:val="single" w:sz="8" w:space="3" w:color="23866C"/>
        </w:pBdr>
      </w:pPr>
      <w:r>
        <w:t>9. Household and Device Simulation</w:t>
      </w:r>
    </w:p>
    <w:p>
      <w:r>
        <w:t>Figure 2 shows the exact device-category distribution validated by the August programme.</w:t>
      </w:r>
    </w:p>
    <w:tbl>
      <w:tblPr>
        <w:tblW w:type="auto" w:w="0"/>
        <w:jc w:val="center"/>
        <w:tblLayout w:type="fixed"/>
        <w:tblLook w:firstColumn="1" w:firstRow="1" w:lastColumn="0" w:lastRow="0" w:noHBand="0" w:noVBand="1" w:val="04A0"/>
      </w:tblPr>
      <w:tblGrid>
        <w:gridCol w:w="9808"/>
      </w:tblGrid>
      <w:tr>
        <w:trPr>
          <w:cantSplit/>
          <w:tblHeader/>
        </w:trPr>
        <w:tc>
          <w:tcPr>
            <w:tcW w:type="dxa" w:w="9978"/>
            <w:tcMar>
              <w:top w:w="20" w:type="dxa"/>
              <w:start w:w="20" w:type="dxa"/>
              <w:bottom w:w="20" w:type="dxa"/>
              <w:end w:w="20" w:type="dxa"/>
            </w:tcMar>
          </w:tcPr>
          <w:p>
            <w:pPr>
              <w:spacing w:after="40"/>
              <w:jc w:val="center"/>
            </w:pPr>
            <w:r>
              <w:drawing>
                <wp:inline xmlns:a="http://schemas.openxmlformats.org/drawingml/2006/main" xmlns:pic="http://schemas.openxmlformats.org/drawingml/2006/picture">
                  <wp:extent cx="6156000" cy="3462750"/>
                  <wp:docPr id="3" name="Picture 3" descr="Exact device-category totals across 100 simulated households and 1,000 assets." title="Exact device-category totals across 100 simulated households and 1,000 assets."/>
                  <wp:cNvGraphicFramePr>
                    <a:graphicFrameLocks noChangeAspect="1"/>
                  </wp:cNvGraphicFramePr>
                  <a:graphic>
                    <a:graphicData uri="http://schemas.openxmlformats.org/drawingml/2006/picture">
                      <pic:pic>
                        <pic:nvPicPr>
                          <pic:cNvPr id="0" name="august_population.png"/>
                          <pic:cNvPicPr/>
                        </pic:nvPicPr>
                        <pic:blipFill>
                          <a:blip r:embed="rId15"/>
                          <a:stretch>
                            <a:fillRect/>
                          </a:stretch>
                        </pic:blipFill>
                        <pic:spPr>
                          <a:xfrm>
                            <a:off x="0" y="0"/>
                            <a:ext cx="6156000" cy="3462750"/>
                          </a:xfrm>
                          <a:prstGeom prst="rect"/>
                        </pic:spPr>
                      </pic:pic>
                    </a:graphicData>
                  </a:graphic>
                </wp:inline>
              </w:drawing>
            </w:r>
          </w:p>
          <w:p>
            <w:pPr>
              <w:pStyle w:val="CaptionCustom"/>
              <w:jc w:val="center"/>
            </w:pPr>
            <w:r>
              <w:t>Figure 2. Exact device-category totals across 100 simulated households and 1,000 assets.</w:t>
            </w:r>
          </w:p>
        </w:tc>
      </w:tr>
    </w:tbl>
    <w:p>
      <w:pPr>
        <w:spacing w:after="0"/>
      </w:pPr>
    </w:p>
    <w:p>
      <w:pPr>
        <w:pStyle w:val="CaptionCustom"/>
      </w:pPr>
      <w:r>
        <w:t>Table 4. Exact household profiles</w:t>
      </w:r>
    </w:p>
    <w:tbl>
      <w:tblPr>
        <w:tblW w:type="auto" w:w="0"/>
        <w:jc w:val="center"/>
        <w:tblLayout w:type="fixed"/>
        <w:tblLook w:firstColumn="1" w:firstRow="1" w:lastColumn="0" w:lastRow="0" w:noHBand="0" w:noVBand="1" w:val="04A0"/>
      </w:tblPr>
      <w:tblGrid>
        <w:gridCol w:w="1701"/>
        <w:gridCol w:w="1361"/>
        <w:gridCol w:w="1757"/>
        <w:gridCol w:w="1304"/>
        <w:gridCol w:w="3742"/>
      </w:tblGrid>
      <w:tr>
        <w:trPr>
          <w:tblHeader w:val="true"/>
          <w:cantSplit/>
        </w:trPr>
        <w:tc>
          <w:tcPr>
            <w:tcW w:type="dxa" w:w="1996"/>
            <w:shd w:fill="0B1F33"/>
            <w:tcMar>
              <w:top w:w="75" w:type="dxa"/>
              <w:start w:w="75" w:type="dxa"/>
              <w:bottom w:w="75" w:type="dxa"/>
              <w:end w:w="75" w:type="dxa"/>
            </w:tcMar>
            <w:tcBorders>
              <w:bottom w:val="single" w:sz="6" w:color="23866C"/>
            </w:tcBorders>
          </w:tcPr>
          <w:p>
            <w:pPr>
              <w:spacing w:after="0"/>
            </w:pPr>
            <w:r>
              <w:rPr>
                <w:b/>
                <w:color w:val="FFFFFF"/>
                <w:sz w:val="15"/>
              </w:rPr>
              <w:t>Profile</w:t>
            </w:r>
          </w:p>
        </w:tc>
        <w:tc>
          <w:tcPr>
            <w:tcW w:type="dxa" w:w="1996"/>
            <w:shd w:fill="0B1F33"/>
            <w:tcMar>
              <w:top w:w="75" w:type="dxa"/>
              <w:start w:w="75" w:type="dxa"/>
              <w:bottom w:w="75" w:type="dxa"/>
              <w:end w:w="75" w:type="dxa"/>
            </w:tcMar>
            <w:tcBorders>
              <w:bottom w:val="single" w:sz="6" w:color="23866C"/>
            </w:tcBorders>
          </w:tcPr>
          <w:p>
            <w:pPr>
              <w:spacing w:after="0"/>
            </w:pPr>
            <w:r>
              <w:rPr>
                <w:b/>
                <w:color w:val="FFFFFF"/>
                <w:sz w:val="15"/>
              </w:rPr>
              <w:t>Households</w:t>
            </w:r>
          </w:p>
        </w:tc>
        <w:tc>
          <w:tcPr>
            <w:tcW w:type="dxa" w:w="1996"/>
            <w:shd w:fill="0B1F33"/>
            <w:tcMar>
              <w:top w:w="75" w:type="dxa"/>
              <w:start w:w="75" w:type="dxa"/>
              <w:bottom w:w="75" w:type="dxa"/>
              <w:end w:w="75" w:type="dxa"/>
            </w:tcMar>
            <w:tcBorders>
              <w:bottom w:val="single" w:sz="6" w:color="23866C"/>
            </w:tcBorders>
          </w:tcPr>
          <w:p>
            <w:pPr>
              <w:spacing w:after="0"/>
            </w:pPr>
            <w:r>
              <w:rPr>
                <w:b/>
                <w:color w:val="FFFFFF"/>
                <w:sz w:val="15"/>
              </w:rPr>
              <w:t>Assets per household</w:t>
            </w:r>
          </w:p>
        </w:tc>
        <w:tc>
          <w:tcPr>
            <w:tcW w:type="dxa" w:w="1996"/>
            <w:shd w:fill="0B1F33"/>
            <w:tcMar>
              <w:top w:w="75" w:type="dxa"/>
              <w:start w:w="75" w:type="dxa"/>
              <w:bottom w:w="75" w:type="dxa"/>
              <w:end w:w="75" w:type="dxa"/>
            </w:tcMar>
            <w:tcBorders>
              <w:bottom w:val="single" w:sz="6" w:color="23866C"/>
            </w:tcBorders>
          </w:tcPr>
          <w:p>
            <w:pPr>
              <w:spacing w:after="0"/>
            </w:pPr>
            <w:r>
              <w:rPr>
                <w:b/>
                <w:color w:val="FFFFFF"/>
                <w:sz w:val="15"/>
              </w:rPr>
              <w:t>Assets</w:t>
            </w:r>
          </w:p>
        </w:tc>
        <w:tc>
          <w:tcPr>
            <w:tcW w:type="dxa" w:w="1996"/>
            <w:shd w:fill="0B1F33"/>
            <w:tcMar>
              <w:top w:w="75" w:type="dxa"/>
              <w:start w:w="75" w:type="dxa"/>
              <w:bottom w:w="75" w:type="dxa"/>
              <w:end w:w="75" w:type="dxa"/>
            </w:tcMar>
            <w:tcBorders>
              <w:bottom w:val="single" w:sz="6" w:color="23866C"/>
            </w:tcBorders>
          </w:tcPr>
          <w:p>
            <w:pPr>
              <w:spacing w:after="0"/>
            </w:pPr>
            <w:r>
              <w:rPr>
                <w:b/>
                <w:color w:val="FFFFFF"/>
                <w:sz w:val="15"/>
              </w:rPr>
              <w:t>Distinctive assets</w:t>
            </w:r>
          </w:p>
        </w:tc>
      </w:tr>
      <w:tr>
        <w:trPr>
          <w:cantSplit/>
        </w:trPr>
        <w:tc>
          <w:tcPr>
            <w:tcW w:type="dxa" w:w="1701"/>
            <w:tcMar>
              <w:top w:w="55" w:type="dxa"/>
              <w:start w:w="65" w:type="dxa"/>
              <w:bottom w:w="55" w:type="dxa"/>
              <w:end w:w="65" w:type="dxa"/>
            </w:tcMar>
            <w:tcBorders>
              <w:bottom w:val="single" w:sz="3" w:color="C9D5DF"/>
            </w:tcBorders>
            <w:vAlign w:val="center"/>
          </w:tcPr>
          <w:p>
            <w:pPr>
              <w:spacing w:after="0"/>
            </w:pPr>
            <w:r>
              <w:rPr>
                <w:color w:val="263746"/>
                <w:sz w:val="15"/>
              </w:rPr>
              <w:t>Apartment</w:t>
            </w:r>
          </w:p>
        </w:tc>
        <w:tc>
          <w:tcPr>
            <w:tcW w:type="dxa" w:w="1361"/>
            <w:tcMar>
              <w:top w:w="55" w:type="dxa"/>
              <w:start w:w="65" w:type="dxa"/>
              <w:bottom w:w="55" w:type="dxa"/>
              <w:end w:w="65" w:type="dxa"/>
            </w:tcMar>
            <w:tcBorders>
              <w:bottom w:val="single" w:sz="3" w:color="C9D5DF"/>
            </w:tcBorders>
            <w:vAlign w:val="center"/>
          </w:tcPr>
          <w:p>
            <w:pPr>
              <w:spacing w:after="0"/>
            </w:pPr>
            <w:r>
              <w:rPr>
                <w:color w:val="263746"/>
                <w:sz w:val="15"/>
              </w:rPr>
              <w:t>30</w:t>
            </w:r>
          </w:p>
        </w:tc>
        <w:tc>
          <w:tcPr>
            <w:tcW w:type="dxa" w:w="1757"/>
            <w:tcMar>
              <w:top w:w="55" w:type="dxa"/>
              <w:start w:w="65" w:type="dxa"/>
              <w:bottom w:w="55" w:type="dxa"/>
              <w:end w:w="65" w:type="dxa"/>
            </w:tcMar>
            <w:tcBorders>
              <w:bottom w:val="single" w:sz="3" w:color="C9D5DF"/>
            </w:tcBorders>
            <w:vAlign w:val="center"/>
          </w:tcPr>
          <w:p>
            <w:pPr>
              <w:spacing w:after="0"/>
            </w:pPr>
            <w:r>
              <w:rPr>
                <w:color w:val="263746"/>
                <w:sz w:val="15"/>
              </w:rPr>
              <w:t>8</w:t>
            </w:r>
          </w:p>
        </w:tc>
        <w:tc>
          <w:tcPr>
            <w:tcW w:type="dxa" w:w="1304"/>
            <w:tcMar>
              <w:top w:w="55" w:type="dxa"/>
              <w:start w:w="65" w:type="dxa"/>
              <w:bottom w:w="55" w:type="dxa"/>
              <w:end w:w="65" w:type="dxa"/>
            </w:tcMar>
            <w:tcBorders>
              <w:bottom w:val="single" w:sz="3" w:color="C9D5DF"/>
            </w:tcBorders>
            <w:vAlign w:val="center"/>
          </w:tcPr>
          <w:p>
            <w:pPr>
              <w:spacing w:after="0"/>
            </w:pPr>
            <w:r>
              <w:rPr>
                <w:color w:val="263746"/>
                <w:sz w:val="15"/>
              </w:rPr>
              <w:t>240</w:t>
            </w:r>
          </w:p>
        </w:tc>
        <w:tc>
          <w:tcPr>
            <w:tcW w:type="dxa" w:w="3742"/>
            <w:tcMar>
              <w:top w:w="55" w:type="dxa"/>
              <w:start w:w="65" w:type="dxa"/>
              <w:bottom w:w="55" w:type="dxa"/>
              <w:end w:w="65" w:type="dxa"/>
            </w:tcMar>
            <w:tcBorders>
              <w:bottom w:val="single" w:sz="3" w:color="C9D5DF"/>
            </w:tcBorders>
            <w:vAlign w:val="center"/>
          </w:tcPr>
          <w:p>
            <w:pPr>
              <w:spacing w:after="0"/>
            </w:pPr>
            <w:r>
              <w:rPr>
                <w:color w:val="263746"/>
                <w:sz w:val="15"/>
              </w:rPr>
              <w:t>Meter, plugs, refrigeration, laundry, lighting, water heating, HVAC</w:t>
            </w:r>
          </w:p>
        </w:tc>
      </w:tr>
      <w:tr>
        <w:trPr>
          <w:cantSplit/>
        </w:trPr>
        <w:tc>
          <w:tcPr>
            <w:tcW w:type="dxa" w:w="1701"/>
            <w:shd w:fill="F3F7FA"/>
            <w:tcMar>
              <w:top w:w="55" w:type="dxa"/>
              <w:start w:w="65" w:type="dxa"/>
              <w:bottom w:w="55" w:type="dxa"/>
              <w:end w:w="65" w:type="dxa"/>
            </w:tcMar>
            <w:tcBorders>
              <w:bottom w:val="single" w:sz="3" w:color="C9D5DF"/>
            </w:tcBorders>
            <w:vAlign w:val="center"/>
          </w:tcPr>
          <w:p>
            <w:pPr>
              <w:spacing w:after="0"/>
            </w:pPr>
            <w:r>
              <w:rPr>
                <w:color w:val="263746"/>
                <w:sz w:val="15"/>
              </w:rPr>
              <w:t>Standard home</w:t>
            </w:r>
          </w:p>
        </w:tc>
        <w:tc>
          <w:tcPr>
            <w:tcW w:type="dxa" w:w="1361"/>
            <w:shd w:fill="F3F7FA"/>
            <w:tcMar>
              <w:top w:w="55" w:type="dxa"/>
              <w:start w:w="65" w:type="dxa"/>
              <w:bottom w:w="55" w:type="dxa"/>
              <w:end w:w="65" w:type="dxa"/>
            </w:tcMar>
            <w:tcBorders>
              <w:bottom w:val="single" w:sz="3" w:color="C9D5DF"/>
            </w:tcBorders>
            <w:vAlign w:val="center"/>
          </w:tcPr>
          <w:p>
            <w:pPr>
              <w:spacing w:after="0"/>
            </w:pPr>
            <w:r>
              <w:rPr>
                <w:color w:val="263746"/>
                <w:sz w:val="15"/>
              </w:rPr>
              <w:t>50</w:t>
            </w:r>
          </w:p>
        </w:tc>
        <w:tc>
          <w:tcPr>
            <w:tcW w:type="dxa" w:w="1757"/>
            <w:shd w:fill="F3F7FA"/>
            <w:tcMar>
              <w:top w:w="55" w:type="dxa"/>
              <w:start w:w="65" w:type="dxa"/>
              <w:bottom w:w="55" w:type="dxa"/>
              <w:end w:w="65" w:type="dxa"/>
            </w:tcMar>
            <w:tcBorders>
              <w:bottom w:val="single" w:sz="3" w:color="C9D5DF"/>
            </w:tcBorders>
            <w:vAlign w:val="center"/>
          </w:tcPr>
          <w:p>
            <w:pPr>
              <w:spacing w:after="0"/>
            </w:pPr>
            <w:r>
              <w:rPr>
                <w:color w:val="263746"/>
                <w:sz w:val="15"/>
              </w:rPr>
              <w:t>10</w:t>
            </w:r>
          </w:p>
        </w:tc>
        <w:tc>
          <w:tcPr>
            <w:tcW w:type="dxa" w:w="1304"/>
            <w:shd w:fill="F3F7FA"/>
            <w:tcMar>
              <w:top w:w="55" w:type="dxa"/>
              <w:start w:w="65" w:type="dxa"/>
              <w:bottom w:w="55" w:type="dxa"/>
              <w:end w:w="65" w:type="dxa"/>
            </w:tcMar>
            <w:tcBorders>
              <w:bottom w:val="single" w:sz="3" w:color="C9D5DF"/>
            </w:tcBorders>
            <w:vAlign w:val="center"/>
          </w:tcPr>
          <w:p>
            <w:pPr>
              <w:spacing w:after="0"/>
            </w:pPr>
            <w:r>
              <w:rPr>
                <w:color w:val="263746"/>
                <w:sz w:val="15"/>
              </w:rPr>
              <w:t>500</w:t>
            </w:r>
          </w:p>
        </w:tc>
        <w:tc>
          <w:tcPr>
            <w:tcW w:type="dxa" w:w="3742"/>
            <w:shd w:fill="F3F7FA"/>
            <w:tcMar>
              <w:top w:w="55" w:type="dxa"/>
              <w:start w:w="65" w:type="dxa"/>
              <w:bottom w:w="55" w:type="dxa"/>
              <w:end w:w="65" w:type="dxa"/>
            </w:tcMar>
            <w:tcBorders>
              <w:bottom w:val="single" w:sz="3" w:color="C9D5DF"/>
            </w:tcBorders>
            <w:vAlign w:val="center"/>
          </w:tcPr>
          <w:p>
            <w:pPr>
              <w:spacing w:after="0"/>
            </w:pPr>
            <w:r>
              <w:rPr>
                <w:color w:val="263746"/>
                <w:sz w:val="15"/>
              </w:rPr>
              <w:t>Apartment core plus dishwasher, heat pump, EV charger</w:t>
            </w:r>
          </w:p>
        </w:tc>
      </w:tr>
      <w:tr>
        <w:trPr>
          <w:cantSplit/>
        </w:trPr>
        <w:tc>
          <w:tcPr>
            <w:tcW w:type="dxa" w:w="1701"/>
            <w:tcMar>
              <w:top w:w="55" w:type="dxa"/>
              <w:start w:w="65" w:type="dxa"/>
              <w:bottom w:w="55" w:type="dxa"/>
              <w:end w:w="65" w:type="dxa"/>
            </w:tcMar>
            <w:tcBorders>
              <w:bottom w:val="single" w:sz="3" w:color="C9D5DF"/>
            </w:tcBorders>
            <w:vAlign w:val="center"/>
          </w:tcPr>
          <w:p>
            <w:pPr>
              <w:spacing w:after="0"/>
            </w:pPr>
            <w:r>
              <w:rPr>
                <w:color w:val="263746"/>
                <w:sz w:val="15"/>
              </w:rPr>
              <w:t>Prosumer home</w:t>
            </w:r>
          </w:p>
        </w:tc>
        <w:tc>
          <w:tcPr>
            <w:tcW w:type="dxa" w:w="1361"/>
            <w:tcMar>
              <w:top w:w="55" w:type="dxa"/>
              <w:start w:w="65" w:type="dxa"/>
              <w:bottom w:w="55" w:type="dxa"/>
              <w:end w:w="65" w:type="dxa"/>
            </w:tcMar>
            <w:tcBorders>
              <w:bottom w:val="single" w:sz="3" w:color="C9D5DF"/>
            </w:tcBorders>
            <w:vAlign w:val="center"/>
          </w:tcPr>
          <w:p>
            <w:pPr>
              <w:spacing w:after="0"/>
            </w:pPr>
            <w:r>
              <w:rPr>
                <w:color w:val="263746"/>
                <w:sz w:val="15"/>
              </w:rPr>
              <w:t>20</w:t>
            </w:r>
          </w:p>
        </w:tc>
        <w:tc>
          <w:tcPr>
            <w:tcW w:type="dxa" w:w="1757"/>
            <w:tcMar>
              <w:top w:w="55" w:type="dxa"/>
              <w:start w:w="65" w:type="dxa"/>
              <w:bottom w:w="55" w:type="dxa"/>
              <w:end w:w="65" w:type="dxa"/>
            </w:tcMar>
            <w:tcBorders>
              <w:bottom w:val="single" w:sz="3" w:color="C9D5DF"/>
            </w:tcBorders>
            <w:vAlign w:val="center"/>
          </w:tcPr>
          <w:p>
            <w:pPr>
              <w:spacing w:after="0"/>
            </w:pPr>
            <w:r>
              <w:rPr>
                <w:color w:val="263746"/>
                <w:sz w:val="15"/>
              </w:rPr>
              <w:t>13</w:t>
            </w:r>
          </w:p>
        </w:tc>
        <w:tc>
          <w:tcPr>
            <w:tcW w:type="dxa" w:w="1304"/>
            <w:tcMar>
              <w:top w:w="55" w:type="dxa"/>
              <w:start w:w="65" w:type="dxa"/>
              <w:bottom w:w="55" w:type="dxa"/>
              <w:end w:w="65" w:type="dxa"/>
            </w:tcMar>
            <w:tcBorders>
              <w:bottom w:val="single" w:sz="3" w:color="C9D5DF"/>
            </w:tcBorders>
            <w:vAlign w:val="center"/>
          </w:tcPr>
          <w:p>
            <w:pPr>
              <w:spacing w:after="0"/>
            </w:pPr>
            <w:r>
              <w:rPr>
                <w:color w:val="263746"/>
                <w:sz w:val="15"/>
              </w:rPr>
              <w:t>260</w:t>
            </w:r>
          </w:p>
        </w:tc>
        <w:tc>
          <w:tcPr>
            <w:tcW w:type="dxa" w:w="3742"/>
            <w:tcMar>
              <w:top w:w="55" w:type="dxa"/>
              <w:start w:w="65" w:type="dxa"/>
              <w:bottom w:w="55" w:type="dxa"/>
              <w:end w:w="65" w:type="dxa"/>
            </w:tcMar>
            <w:tcBorders>
              <w:bottom w:val="single" w:sz="3" w:color="C9D5DF"/>
            </w:tcBorders>
            <w:vAlign w:val="center"/>
          </w:tcPr>
          <w:p>
            <w:pPr>
              <w:spacing w:after="0"/>
            </w:pPr>
            <w:r>
              <w:rPr>
                <w:color w:val="263746"/>
                <w:sz w:val="15"/>
              </w:rPr>
              <w:t>Standard core plus solar, battery, extra smart plug</w:t>
            </w:r>
          </w:p>
        </w:tc>
      </w:tr>
      <w:tr>
        <w:trPr>
          <w:cantSplit/>
        </w:trPr>
        <w:tc>
          <w:tcPr>
            <w:tcW w:type="dxa" w:w="1701"/>
            <w:shd w:fill="F3F7FA"/>
            <w:tcMar>
              <w:top w:w="55" w:type="dxa"/>
              <w:start w:w="65" w:type="dxa"/>
              <w:bottom w:w="55" w:type="dxa"/>
              <w:end w:w="65" w:type="dxa"/>
            </w:tcMar>
            <w:tcBorders>
              <w:bottom w:val="single" w:sz="3" w:color="C9D5DF"/>
            </w:tcBorders>
            <w:vAlign w:val="center"/>
          </w:tcPr>
          <w:p>
            <w:pPr>
              <w:spacing w:after="0"/>
            </w:pPr>
            <w:r>
              <w:rPr>
                <w:color w:val="263746"/>
                <w:sz w:val="15"/>
              </w:rPr>
              <w:t>Total</w:t>
            </w:r>
          </w:p>
        </w:tc>
        <w:tc>
          <w:tcPr>
            <w:tcW w:type="dxa" w:w="1361"/>
            <w:shd w:fill="F3F7FA"/>
            <w:tcMar>
              <w:top w:w="55" w:type="dxa"/>
              <w:start w:w="65" w:type="dxa"/>
              <w:bottom w:w="55" w:type="dxa"/>
              <w:end w:w="65" w:type="dxa"/>
            </w:tcMar>
            <w:tcBorders>
              <w:bottom w:val="single" w:sz="3" w:color="C9D5DF"/>
            </w:tcBorders>
            <w:vAlign w:val="center"/>
          </w:tcPr>
          <w:p>
            <w:pPr>
              <w:spacing w:after="0"/>
            </w:pPr>
            <w:r>
              <w:rPr>
                <w:color w:val="263746"/>
                <w:sz w:val="15"/>
              </w:rPr>
              <w:t>100</w:t>
            </w:r>
          </w:p>
        </w:tc>
        <w:tc>
          <w:tcPr>
            <w:tcW w:type="dxa" w:w="1757"/>
            <w:shd w:fill="F3F7FA"/>
            <w:tcMar>
              <w:top w:w="55" w:type="dxa"/>
              <w:start w:w="65" w:type="dxa"/>
              <w:bottom w:w="55" w:type="dxa"/>
              <w:end w:w="65" w:type="dxa"/>
            </w:tcMar>
            <w:tcBorders>
              <w:bottom w:val="single" w:sz="3" w:color="C9D5DF"/>
            </w:tcBorders>
            <w:vAlign w:val="center"/>
          </w:tcPr>
          <w:p>
            <w:pPr>
              <w:spacing w:after="0"/>
            </w:pPr>
            <w:r>
              <w:rPr>
                <w:color w:val="263746"/>
                <w:sz w:val="15"/>
              </w:rPr>
              <w:t>-</w:t>
            </w:r>
          </w:p>
        </w:tc>
        <w:tc>
          <w:tcPr>
            <w:tcW w:type="dxa" w:w="1304"/>
            <w:shd w:fill="F3F7FA"/>
            <w:tcMar>
              <w:top w:w="55" w:type="dxa"/>
              <w:start w:w="65" w:type="dxa"/>
              <w:bottom w:w="55" w:type="dxa"/>
              <w:end w:w="65" w:type="dxa"/>
            </w:tcMar>
            <w:tcBorders>
              <w:bottom w:val="single" w:sz="3" w:color="C9D5DF"/>
            </w:tcBorders>
            <w:vAlign w:val="center"/>
          </w:tcPr>
          <w:p>
            <w:pPr>
              <w:spacing w:after="0"/>
            </w:pPr>
            <w:r>
              <w:rPr>
                <w:color w:val="263746"/>
                <w:sz w:val="15"/>
              </w:rPr>
              <w:t>1000</w:t>
            </w:r>
          </w:p>
        </w:tc>
        <w:tc>
          <w:tcPr>
            <w:tcW w:type="dxa" w:w="3742"/>
            <w:shd w:fill="F3F7FA"/>
            <w:tcMar>
              <w:top w:w="55" w:type="dxa"/>
              <w:start w:w="65" w:type="dxa"/>
              <w:bottom w:w="55" w:type="dxa"/>
              <w:end w:w="65" w:type="dxa"/>
            </w:tcMar>
            <w:tcBorders>
              <w:bottom w:val="single" w:sz="3" w:color="C9D5DF"/>
            </w:tcBorders>
            <w:vAlign w:val="center"/>
          </w:tcPr>
          <w:p>
            <w:pPr>
              <w:spacing w:after="0"/>
            </w:pPr>
            <w:r>
              <w:rPr>
                <w:color w:val="263746"/>
                <w:sz w:val="15"/>
              </w:rPr>
              <w:t>12 categories</w:t>
            </w:r>
          </w:p>
        </w:tc>
      </w:tr>
    </w:tbl>
    <w:p>
      <w:pPr>
        <w:spacing w:after="0"/>
      </w:pPr>
    </w:p>
    <w:p>
      <w:r>
        <w:t>Each household retains profile, time zone, deterministic seed, occupancy and base-load context, and an independent reporting schedule. Each asset retains manufacturer/simulated vendor, measurement capabilities, online and operating state, last seen, current primary measurement, cumulative energy where relevant, flexibility capability, maximum flexible power, simulated=true, and no_real_execution=true.</w:t>
      </w:r>
    </w:p>
    <w:p>
      <w:r>
        <w:br w:type="page"/>
      </w:r>
    </w:p>
    <w:p>
      <w:pPr>
        <w:pStyle w:val="Heading1"/>
        <w:pBdr>
          <w:bottom w:val="single" w:sz="8" w:space="3" w:color="23866C"/>
        </w:pBdr>
      </w:pPr>
      <w:r>
        <w:t>10. Scalability Development</w:t>
      </w:r>
    </w:p>
    <w:p>
      <w:r>
        <w:t>August moved scalability from architecture preparation into a controlled exact-population programme. Stages were not accepted on gateway response alone. A passing functional stage required every configured identity, every update normalized, every reading assigned a terminal SLM audit, 100% slm_called, mapped-or-safely-unmapped completion, zero duplicate final IDs, no processing errors, measured lag returning to zero, completion of representative safe workflow, and a privacy-aware dataspace export.</w:t>
      </w:r>
    </w:p>
    <w:p>
      <w:pPr>
        <w:pStyle w:val="CaptionCustom"/>
      </w:pPr>
      <w:r>
        <w:t>Table 5. Authoritative staged functional evidence generated 27 July and integrated in August</w:t>
      </w:r>
    </w:p>
    <w:tbl>
      <w:tblPr>
        <w:tblW w:type="auto" w:w="0"/>
        <w:jc w:val="center"/>
        <w:tblLayout w:type="fixed"/>
        <w:tblLook w:firstColumn="1" w:firstRow="1" w:lastColumn="0" w:lastRow="0" w:noHBand="0" w:noVBand="1" w:val="04A0"/>
      </w:tblPr>
      <w:tblGrid>
        <w:gridCol w:w="1134"/>
        <w:gridCol w:w="1247"/>
        <w:gridCol w:w="1417"/>
        <w:gridCol w:w="1134"/>
        <w:gridCol w:w="1531"/>
        <w:gridCol w:w="1587"/>
        <w:gridCol w:w="1587"/>
        <w:gridCol w:w="1814"/>
      </w:tblGrid>
      <w:tr>
        <w:trPr>
          <w:tblHeader w:val="true"/>
          <w:cantSplit/>
        </w:trPr>
        <w:tc>
          <w:tcPr>
            <w:tcW w:type="dxa" w:w="1247"/>
            <w:shd w:fill="0B1F33"/>
            <w:tcMar>
              <w:top w:w="75" w:type="dxa"/>
              <w:start w:w="75" w:type="dxa"/>
              <w:bottom w:w="75" w:type="dxa"/>
              <w:end w:w="75" w:type="dxa"/>
            </w:tcMar>
            <w:tcBorders>
              <w:bottom w:val="single" w:sz="6" w:color="23866C"/>
            </w:tcBorders>
          </w:tcPr>
          <w:p>
            <w:pPr>
              <w:spacing w:after="0"/>
            </w:pPr>
            <w:r>
              <w:rPr>
                <w:b/>
                <w:color w:val="FFFFFF"/>
                <w:sz w:val="14"/>
              </w:rPr>
              <w:t>Assets</w:t>
            </w:r>
          </w:p>
        </w:tc>
        <w:tc>
          <w:tcPr>
            <w:tcW w:type="dxa" w:w="1247"/>
            <w:shd w:fill="0B1F33"/>
            <w:tcMar>
              <w:top w:w="75" w:type="dxa"/>
              <w:start w:w="75" w:type="dxa"/>
              <w:bottom w:w="75" w:type="dxa"/>
              <w:end w:w="75" w:type="dxa"/>
            </w:tcMar>
            <w:tcBorders>
              <w:bottom w:val="single" w:sz="6" w:color="23866C"/>
            </w:tcBorders>
          </w:tcPr>
          <w:p>
            <w:pPr>
              <w:spacing w:after="0"/>
            </w:pPr>
            <w:r>
              <w:rPr>
                <w:b/>
                <w:color w:val="FFFFFF"/>
                <w:sz w:val="14"/>
              </w:rPr>
              <w:t>Households</w:t>
            </w:r>
          </w:p>
        </w:tc>
        <w:tc>
          <w:tcPr>
            <w:tcW w:type="dxa" w:w="1247"/>
            <w:shd w:fill="0B1F33"/>
            <w:tcMar>
              <w:top w:w="75" w:type="dxa"/>
              <w:start w:w="75" w:type="dxa"/>
              <w:bottom w:w="75" w:type="dxa"/>
              <w:end w:w="75" w:type="dxa"/>
            </w:tcMar>
            <w:tcBorders>
              <w:bottom w:val="single" w:sz="6" w:color="23866C"/>
            </w:tcBorders>
          </w:tcPr>
          <w:p>
            <w:pPr>
              <w:spacing w:after="0"/>
            </w:pPr>
            <w:r>
              <w:rPr>
                <w:b/>
                <w:color w:val="FFFFFF"/>
                <w:sz w:val="14"/>
              </w:rPr>
              <w:t>SLM called</w:t>
            </w:r>
          </w:p>
        </w:tc>
        <w:tc>
          <w:tcPr>
            <w:tcW w:type="dxa" w:w="1247"/>
            <w:shd w:fill="0B1F33"/>
            <w:tcMar>
              <w:top w:w="75" w:type="dxa"/>
              <w:start w:w="75" w:type="dxa"/>
              <w:bottom w:w="75" w:type="dxa"/>
              <w:end w:w="75" w:type="dxa"/>
            </w:tcMar>
            <w:tcBorders>
              <w:bottom w:val="single" w:sz="6" w:color="23866C"/>
            </w:tcBorders>
          </w:tcPr>
          <w:p>
            <w:pPr>
              <w:spacing w:after="0"/>
            </w:pPr>
            <w:r>
              <w:rPr>
                <w:b/>
                <w:color w:val="FFFFFF"/>
                <w:sz w:val="14"/>
              </w:rPr>
              <w:t>Mapped</w:t>
            </w:r>
          </w:p>
        </w:tc>
        <w:tc>
          <w:tcPr>
            <w:tcW w:type="dxa" w:w="1247"/>
            <w:shd w:fill="0B1F33"/>
            <w:tcMar>
              <w:top w:w="75" w:type="dxa"/>
              <w:start w:w="75" w:type="dxa"/>
              <w:bottom w:w="75" w:type="dxa"/>
              <w:end w:w="75" w:type="dxa"/>
            </w:tcMar>
            <w:tcBorders>
              <w:bottom w:val="single" w:sz="6" w:color="23866C"/>
            </w:tcBorders>
          </w:tcPr>
          <w:p>
            <w:pPr>
              <w:spacing w:after="0"/>
            </w:pPr>
            <w:r>
              <w:rPr>
                <w:b/>
                <w:color w:val="FFFFFF"/>
                <w:sz w:val="14"/>
              </w:rPr>
              <w:t>Safe-unmapped</w:t>
            </w:r>
          </w:p>
        </w:tc>
        <w:tc>
          <w:tcPr>
            <w:tcW w:type="dxa" w:w="1247"/>
            <w:shd w:fill="0B1F33"/>
            <w:tcMar>
              <w:top w:w="75" w:type="dxa"/>
              <w:start w:w="75" w:type="dxa"/>
              <w:bottom w:w="75" w:type="dxa"/>
              <w:end w:w="75" w:type="dxa"/>
            </w:tcMar>
            <w:tcBorders>
              <w:bottom w:val="single" w:sz="6" w:color="23866C"/>
            </w:tcBorders>
          </w:tcPr>
          <w:p>
            <w:pPr>
              <w:spacing w:after="0"/>
            </w:pPr>
            <w:r>
              <w:rPr>
                <w:b/>
                <w:color w:val="FFFFFF"/>
                <w:sz w:val="14"/>
              </w:rPr>
              <w:t>Completion r/s</w:t>
            </w:r>
          </w:p>
        </w:tc>
        <w:tc>
          <w:tcPr>
            <w:tcW w:type="dxa" w:w="1247"/>
            <w:shd w:fill="0B1F33"/>
            <w:tcMar>
              <w:top w:w="75" w:type="dxa"/>
              <w:start w:w="75" w:type="dxa"/>
              <w:bottom w:w="75" w:type="dxa"/>
              <w:end w:w="75" w:type="dxa"/>
            </w:tcMar>
            <w:tcBorders>
              <w:bottom w:val="single" w:sz="6" w:color="23866C"/>
            </w:tcBorders>
          </w:tcPr>
          <w:p>
            <w:pPr>
              <w:spacing w:after="0"/>
            </w:pPr>
            <w:r>
              <w:rPr>
                <w:b/>
                <w:color w:val="FFFFFF"/>
                <w:sz w:val="14"/>
              </w:rPr>
              <w:t>Max/final lag</w:t>
            </w:r>
          </w:p>
        </w:tc>
        <w:tc>
          <w:tcPr>
            <w:tcW w:type="dxa" w:w="1247"/>
            <w:shd w:fill="0B1F33"/>
            <w:tcMar>
              <w:top w:w="75" w:type="dxa"/>
              <w:start w:w="75" w:type="dxa"/>
              <w:bottom w:w="75" w:type="dxa"/>
              <w:end w:w="75" w:type="dxa"/>
            </w:tcMar>
            <w:tcBorders>
              <w:bottom w:val="single" w:sz="6" w:color="23866C"/>
            </w:tcBorders>
          </w:tcPr>
          <w:p>
            <w:pPr>
              <w:spacing w:after="0"/>
            </w:pPr>
            <w:r>
              <w:rPr>
                <w:b/>
                <w:color w:val="FFFFFF"/>
                <w:sz w:val="14"/>
              </w:rPr>
              <w:t>Result</w:t>
            </w:r>
          </w:p>
        </w:tc>
      </w:tr>
      <w:tr>
        <w:trPr>
          <w:cantSplit/>
        </w:trPr>
        <w:tc>
          <w:tcPr>
            <w:tcW w:type="dxa" w:w="1134"/>
            <w:tcMar>
              <w:top w:w="55" w:type="dxa"/>
              <w:start w:w="65" w:type="dxa"/>
              <w:bottom w:w="55" w:type="dxa"/>
              <w:end w:w="65" w:type="dxa"/>
            </w:tcMar>
            <w:tcBorders>
              <w:bottom w:val="single" w:sz="3" w:color="C9D5DF"/>
            </w:tcBorders>
            <w:vAlign w:val="center"/>
          </w:tcPr>
          <w:p>
            <w:pPr>
              <w:spacing w:after="0"/>
            </w:pPr>
            <w:r>
              <w:rPr>
                <w:color w:val="263746"/>
                <w:sz w:val="14"/>
              </w:rPr>
              <w:t>100</w:t>
            </w:r>
          </w:p>
        </w:tc>
        <w:tc>
          <w:tcPr>
            <w:tcW w:type="dxa" w:w="1247"/>
            <w:tcMar>
              <w:top w:w="55" w:type="dxa"/>
              <w:start w:w="65" w:type="dxa"/>
              <w:bottom w:w="55" w:type="dxa"/>
              <w:end w:w="65" w:type="dxa"/>
            </w:tcMar>
            <w:tcBorders>
              <w:bottom w:val="single" w:sz="3" w:color="C9D5DF"/>
            </w:tcBorders>
            <w:vAlign w:val="center"/>
          </w:tcPr>
          <w:p>
            <w:pPr>
              <w:spacing w:after="0"/>
            </w:pPr>
            <w:r>
              <w:rPr>
                <w:color w:val="263746"/>
                <w:sz w:val="14"/>
              </w:rPr>
              <w:t>10</w:t>
            </w:r>
          </w:p>
        </w:tc>
        <w:tc>
          <w:tcPr>
            <w:tcW w:type="dxa" w:w="1417"/>
            <w:tcMar>
              <w:top w:w="55" w:type="dxa"/>
              <w:start w:w="65" w:type="dxa"/>
              <w:bottom w:w="55" w:type="dxa"/>
              <w:end w:w="65" w:type="dxa"/>
            </w:tcMar>
            <w:tcBorders>
              <w:bottom w:val="single" w:sz="3" w:color="C9D5DF"/>
            </w:tcBorders>
            <w:vAlign w:val="center"/>
          </w:tcPr>
          <w:p>
            <w:pPr>
              <w:spacing w:after="0"/>
            </w:pPr>
            <w:r>
              <w:rPr>
                <w:color w:val="263746"/>
                <w:sz w:val="14"/>
              </w:rPr>
              <w:t>100%</w:t>
            </w:r>
          </w:p>
        </w:tc>
        <w:tc>
          <w:tcPr>
            <w:tcW w:type="dxa" w:w="1134"/>
            <w:tcMar>
              <w:top w:w="55" w:type="dxa"/>
              <w:start w:w="65" w:type="dxa"/>
              <w:bottom w:w="55" w:type="dxa"/>
              <w:end w:w="65" w:type="dxa"/>
            </w:tcMar>
            <w:tcBorders>
              <w:bottom w:val="single" w:sz="3" w:color="C9D5DF"/>
            </w:tcBorders>
            <w:vAlign w:val="center"/>
          </w:tcPr>
          <w:p>
            <w:pPr>
              <w:spacing w:after="0"/>
            </w:pPr>
            <w:r>
              <w:rPr>
                <w:color w:val="263746"/>
                <w:sz w:val="14"/>
              </w:rPr>
              <w:t>98</w:t>
            </w:r>
          </w:p>
        </w:tc>
        <w:tc>
          <w:tcPr>
            <w:tcW w:type="dxa" w:w="1531"/>
            <w:tcMar>
              <w:top w:w="55" w:type="dxa"/>
              <w:start w:w="65" w:type="dxa"/>
              <w:bottom w:w="55" w:type="dxa"/>
              <w:end w:w="65" w:type="dxa"/>
            </w:tcMar>
            <w:tcBorders>
              <w:bottom w:val="single" w:sz="3" w:color="C9D5DF"/>
            </w:tcBorders>
            <w:vAlign w:val="center"/>
          </w:tcPr>
          <w:p>
            <w:pPr>
              <w:spacing w:after="0"/>
            </w:pPr>
            <w:r>
              <w:rPr>
                <w:color w:val="263746"/>
                <w:sz w:val="14"/>
              </w:rPr>
              <w:t>2</w:t>
            </w:r>
          </w:p>
        </w:tc>
        <w:tc>
          <w:tcPr>
            <w:tcW w:type="dxa" w:w="1587"/>
            <w:tcMar>
              <w:top w:w="55" w:type="dxa"/>
              <w:start w:w="65" w:type="dxa"/>
              <w:bottom w:w="55" w:type="dxa"/>
              <w:end w:w="65" w:type="dxa"/>
            </w:tcMar>
            <w:tcBorders>
              <w:bottom w:val="single" w:sz="3" w:color="C9D5DF"/>
            </w:tcBorders>
            <w:vAlign w:val="center"/>
          </w:tcPr>
          <w:p>
            <w:pPr>
              <w:spacing w:after="0"/>
            </w:pPr>
            <w:r>
              <w:rPr>
                <w:color w:val="263746"/>
                <w:sz w:val="14"/>
              </w:rPr>
              <w:t>0.369</w:t>
            </w:r>
          </w:p>
        </w:tc>
        <w:tc>
          <w:tcPr>
            <w:tcW w:type="dxa" w:w="1587"/>
            <w:tcMar>
              <w:top w:w="55" w:type="dxa"/>
              <w:start w:w="65" w:type="dxa"/>
              <w:bottom w:w="55" w:type="dxa"/>
              <w:end w:w="65" w:type="dxa"/>
            </w:tcMar>
            <w:tcBorders>
              <w:bottom w:val="single" w:sz="3" w:color="C9D5DF"/>
            </w:tcBorders>
            <w:vAlign w:val="center"/>
          </w:tcPr>
          <w:p>
            <w:pPr>
              <w:spacing w:after="0"/>
            </w:pPr>
            <w:r>
              <w:rPr>
                <w:color w:val="263746"/>
                <w:sz w:val="14"/>
              </w:rPr>
              <w:t>93 / 0</w:t>
            </w:r>
          </w:p>
        </w:tc>
        <w:tc>
          <w:tcPr>
            <w:tcW w:type="dxa" w:w="1814"/>
            <w:tcMar>
              <w:top w:w="55" w:type="dxa"/>
              <w:start w:w="65" w:type="dxa"/>
              <w:bottom w:w="55" w:type="dxa"/>
              <w:end w:w="65" w:type="dxa"/>
            </w:tcMar>
            <w:tcBorders>
              <w:bottom w:val="single" w:sz="3" w:color="C9D5DF"/>
            </w:tcBorders>
            <w:vAlign w:val="center"/>
          </w:tcPr>
          <w:p>
            <w:pPr>
              <w:spacing w:after="0"/>
            </w:pPr>
            <w:r>
              <w:rPr>
                <w:color w:val="263746"/>
                <w:sz w:val="14"/>
              </w:rPr>
              <w:t>Passed</w:t>
            </w:r>
          </w:p>
        </w:tc>
      </w:tr>
      <w:tr>
        <w:trPr>
          <w:cantSplit/>
        </w:trPr>
        <w:tc>
          <w:tcPr>
            <w:tcW w:type="dxa" w:w="1134"/>
            <w:shd w:fill="F3F7FA"/>
            <w:tcMar>
              <w:top w:w="55" w:type="dxa"/>
              <w:start w:w="65" w:type="dxa"/>
              <w:bottom w:w="55" w:type="dxa"/>
              <w:end w:w="65" w:type="dxa"/>
            </w:tcMar>
            <w:tcBorders>
              <w:bottom w:val="single" w:sz="3" w:color="C9D5DF"/>
            </w:tcBorders>
            <w:vAlign w:val="center"/>
          </w:tcPr>
          <w:p>
            <w:pPr>
              <w:spacing w:after="0"/>
            </w:pPr>
            <w:r>
              <w:rPr>
                <w:color w:val="263746"/>
                <w:sz w:val="14"/>
              </w:rPr>
              <w:t>250</w:t>
            </w:r>
          </w:p>
        </w:tc>
        <w:tc>
          <w:tcPr>
            <w:tcW w:type="dxa" w:w="1247"/>
            <w:shd w:fill="F3F7FA"/>
            <w:tcMar>
              <w:top w:w="55" w:type="dxa"/>
              <w:start w:w="65" w:type="dxa"/>
              <w:bottom w:w="55" w:type="dxa"/>
              <w:end w:w="65" w:type="dxa"/>
            </w:tcMar>
            <w:tcBorders>
              <w:bottom w:val="single" w:sz="3" w:color="C9D5DF"/>
            </w:tcBorders>
            <w:vAlign w:val="center"/>
          </w:tcPr>
          <w:p>
            <w:pPr>
              <w:spacing w:after="0"/>
            </w:pPr>
            <w:r>
              <w:rPr>
                <w:color w:val="263746"/>
                <w:sz w:val="14"/>
              </w:rPr>
              <w:t>25</w:t>
            </w:r>
          </w:p>
        </w:tc>
        <w:tc>
          <w:tcPr>
            <w:tcW w:type="dxa" w:w="1417"/>
            <w:shd w:fill="F3F7FA"/>
            <w:tcMar>
              <w:top w:w="55" w:type="dxa"/>
              <w:start w:w="65" w:type="dxa"/>
              <w:bottom w:w="55" w:type="dxa"/>
              <w:end w:w="65" w:type="dxa"/>
            </w:tcMar>
            <w:tcBorders>
              <w:bottom w:val="single" w:sz="3" w:color="C9D5DF"/>
            </w:tcBorders>
            <w:vAlign w:val="center"/>
          </w:tcPr>
          <w:p>
            <w:pPr>
              <w:spacing w:after="0"/>
            </w:pPr>
            <w:r>
              <w:rPr>
                <w:color w:val="263746"/>
                <w:sz w:val="14"/>
              </w:rPr>
              <w:t>100%</w:t>
            </w:r>
          </w:p>
        </w:tc>
        <w:tc>
          <w:tcPr>
            <w:tcW w:type="dxa" w:w="1134"/>
            <w:shd w:fill="F3F7FA"/>
            <w:tcMar>
              <w:top w:w="55" w:type="dxa"/>
              <w:start w:w="65" w:type="dxa"/>
              <w:bottom w:w="55" w:type="dxa"/>
              <w:end w:w="65" w:type="dxa"/>
            </w:tcMar>
            <w:tcBorders>
              <w:bottom w:val="single" w:sz="3" w:color="C9D5DF"/>
            </w:tcBorders>
            <w:vAlign w:val="center"/>
          </w:tcPr>
          <w:p>
            <w:pPr>
              <w:spacing w:after="0"/>
            </w:pPr>
            <w:r>
              <w:rPr>
                <w:color w:val="263746"/>
                <w:sz w:val="14"/>
              </w:rPr>
              <w:t>246</w:t>
            </w:r>
          </w:p>
        </w:tc>
        <w:tc>
          <w:tcPr>
            <w:tcW w:type="dxa" w:w="1531"/>
            <w:shd w:fill="F3F7FA"/>
            <w:tcMar>
              <w:top w:w="55" w:type="dxa"/>
              <w:start w:w="65" w:type="dxa"/>
              <w:bottom w:w="55" w:type="dxa"/>
              <w:end w:w="65" w:type="dxa"/>
            </w:tcMar>
            <w:tcBorders>
              <w:bottom w:val="single" w:sz="3" w:color="C9D5DF"/>
            </w:tcBorders>
            <w:vAlign w:val="center"/>
          </w:tcPr>
          <w:p>
            <w:pPr>
              <w:spacing w:after="0"/>
            </w:pPr>
            <w:r>
              <w:rPr>
                <w:color w:val="263746"/>
                <w:sz w:val="14"/>
              </w:rPr>
              <w:t>4</w:t>
            </w:r>
          </w:p>
        </w:tc>
        <w:tc>
          <w:tcPr>
            <w:tcW w:type="dxa" w:w="1587"/>
            <w:shd w:fill="F3F7FA"/>
            <w:tcMar>
              <w:top w:w="55" w:type="dxa"/>
              <w:start w:w="65" w:type="dxa"/>
              <w:bottom w:w="55" w:type="dxa"/>
              <w:end w:w="65" w:type="dxa"/>
            </w:tcMar>
            <w:tcBorders>
              <w:bottom w:val="single" w:sz="3" w:color="C9D5DF"/>
            </w:tcBorders>
            <w:vAlign w:val="center"/>
          </w:tcPr>
          <w:p>
            <w:pPr>
              <w:spacing w:after="0"/>
            </w:pPr>
            <w:r>
              <w:rPr>
                <w:color w:val="263746"/>
                <w:sz w:val="14"/>
              </w:rPr>
              <w:t>0.386</w:t>
            </w:r>
          </w:p>
        </w:tc>
        <w:tc>
          <w:tcPr>
            <w:tcW w:type="dxa" w:w="1587"/>
            <w:shd w:fill="F3F7FA"/>
            <w:tcMar>
              <w:top w:w="55" w:type="dxa"/>
              <w:start w:w="65" w:type="dxa"/>
              <w:bottom w:w="55" w:type="dxa"/>
              <w:end w:w="65" w:type="dxa"/>
            </w:tcMar>
            <w:tcBorders>
              <w:bottom w:val="single" w:sz="3" w:color="C9D5DF"/>
            </w:tcBorders>
            <w:vAlign w:val="center"/>
          </w:tcPr>
          <w:p>
            <w:pPr>
              <w:spacing w:after="0"/>
            </w:pPr>
            <w:r>
              <w:rPr>
                <w:color w:val="263746"/>
                <w:sz w:val="14"/>
              </w:rPr>
              <w:t>73 / 0</w:t>
            </w:r>
          </w:p>
        </w:tc>
        <w:tc>
          <w:tcPr>
            <w:tcW w:type="dxa" w:w="1814"/>
            <w:shd w:fill="F3F7FA"/>
            <w:tcMar>
              <w:top w:w="55" w:type="dxa"/>
              <w:start w:w="65" w:type="dxa"/>
              <w:bottom w:w="55" w:type="dxa"/>
              <w:end w:w="65" w:type="dxa"/>
            </w:tcMar>
            <w:tcBorders>
              <w:bottom w:val="single" w:sz="3" w:color="C9D5DF"/>
            </w:tcBorders>
            <w:vAlign w:val="center"/>
          </w:tcPr>
          <w:p>
            <w:pPr>
              <w:spacing w:after="0"/>
            </w:pPr>
            <w:r>
              <w:rPr>
                <w:color w:val="263746"/>
                <w:sz w:val="14"/>
              </w:rPr>
              <w:t>Passed</w:t>
            </w:r>
          </w:p>
        </w:tc>
      </w:tr>
      <w:tr>
        <w:trPr>
          <w:cantSplit/>
        </w:trPr>
        <w:tc>
          <w:tcPr>
            <w:tcW w:type="dxa" w:w="1134"/>
            <w:tcMar>
              <w:top w:w="55" w:type="dxa"/>
              <w:start w:w="65" w:type="dxa"/>
              <w:bottom w:w="55" w:type="dxa"/>
              <w:end w:w="65" w:type="dxa"/>
            </w:tcMar>
            <w:tcBorders>
              <w:bottom w:val="single" w:sz="3" w:color="C9D5DF"/>
            </w:tcBorders>
            <w:vAlign w:val="center"/>
          </w:tcPr>
          <w:p>
            <w:pPr>
              <w:spacing w:after="0"/>
            </w:pPr>
            <w:r>
              <w:rPr>
                <w:color w:val="263746"/>
                <w:sz w:val="14"/>
              </w:rPr>
              <w:t>500</w:t>
            </w:r>
          </w:p>
        </w:tc>
        <w:tc>
          <w:tcPr>
            <w:tcW w:type="dxa" w:w="1247"/>
            <w:tcMar>
              <w:top w:w="55" w:type="dxa"/>
              <w:start w:w="65" w:type="dxa"/>
              <w:bottom w:w="55" w:type="dxa"/>
              <w:end w:w="65" w:type="dxa"/>
            </w:tcMar>
            <w:tcBorders>
              <w:bottom w:val="single" w:sz="3" w:color="C9D5DF"/>
            </w:tcBorders>
            <w:vAlign w:val="center"/>
          </w:tcPr>
          <w:p>
            <w:pPr>
              <w:spacing w:after="0"/>
            </w:pPr>
            <w:r>
              <w:rPr>
                <w:color w:val="263746"/>
                <w:sz w:val="14"/>
              </w:rPr>
              <w:t>50</w:t>
            </w:r>
          </w:p>
        </w:tc>
        <w:tc>
          <w:tcPr>
            <w:tcW w:type="dxa" w:w="1417"/>
            <w:tcMar>
              <w:top w:w="55" w:type="dxa"/>
              <w:start w:w="65" w:type="dxa"/>
              <w:bottom w:w="55" w:type="dxa"/>
              <w:end w:w="65" w:type="dxa"/>
            </w:tcMar>
            <w:tcBorders>
              <w:bottom w:val="single" w:sz="3" w:color="C9D5DF"/>
            </w:tcBorders>
            <w:vAlign w:val="center"/>
          </w:tcPr>
          <w:p>
            <w:pPr>
              <w:spacing w:after="0"/>
            </w:pPr>
            <w:r>
              <w:rPr>
                <w:color w:val="263746"/>
                <w:sz w:val="14"/>
              </w:rPr>
              <w:t>100%</w:t>
            </w:r>
          </w:p>
        </w:tc>
        <w:tc>
          <w:tcPr>
            <w:tcW w:type="dxa" w:w="1134"/>
            <w:tcMar>
              <w:top w:w="55" w:type="dxa"/>
              <w:start w:w="65" w:type="dxa"/>
              <w:bottom w:w="55" w:type="dxa"/>
              <w:end w:w="65" w:type="dxa"/>
            </w:tcMar>
            <w:tcBorders>
              <w:bottom w:val="single" w:sz="3" w:color="C9D5DF"/>
            </w:tcBorders>
            <w:vAlign w:val="center"/>
          </w:tcPr>
          <w:p>
            <w:pPr>
              <w:spacing w:after="0"/>
            </w:pPr>
            <w:r>
              <w:rPr>
                <w:color w:val="263746"/>
                <w:sz w:val="14"/>
              </w:rPr>
              <w:t>487</w:t>
            </w:r>
          </w:p>
        </w:tc>
        <w:tc>
          <w:tcPr>
            <w:tcW w:type="dxa" w:w="1531"/>
            <w:tcMar>
              <w:top w:w="55" w:type="dxa"/>
              <w:start w:w="65" w:type="dxa"/>
              <w:bottom w:w="55" w:type="dxa"/>
              <w:end w:w="65" w:type="dxa"/>
            </w:tcMar>
            <w:tcBorders>
              <w:bottom w:val="single" w:sz="3" w:color="C9D5DF"/>
            </w:tcBorders>
            <w:vAlign w:val="center"/>
          </w:tcPr>
          <w:p>
            <w:pPr>
              <w:spacing w:after="0"/>
            </w:pPr>
            <w:r>
              <w:rPr>
                <w:color w:val="263746"/>
                <w:sz w:val="14"/>
              </w:rPr>
              <w:t>13</w:t>
            </w:r>
          </w:p>
        </w:tc>
        <w:tc>
          <w:tcPr>
            <w:tcW w:type="dxa" w:w="1587"/>
            <w:tcMar>
              <w:top w:w="55" w:type="dxa"/>
              <w:start w:w="65" w:type="dxa"/>
              <w:bottom w:w="55" w:type="dxa"/>
              <w:end w:w="65" w:type="dxa"/>
            </w:tcMar>
            <w:tcBorders>
              <w:bottom w:val="single" w:sz="3" w:color="C9D5DF"/>
            </w:tcBorders>
            <w:vAlign w:val="center"/>
          </w:tcPr>
          <w:p>
            <w:pPr>
              <w:spacing w:after="0"/>
            </w:pPr>
            <w:r>
              <w:rPr>
                <w:color w:val="263746"/>
                <w:sz w:val="14"/>
              </w:rPr>
              <w:t>0.430</w:t>
            </w:r>
          </w:p>
        </w:tc>
        <w:tc>
          <w:tcPr>
            <w:tcW w:type="dxa" w:w="1587"/>
            <w:tcMar>
              <w:top w:w="55" w:type="dxa"/>
              <w:start w:w="65" w:type="dxa"/>
              <w:bottom w:w="55" w:type="dxa"/>
              <w:end w:w="65" w:type="dxa"/>
            </w:tcMar>
            <w:tcBorders>
              <w:bottom w:val="single" w:sz="3" w:color="C9D5DF"/>
            </w:tcBorders>
            <w:vAlign w:val="center"/>
          </w:tcPr>
          <w:p>
            <w:pPr>
              <w:spacing w:after="0"/>
            </w:pPr>
            <w:r>
              <w:rPr>
                <w:color w:val="263746"/>
                <w:sz w:val="14"/>
              </w:rPr>
              <w:t>420 / 0</w:t>
            </w:r>
          </w:p>
        </w:tc>
        <w:tc>
          <w:tcPr>
            <w:tcW w:type="dxa" w:w="1814"/>
            <w:tcMar>
              <w:top w:w="55" w:type="dxa"/>
              <w:start w:w="65" w:type="dxa"/>
              <w:bottom w:w="55" w:type="dxa"/>
              <w:end w:w="65" w:type="dxa"/>
            </w:tcMar>
            <w:tcBorders>
              <w:bottom w:val="single" w:sz="3" w:color="C9D5DF"/>
            </w:tcBorders>
            <w:vAlign w:val="center"/>
          </w:tcPr>
          <w:p>
            <w:pPr>
              <w:spacing w:after="0"/>
            </w:pPr>
            <w:r>
              <w:rPr>
                <w:color w:val="263746"/>
                <w:sz w:val="14"/>
              </w:rPr>
              <w:t>Passed</w:t>
            </w:r>
          </w:p>
        </w:tc>
      </w:tr>
      <w:tr>
        <w:trPr>
          <w:cantSplit/>
        </w:trPr>
        <w:tc>
          <w:tcPr>
            <w:tcW w:type="dxa" w:w="1134"/>
            <w:shd w:fill="F3F7FA"/>
            <w:tcMar>
              <w:top w:w="55" w:type="dxa"/>
              <w:start w:w="65" w:type="dxa"/>
              <w:bottom w:w="55" w:type="dxa"/>
              <w:end w:w="65" w:type="dxa"/>
            </w:tcMar>
            <w:tcBorders>
              <w:bottom w:val="single" w:sz="3" w:color="C9D5DF"/>
            </w:tcBorders>
            <w:vAlign w:val="center"/>
          </w:tcPr>
          <w:p>
            <w:pPr>
              <w:spacing w:after="0"/>
            </w:pPr>
            <w:r>
              <w:rPr>
                <w:color w:val="263746"/>
                <w:sz w:val="14"/>
              </w:rPr>
              <w:t>1000</w:t>
            </w:r>
          </w:p>
        </w:tc>
        <w:tc>
          <w:tcPr>
            <w:tcW w:type="dxa" w:w="1247"/>
            <w:shd w:fill="F3F7FA"/>
            <w:tcMar>
              <w:top w:w="55" w:type="dxa"/>
              <w:start w:w="65" w:type="dxa"/>
              <w:bottom w:w="55" w:type="dxa"/>
              <w:end w:w="65" w:type="dxa"/>
            </w:tcMar>
            <w:tcBorders>
              <w:bottom w:val="single" w:sz="3" w:color="C9D5DF"/>
            </w:tcBorders>
            <w:vAlign w:val="center"/>
          </w:tcPr>
          <w:p>
            <w:pPr>
              <w:spacing w:after="0"/>
            </w:pPr>
            <w:r>
              <w:rPr>
                <w:color w:val="263746"/>
                <w:sz w:val="14"/>
              </w:rPr>
              <w:t>100</w:t>
            </w:r>
          </w:p>
        </w:tc>
        <w:tc>
          <w:tcPr>
            <w:tcW w:type="dxa" w:w="1417"/>
            <w:shd w:fill="F3F7FA"/>
            <w:tcMar>
              <w:top w:w="55" w:type="dxa"/>
              <w:start w:w="65" w:type="dxa"/>
              <w:bottom w:w="55" w:type="dxa"/>
              <w:end w:w="65" w:type="dxa"/>
            </w:tcMar>
            <w:tcBorders>
              <w:bottom w:val="single" w:sz="3" w:color="C9D5DF"/>
            </w:tcBorders>
            <w:vAlign w:val="center"/>
          </w:tcPr>
          <w:p>
            <w:pPr>
              <w:spacing w:after="0"/>
            </w:pPr>
            <w:r>
              <w:rPr>
                <w:color w:val="263746"/>
                <w:sz w:val="14"/>
              </w:rPr>
              <w:t>100%</w:t>
            </w:r>
          </w:p>
        </w:tc>
        <w:tc>
          <w:tcPr>
            <w:tcW w:type="dxa" w:w="1134"/>
            <w:shd w:fill="F3F7FA"/>
            <w:tcMar>
              <w:top w:w="55" w:type="dxa"/>
              <w:start w:w="65" w:type="dxa"/>
              <w:bottom w:w="55" w:type="dxa"/>
              <w:end w:w="65" w:type="dxa"/>
            </w:tcMar>
            <w:tcBorders>
              <w:bottom w:val="single" w:sz="3" w:color="C9D5DF"/>
            </w:tcBorders>
            <w:vAlign w:val="center"/>
          </w:tcPr>
          <w:p>
            <w:pPr>
              <w:spacing w:after="0"/>
            </w:pPr>
            <w:r>
              <w:rPr>
                <w:color w:val="263746"/>
                <w:sz w:val="14"/>
              </w:rPr>
              <w:t>969</w:t>
            </w:r>
          </w:p>
        </w:tc>
        <w:tc>
          <w:tcPr>
            <w:tcW w:type="dxa" w:w="1531"/>
            <w:shd w:fill="F3F7FA"/>
            <w:tcMar>
              <w:top w:w="55" w:type="dxa"/>
              <w:start w:w="65" w:type="dxa"/>
              <w:bottom w:w="55" w:type="dxa"/>
              <w:end w:w="65" w:type="dxa"/>
            </w:tcMar>
            <w:tcBorders>
              <w:bottom w:val="single" w:sz="3" w:color="C9D5DF"/>
            </w:tcBorders>
            <w:vAlign w:val="center"/>
          </w:tcPr>
          <w:p>
            <w:pPr>
              <w:spacing w:after="0"/>
            </w:pPr>
            <w:r>
              <w:rPr>
                <w:color w:val="263746"/>
                <w:sz w:val="14"/>
              </w:rPr>
              <w:t>31</w:t>
            </w:r>
          </w:p>
        </w:tc>
        <w:tc>
          <w:tcPr>
            <w:tcW w:type="dxa" w:w="1587"/>
            <w:shd w:fill="F3F7FA"/>
            <w:tcMar>
              <w:top w:w="55" w:type="dxa"/>
              <w:start w:w="65" w:type="dxa"/>
              <w:bottom w:w="55" w:type="dxa"/>
              <w:end w:w="65" w:type="dxa"/>
            </w:tcMar>
            <w:tcBorders>
              <w:bottom w:val="single" w:sz="3" w:color="C9D5DF"/>
            </w:tcBorders>
            <w:vAlign w:val="center"/>
          </w:tcPr>
          <w:p>
            <w:pPr>
              <w:spacing w:after="0"/>
            </w:pPr>
            <w:r>
              <w:rPr>
                <w:color w:val="263746"/>
                <w:sz w:val="14"/>
              </w:rPr>
              <w:t>0.424</w:t>
            </w:r>
          </w:p>
        </w:tc>
        <w:tc>
          <w:tcPr>
            <w:tcW w:type="dxa" w:w="1587"/>
            <w:shd w:fill="F3F7FA"/>
            <w:tcMar>
              <w:top w:w="55" w:type="dxa"/>
              <w:start w:w="65" w:type="dxa"/>
              <w:bottom w:w="55" w:type="dxa"/>
              <w:end w:w="65" w:type="dxa"/>
            </w:tcMar>
            <w:tcBorders>
              <w:bottom w:val="single" w:sz="3" w:color="C9D5DF"/>
            </w:tcBorders>
            <w:vAlign w:val="center"/>
          </w:tcPr>
          <w:p>
            <w:pPr>
              <w:spacing w:after="0"/>
            </w:pPr>
            <w:r>
              <w:rPr>
                <w:color w:val="263746"/>
                <w:sz w:val="14"/>
              </w:rPr>
              <w:t>762 / 0</w:t>
            </w:r>
          </w:p>
        </w:tc>
        <w:tc>
          <w:tcPr>
            <w:tcW w:type="dxa" w:w="1814"/>
            <w:shd w:fill="F3F7FA"/>
            <w:tcMar>
              <w:top w:w="55" w:type="dxa"/>
              <w:start w:w="65" w:type="dxa"/>
              <w:bottom w:w="55" w:type="dxa"/>
              <w:end w:w="65" w:type="dxa"/>
            </w:tcMar>
            <w:tcBorders>
              <w:bottom w:val="single" w:sz="3" w:color="C9D5DF"/>
            </w:tcBorders>
            <w:vAlign w:val="center"/>
          </w:tcPr>
          <w:p>
            <w:pPr>
              <w:spacing w:after="0"/>
            </w:pPr>
            <w:r>
              <w:rPr>
                <w:color w:val="263746"/>
                <w:sz w:val="14"/>
              </w:rPr>
              <w:t>Passed asynchronously</w:t>
            </w:r>
          </w:p>
        </w:tc>
      </w:tr>
    </w:tbl>
    <w:p>
      <w:pPr>
        <w:spacing w:after="0"/>
      </w:pPr>
    </w:p>
    <w:p>
      <w:r>
        <w:t>Figure 3 places the functional and sustained-arrival rates beside their measured Kafka backlog.</w:t>
      </w:r>
    </w:p>
    <w:tbl>
      <w:tblPr>
        <w:tblW w:type="auto" w:w="0"/>
        <w:jc w:val="center"/>
        <w:tblLayout w:type="fixed"/>
        <w:tblLook w:firstColumn="1" w:firstRow="1" w:lastColumn="0" w:lastRow="0" w:noHBand="0" w:noVBand="1" w:val="04A0"/>
      </w:tblPr>
      <w:tblGrid>
        <w:gridCol w:w="9808"/>
      </w:tblGrid>
      <w:tr>
        <w:trPr>
          <w:cantSplit/>
          <w:tblHeader/>
        </w:trPr>
        <w:tc>
          <w:tcPr>
            <w:tcW w:type="dxa" w:w="9978"/>
            <w:tcMar>
              <w:top w:w="20" w:type="dxa"/>
              <w:start w:w="20" w:type="dxa"/>
              <w:bottom w:w="20" w:type="dxa"/>
              <w:end w:w="20" w:type="dxa"/>
            </w:tcMar>
          </w:tcPr>
          <w:p>
            <w:pPr>
              <w:spacing w:after="40"/>
              <w:jc w:val="center"/>
            </w:pPr>
            <w:r>
              <w:drawing>
                <wp:inline xmlns:a="http://schemas.openxmlformats.org/drawingml/2006/main" xmlns:pic="http://schemas.openxmlformats.org/drawingml/2006/picture">
                  <wp:extent cx="6156000" cy="2924100"/>
                  <wp:docPr id="4" name="Picture 4" descr="Measured arrival, semantic completion, capacity gap, and Kafka lag for the 1,000-asset evidence runs." title="Measured arrival, semantic completion, capacity gap, and Kafka lag for the 1,000-asset evidence runs."/>
                  <wp:cNvGraphicFramePr>
                    <a:graphicFrameLocks noChangeAspect="1"/>
                  </wp:cNvGraphicFramePr>
                  <a:graphic>
                    <a:graphicData uri="http://schemas.openxmlformats.org/drawingml/2006/picture">
                      <pic:pic>
                        <pic:nvPicPr>
                          <pic:cNvPr id="0" name="august_performance.png"/>
                          <pic:cNvPicPr/>
                        </pic:nvPicPr>
                        <pic:blipFill>
                          <a:blip r:embed="rId16"/>
                          <a:stretch>
                            <a:fillRect/>
                          </a:stretch>
                        </pic:blipFill>
                        <pic:spPr>
                          <a:xfrm>
                            <a:off x="0" y="0"/>
                            <a:ext cx="6156000" cy="2924100"/>
                          </a:xfrm>
                          <a:prstGeom prst="rect"/>
                        </pic:spPr>
                      </pic:pic>
                    </a:graphicData>
                  </a:graphic>
                </wp:inline>
              </w:drawing>
            </w:r>
          </w:p>
          <w:p>
            <w:pPr>
              <w:pStyle w:val="CaptionCustom"/>
              <w:jc w:val="center"/>
            </w:pPr>
            <w:r>
              <w:t>Figure 3. Measured arrival, semantic completion, capacity gap, and Kafka lag for the 1,000-asset evidence runs.</w:t>
            </w:r>
          </w:p>
        </w:tc>
      </w:tr>
    </w:tbl>
    <w:p>
      <w:pPr>
        <w:spacing w:after="0"/>
      </w:pPr>
    </w:p>
    <w:tbl>
      <w:tblPr>
        <w:tblW w:type="auto" w:w="0"/>
        <w:jc w:val="center"/>
        <w:tblLayout w:type="fixed"/>
        <w:tblLook w:firstColumn="1" w:firstRow="1" w:lastColumn="0" w:lastRow="0" w:noHBand="0" w:noVBand="1" w:val="04A0"/>
      </w:tblPr>
      <w:tblGrid>
        <w:gridCol w:w="283"/>
        <w:gridCol w:w="9524"/>
      </w:tblGrid>
      <w:tr>
        <w:trPr>
          <w:cantSplit/>
          <w:tblHeader/>
        </w:trPr>
        <w:tc>
          <w:tcPr>
            <w:tcW w:type="dxa" w:w="4989"/>
            <w:shd w:fill="C6782C"/>
            <w:tcMar>
              <w:top w:w="30" w:type="dxa"/>
              <w:start w:w="20" w:type="dxa"/>
              <w:bottom w:w="30" w:type="dxa"/>
              <w:end w:w="20" w:type="dxa"/>
            </w:tcMar>
          </w:tcPr>
          <w:p/>
        </w:tc>
        <w:tc>
          <w:tcPr>
            <w:tcW w:type="dxa" w:w="4989"/>
            <w:shd w:fill="FFF1E5"/>
            <w:tcMar>
              <w:top w:w="100" w:type="dxa"/>
              <w:start w:w="140" w:type="dxa"/>
              <w:bottom w:w="100" w:type="dxa"/>
              <w:end w:w="140" w:type="dxa"/>
            </w:tcMar>
          </w:tcPr>
          <w:p>
            <w:pPr>
              <w:spacing w:after="40"/>
            </w:pPr>
            <w:r>
              <w:rPr>
                <w:b/>
                <w:color w:val="0B1F33"/>
              </w:rPr>
              <w:t>Capacity classification</w:t>
            </w:r>
          </w:p>
          <w:p>
            <w:pPr>
              <w:spacing w:after="0"/>
            </w:pPr>
            <w:r>
              <w:rPr>
                <w:sz w:val="17"/>
              </w:rPr>
              <w:t>The platform functionally completed all 1,000 readings and cleared its backlog. It did not sustain the tested 15-minute arrival profile. One local Phi-3 Mini worker requires at least 2.478x measured capacity at that arrival rate, before operational headroom.</w:t>
            </w:r>
          </w:p>
        </w:tc>
      </w:tr>
    </w:tbl>
    <w:p>
      <w:pPr>
        <w:spacing w:after="0"/>
      </w:pPr>
    </w:p>
    <w:p>
      <w:r>
        <w:br w:type="page"/>
      </w:r>
    </w:p>
    <w:p>
      <w:pPr>
        <w:pStyle w:val="Heading1"/>
        <w:pBdr>
          <w:bottom w:val="single" w:sz="8" w:space="3" w:color="23866C"/>
        </w:pBdr>
      </w:pPr>
      <w:r>
        <w:t>11. Validation and Testing</w:t>
      </w:r>
    </w:p>
    <w:p>
      <w:pPr>
        <w:pStyle w:val="CaptionCustom"/>
      </w:pPr>
      <w:r>
        <w:t>Table 6. 5 August semantic coverage run</w:t>
      </w:r>
    </w:p>
    <w:tbl>
      <w:tblPr>
        <w:tblW w:type="auto" w:w="0"/>
        <w:jc w:val="center"/>
        <w:tblLayout w:type="fixed"/>
        <w:tblLook w:firstColumn="1" w:firstRow="1" w:lastColumn="0" w:lastRow="0" w:noHBand="0" w:noVBand="1" w:val="04A0"/>
      </w:tblPr>
      <w:tblGrid>
        <w:gridCol w:w="4139"/>
        <w:gridCol w:w="5726"/>
      </w:tblGrid>
      <w:tr>
        <w:trPr>
          <w:tblHeader w:val="true"/>
          <w:cantSplit/>
        </w:trPr>
        <w:tc>
          <w:tcPr>
            <w:tcW w:type="dxa" w:w="4989"/>
            <w:shd w:fill="0B1F33"/>
            <w:tcMar>
              <w:top w:w="75" w:type="dxa"/>
              <w:start w:w="75" w:type="dxa"/>
              <w:bottom w:w="75" w:type="dxa"/>
              <w:end w:w="75" w:type="dxa"/>
            </w:tcMar>
            <w:tcBorders>
              <w:bottom w:val="single" w:sz="6" w:color="23866C"/>
            </w:tcBorders>
          </w:tcPr>
          <w:p>
            <w:pPr>
              <w:spacing w:after="0"/>
            </w:pPr>
            <w:r>
              <w:rPr>
                <w:b/>
                <w:color w:val="FFFFFF"/>
                <w:sz w:val="15"/>
              </w:rPr>
              <w:t>Metric</w:t>
            </w:r>
          </w:p>
        </w:tc>
        <w:tc>
          <w:tcPr>
            <w:tcW w:type="dxa" w:w="4989"/>
            <w:shd w:fill="0B1F33"/>
            <w:tcMar>
              <w:top w:w="75" w:type="dxa"/>
              <w:start w:w="75" w:type="dxa"/>
              <w:bottom w:w="75" w:type="dxa"/>
              <w:end w:w="75" w:type="dxa"/>
            </w:tcMar>
            <w:tcBorders>
              <w:bottom w:val="single" w:sz="6" w:color="23866C"/>
            </w:tcBorders>
          </w:tcPr>
          <w:p>
            <w:pPr>
              <w:spacing w:after="0"/>
            </w:pPr>
            <w:r>
              <w:rPr>
                <w:b/>
                <w:color w:val="FFFFFF"/>
                <w:sz w:val="15"/>
              </w:rPr>
              <w:t>Result</w:t>
            </w:r>
          </w:p>
        </w:tc>
      </w:tr>
      <w:tr>
        <w:trPr>
          <w:cantSplit/>
        </w:trPr>
        <w:tc>
          <w:tcPr>
            <w:tcW w:type="dxa" w:w="4139"/>
            <w:tcMar>
              <w:top w:w="55" w:type="dxa"/>
              <w:start w:w="65" w:type="dxa"/>
              <w:bottom w:w="55" w:type="dxa"/>
              <w:end w:w="65" w:type="dxa"/>
            </w:tcMar>
            <w:tcBorders>
              <w:bottom w:val="single" w:sz="3" w:color="C9D5DF"/>
            </w:tcBorders>
            <w:vAlign w:val="center"/>
          </w:tcPr>
          <w:p>
            <w:pPr>
              <w:spacing w:after="0"/>
            </w:pPr>
            <w:r>
              <w:rPr>
                <w:color w:val="263746"/>
                <w:sz w:val="15"/>
              </w:rPr>
              <w:t>Run ID</w:t>
            </w:r>
          </w:p>
        </w:tc>
        <w:tc>
          <w:tcPr>
            <w:tcW w:type="dxa" w:w="5726"/>
            <w:tcMar>
              <w:top w:w="55" w:type="dxa"/>
              <w:start w:w="65" w:type="dxa"/>
              <w:bottom w:w="55" w:type="dxa"/>
              <w:end w:w="65" w:type="dxa"/>
            </w:tcMar>
            <w:tcBorders>
              <w:bottom w:val="single" w:sz="3" w:color="C9D5DF"/>
            </w:tcBorders>
            <w:vAlign w:val="center"/>
          </w:tcPr>
          <w:p>
            <w:pPr>
              <w:spacing w:after="0"/>
            </w:pPr>
            <w:r>
              <w:rPr>
                <w:color w:val="263746"/>
                <w:sz w:val="15"/>
              </w:rPr>
              <w:t>scale-100-2026-08-05T06-59-10-798Z</w:t>
            </w:r>
          </w:p>
        </w:tc>
      </w:tr>
      <w:tr>
        <w:trPr>
          <w:cantSplit/>
        </w:trPr>
        <w:tc>
          <w:tcPr>
            <w:tcW w:type="dxa" w:w="4139"/>
            <w:shd w:fill="F3F7FA"/>
            <w:tcMar>
              <w:top w:w="55" w:type="dxa"/>
              <w:start w:w="65" w:type="dxa"/>
              <w:bottom w:w="55" w:type="dxa"/>
              <w:end w:w="65" w:type="dxa"/>
            </w:tcMar>
            <w:tcBorders>
              <w:bottom w:val="single" w:sz="3" w:color="C9D5DF"/>
            </w:tcBorders>
            <w:vAlign w:val="center"/>
          </w:tcPr>
          <w:p>
            <w:pPr>
              <w:spacing w:after="0"/>
            </w:pPr>
            <w:r>
              <w:rPr>
                <w:color w:val="263746"/>
                <w:sz w:val="15"/>
              </w:rPr>
              <w:t>Households / assets / categories</w:t>
            </w:r>
          </w:p>
        </w:tc>
        <w:tc>
          <w:tcPr>
            <w:tcW w:type="dxa" w:w="5726"/>
            <w:shd w:fill="F3F7FA"/>
            <w:tcMar>
              <w:top w:w="55" w:type="dxa"/>
              <w:start w:w="65" w:type="dxa"/>
              <w:bottom w:w="55" w:type="dxa"/>
              <w:end w:w="65" w:type="dxa"/>
            </w:tcMar>
            <w:tcBorders>
              <w:bottom w:val="single" w:sz="3" w:color="C9D5DF"/>
            </w:tcBorders>
            <w:vAlign w:val="center"/>
          </w:tcPr>
          <w:p>
            <w:pPr>
              <w:spacing w:after="0"/>
            </w:pPr>
            <w:r>
              <w:rPr>
                <w:color w:val="263746"/>
                <w:sz w:val="15"/>
              </w:rPr>
              <w:t>10 / 100 / 12</w:t>
            </w:r>
          </w:p>
        </w:tc>
      </w:tr>
      <w:tr>
        <w:trPr>
          <w:cantSplit/>
        </w:trPr>
        <w:tc>
          <w:tcPr>
            <w:tcW w:type="dxa" w:w="4139"/>
            <w:tcMar>
              <w:top w:w="55" w:type="dxa"/>
              <w:start w:w="65" w:type="dxa"/>
              <w:bottom w:w="55" w:type="dxa"/>
              <w:end w:w="65" w:type="dxa"/>
            </w:tcMar>
            <w:tcBorders>
              <w:bottom w:val="single" w:sz="3" w:color="C9D5DF"/>
            </w:tcBorders>
            <w:vAlign w:val="center"/>
          </w:tcPr>
          <w:p>
            <w:pPr>
              <w:spacing w:after="0"/>
            </w:pPr>
            <w:r>
              <w:rPr>
                <w:color w:val="263746"/>
                <w:sz w:val="15"/>
              </w:rPr>
              <w:t>Telemetry accepted</w:t>
            </w:r>
          </w:p>
        </w:tc>
        <w:tc>
          <w:tcPr>
            <w:tcW w:type="dxa" w:w="5726"/>
            <w:tcMar>
              <w:top w:w="55" w:type="dxa"/>
              <w:start w:w="65" w:type="dxa"/>
              <w:bottom w:w="55" w:type="dxa"/>
              <w:end w:w="65" w:type="dxa"/>
            </w:tcMar>
            <w:tcBorders>
              <w:bottom w:val="single" w:sz="3" w:color="C9D5DF"/>
            </w:tcBorders>
            <w:vAlign w:val="center"/>
          </w:tcPr>
          <w:p>
            <w:pPr>
              <w:spacing w:after="0"/>
            </w:pPr>
            <w:r>
              <w:rPr>
                <w:color w:val="263746"/>
                <w:sz w:val="15"/>
              </w:rPr>
              <w:t>100 / 100</w:t>
            </w:r>
          </w:p>
        </w:tc>
      </w:tr>
      <w:tr>
        <w:trPr>
          <w:cantSplit/>
        </w:trPr>
        <w:tc>
          <w:tcPr>
            <w:tcW w:type="dxa" w:w="4139"/>
            <w:shd w:fill="F3F7FA"/>
            <w:tcMar>
              <w:top w:w="55" w:type="dxa"/>
              <w:start w:w="65" w:type="dxa"/>
              <w:bottom w:w="55" w:type="dxa"/>
              <w:end w:w="65" w:type="dxa"/>
            </w:tcMar>
            <w:tcBorders>
              <w:bottom w:val="single" w:sz="3" w:color="C9D5DF"/>
            </w:tcBorders>
            <w:vAlign w:val="center"/>
          </w:tcPr>
          <w:p>
            <w:pPr>
              <w:spacing w:after="0"/>
            </w:pPr>
            <w:r>
              <w:rPr>
                <w:color w:val="263746"/>
                <w:sz w:val="15"/>
              </w:rPr>
              <w:t>Normalized / terminal SLM outcomes</w:t>
            </w:r>
          </w:p>
        </w:tc>
        <w:tc>
          <w:tcPr>
            <w:tcW w:type="dxa" w:w="5726"/>
            <w:shd w:fill="F3F7FA"/>
            <w:tcMar>
              <w:top w:w="55" w:type="dxa"/>
              <w:start w:w="65" w:type="dxa"/>
              <w:bottom w:w="55" w:type="dxa"/>
              <w:end w:w="65" w:type="dxa"/>
            </w:tcMar>
            <w:tcBorders>
              <w:bottom w:val="single" w:sz="3" w:color="C9D5DF"/>
            </w:tcBorders>
            <w:vAlign w:val="center"/>
          </w:tcPr>
          <w:p>
            <w:pPr>
              <w:spacing w:after="0"/>
            </w:pPr>
            <w:r>
              <w:rPr>
                <w:color w:val="263746"/>
                <w:sz w:val="15"/>
              </w:rPr>
              <w:t>374 / 374</w:t>
            </w:r>
          </w:p>
        </w:tc>
      </w:tr>
      <w:tr>
        <w:trPr>
          <w:cantSplit/>
        </w:trPr>
        <w:tc>
          <w:tcPr>
            <w:tcW w:type="dxa" w:w="4139"/>
            <w:tcMar>
              <w:top w:w="55" w:type="dxa"/>
              <w:start w:w="65" w:type="dxa"/>
              <w:bottom w:w="55" w:type="dxa"/>
              <w:end w:w="65" w:type="dxa"/>
            </w:tcMar>
            <w:tcBorders>
              <w:bottom w:val="single" w:sz="3" w:color="C9D5DF"/>
            </w:tcBorders>
            <w:vAlign w:val="center"/>
          </w:tcPr>
          <w:p>
            <w:pPr>
              <w:spacing w:after="0"/>
            </w:pPr>
            <w:r>
              <w:rPr>
                <w:color w:val="263746"/>
                <w:sz w:val="15"/>
              </w:rPr>
              <w:t>SLM invocation</w:t>
            </w:r>
          </w:p>
        </w:tc>
        <w:tc>
          <w:tcPr>
            <w:tcW w:type="dxa" w:w="5726"/>
            <w:tcMar>
              <w:top w:w="55" w:type="dxa"/>
              <w:start w:w="65" w:type="dxa"/>
              <w:bottom w:w="55" w:type="dxa"/>
              <w:end w:w="65" w:type="dxa"/>
            </w:tcMar>
            <w:tcBorders>
              <w:bottom w:val="single" w:sz="3" w:color="C9D5DF"/>
            </w:tcBorders>
            <w:vAlign w:val="center"/>
          </w:tcPr>
          <w:p>
            <w:pPr>
              <w:spacing w:after="0"/>
            </w:pPr>
            <w:r>
              <w:rPr>
                <w:color w:val="263746"/>
                <w:sz w:val="15"/>
              </w:rPr>
              <w:t>374 (100%)</w:t>
            </w:r>
          </w:p>
        </w:tc>
      </w:tr>
      <w:tr>
        <w:trPr>
          <w:cantSplit/>
        </w:trPr>
        <w:tc>
          <w:tcPr>
            <w:tcW w:type="dxa" w:w="4139"/>
            <w:shd w:fill="F3F7FA"/>
            <w:tcMar>
              <w:top w:w="55" w:type="dxa"/>
              <w:start w:w="65" w:type="dxa"/>
              <w:bottom w:w="55" w:type="dxa"/>
              <w:end w:w="65" w:type="dxa"/>
            </w:tcMar>
            <w:tcBorders>
              <w:bottom w:val="single" w:sz="3" w:color="C9D5DF"/>
            </w:tcBorders>
            <w:vAlign w:val="center"/>
          </w:tcPr>
          <w:p>
            <w:pPr>
              <w:spacing w:after="0"/>
            </w:pPr>
            <w:r>
              <w:rPr>
                <w:color w:val="263746"/>
                <w:sz w:val="15"/>
              </w:rPr>
              <w:t>Validated / safely unmapped</w:t>
            </w:r>
          </w:p>
        </w:tc>
        <w:tc>
          <w:tcPr>
            <w:tcW w:type="dxa" w:w="5726"/>
            <w:shd w:fill="F3F7FA"/>
            <w:tcMar>
              <w:top w:w="55" w:type="dxa"/>
              <w:start w:w="65" w:type="dxa"/>
              <w:bottom w:w="55" w:type="dxa"/>
              <w:end w:w="65" w:type="dxa"/>
            </w:tcMar>
            <w:tcBorders>
              <w:bottom w:val="single" w:sz="3" w:color="C9D5DF"/>
            </w:tcBorders>
            <w:vAlign w:val="center"/>
          </w:tcPr>
          <w:p>
            <w:pPr>
              <w:spacing w:after="0"/>
            </w:pPr>
            <w:r>
              <w:rPr>
                <w:color w:val="263746"/>
                <w:sz w:val="15"/>
              </w:rPr>
              <w:t>339 / 35</w:t>
            </w:r>
          </w:p>
        </w:tc>
      </w:tr>
      <w:tr>
        <w:trPr>
          <w:cantSplit/>
        </w:trPr>
        <w:tc>
          <w:tcPr>
            <w:tcW w:type="dxa" w:w="4139"/>
            <w:tcMar>
              <w:top w:w="55" w:type="dxa"/>
              <w:start w:w="65" w:type="dxa"/>
              <w:bottom w:w="55" w:type="dxa"/>
              <w:end w:w="65" w:type="dxa"/>
            </w:tcMar>
            <w:tcBorders>
              <w:bottom w:val="single" w:sz="3" w:color="C9D5DF"/>
            </w:tcBorders>
            <w:vAlign w:val="center"/>
          </w:tcPr>
          <w:p>
            <w:pPr>
              <w:spacing w:after="0"/>
            </w:pPr>
            <w:r>
              <w:rPr>
                <w:color w:val="263746"/>
                <w:sz w:val="15"/>
              </w:rPr>
              <w:t>Maximum / final lag</w:t>
            </w:r>
          </w:p>
        </w:tc>
        <w:tc>
          <w:tcPr>
            <w:tcW w:type="dxa" w:w="5726"/>
            <w:tcMar>
              <w:top w:w="55" w:type="dxa"/>
              <w:start w:w="65" w:type="dxa"/>
              <w:bottom w:w="55" w:type="dxa"/>
              <w:end w:w="65" w:type="dxa"/>
            </w:tcMar>
            <w:tcBorders>
              <w:bottom w:val="single" w:sz="3" w:color="C9D5DF"/>
            </w:tcBorders>
            <w:vAlign w:val="center"/>
          </w:tcPr>
          <w:p>
            <w:pPr>
              <w:spacing w:after="0"/>
            </w:pPr>
            <w:r>
              <w:rPr>
                <w:color w:val="263746"/>
                <w:sz w:val="15"/>
              </w:rPr>
              <w:t>159 / 0</w:t>
            </w:r>
          </w:p>
        </w:tc>
      </w:tr>
      <w:tr>
        <w:trPr>
          <w:cantSplit/>
        </w:trPr>
        <w:tc>
          <w:tcPr>
            <w:tcW w:type="dxa" w:w="4139"/>
            <w:shd w:fill="F3F7FA"/>
            <w:tcMar>
              <w:top w:w="55" w:type="dxa"/>
              <w:start w:w="65" w:type="dxa"/>
              <w:bottom w:w="55" w:type="dxa"/>
              <w:end w:w="65" w:type="dxa"/>
            </w:tcMar>
            <w:tcBorders>
              <w:bottom w:val="single" w:sz="3" w:color="C9D5DF"/>
            </w:tcBorders>
            <w:vAlign w:val="center"/>
          </w:tcPr>
          <w:p>
            <w:pPr>
              <w:spacing w:after="0"/>
            </w:pPr>
            <w:r>
              <w:rPr>
                <w:color w:val="263746"/>
                <w:sz w:val="15"/>
              </w:rPr>
              <w:t>Drops / final duplicates / errors</w:t>
            </w:r>
          </w:p>
        </w:tc>
        <w:tc>
          <w:tcPr>
            <w:tcW w:type="dxa" w:w="5726"/>
            <w:shd w:fill="F3F7FA"/>
            <w:tcMar>
              <w:top w:w="55" w:type="dxa"/>
              <w:start w:w="65" w:type="dxa"/>
              <w:bottom w:w="55" w:type="dxa"/>
              <w:end w:w="65" w:type="dxa"/>
            </w:tcMar>
            <w:tcBorders>
              <w:bottom w:val="single" w:sz="3" w:color="C9D5DF"/>
            </w:tcBorders>
            <w:vAlign w:val="center"/>
          </w:tcPr>
          <w:p>
            <w:pPr>
              <w:spacing w:after="0"/>
            </w:pPr>
            <w:r>
              <w:rPr>
                <w:color w:val="263746"/>
                <w:sz w:val="15"/>
              </w:rPr>
              <w:t>0 / 0 / 0</w:t>
            </w:r>
          </w:p>
        </w:tc>
      </w:tr>
      <w:tr>
        <w:trPr>
          <w:cantSplit/>
        </w:trPr>
        <w:tc>
          <w:tcPr>
            <w:tcW w:type="dxa" w:w="4139"/>
            <w:tcMar>
              <w:top w:w="55" w:type="dxa"/>
              <w:start w:w="65" w:type="dxa"/>
              <w:bottom w:w="55" w:type="dxa"/>
              <w:end w:w="65" w:type="dxa"/>
            </w:tcMar>
            <w:tcBorders>
              <w:bottom w:val="single" w:sz="3" w:color="C9D5DF"/>
            </w:tcBorders>
            <w:vAlign w:val="center"/>
          </w:tcPr>
          <w:p>
            <w:pPr>
              <w:spacing w:after="0"/>
            </w:pPr>
            <w:r>
              <w:rPr>
                <w:color w:val="263746"/>
                <w:sz w:val="15"/>
              </w:rPr>
              <w:t>Classification</w:t>
            </w:r>
          </w:p>
        </w:tc>
        <w:tc>
          <w:tcPr>
            <w:tcW w:type="dxa" w:w="5726"/>
            <w:tcMar>
              <w:top w:w="55" w:type="dxa"/>
              <w:start w:w="65" w:type="dxa"/>
              <w:bottom w:w="55" w:type="dxa"/>
              <w:end w:w="65" w:type="dxa"/>
            </w:tcMar>
            <w:tcBorders>
              <w:bottom w:val="single" w:sz="3" w:color="C9D5DF"/>
            </w:tcBorders>
            <w:vAlign w:val="center"/>
          </w:tcPr>
          <w:p>
            <w:pPr>
              <w:spacing w:after="0"/>
            </w:pPr>
            <w:r>
              <w:rPr>
                <w:color w:val="263746"/>
                <w:sz w:val="15"/>
              </w:rPr>
              <w:t>functional_end_to_end_pass</w:t>
            </w:r>
          </w:p>
        </w:tc>
      </w:tr>
    </w:tbl>
    <w:p>
      <w:pPr>
        <w:spacing w:after="0"/>
      </w:pPr>
    </w:p>
    <w:p>
      <w:pPr>
        <w:pStyle w:val="CaptionCustom"/>
      </w:pPr>
      <w:r>
        <w:t>Table 7. 5 August sustained-arrival 1,000-asset run</w:t>
      </w:r>
    </w:p>
    <w:tbl>
      <w:tblPr>
        <w:tblW w:type="auto" w:w="0"/>
        <w:jc w:val="center"/>
        <w:tblLayout w:type="fixed"/>
        <w:tblLook w:firstColumn="1" w:firstRow="1" w:lastColumn="0" w:lastRow="0" w:noHBand="0" w:noVBand="1" w:val="04A0"/>
      </w:tblPr>
      <w:tblGrid>
        <w:gridCol w:w="4139"/>
        <w:gridCol w:w="5726"/>
      </w:tblGrid>
      <w:tr>
        <w:trPr>
          <w:tblHeader w:val="true"/>
          <w:cantSplit/>
        </w:trPr>
        <w:tc>
          <w:tcPr>
            <w:tcW w:type="dxa" w:w="4989"/>
            <w:shd w:fill="0B1F33"/>
            <w:tcMar>
              <w:top w:w="75" w:type="dxa"/>
              <w:start w:w="75" w:type="dxa"/>
              <w:bottom w:w="75" w:type="dxa"/>
              <w:end w:w="75" w:type="dxa"/>
            </w:tcMar>
            <w:tcBorders>
              <w:bottom w:val="single" w:sz="6" w:color="23866C"/>
            </w:tcBorders>
          </w:tcPr>
          <w:p>
            <w:pPr>
              <w:spacing w:after="0"/>
            </w:pPr>
            <w:r>
              <w:rPr>
                <w:b/>
                <w:color w:val="FFFFFF"/>
                <w:sz w:val="15"/>
              </w:rPr>
              <w:t>Metric</w:t>
            </w:r>
          </w:p>
        </w:tc>
        <w:tc>
          <w:tcPr>
            <w:tcW w:type="dxa" w:w="4989"/>
            <w:shd w:fill="0B1F33"/>
            <w:tcMar>
              <w:top w:w="75" w:type="dxa"/>
              <w:start w:w="75" w:type="dxa"/>
              <w:bottom w:w="75" w:type="dxa"/>
              <w:end w:w="75" w:type="dxa"/>
            </w:tcMar>
            <w:tcBorders>
              <w:bottom w:val="single" w:sz="6" w:color="23866C"/>
            </w:tcBorders>
          </w:tcPr>
          <w:p>
            <w:pPr>
              <w:spacing w:after="0"/>
            </w:pPr>
            <w:r>
              <w:rPr>
                <w:b/>
                <w:color w:val="FFFFFF"/>
                <w:sz w:val="15"/>
              </w:rPr>
              <w:t>Result</w:t>
            </w:r>
          </w:p>
        </w:tc>
      </w:tr>
      <w:tr>
        <w:trPr>
          <w:cantSplit/>
        </w:trPr>
        <w:tc>
          <w:tcPr>
            <w:tcW w:type="dxa" w:w="4139"/>
            <w:tcMar>
              <w:top w:w="55" w:type="dxa"/>
              <w:start w:w="65" w:type="dxa"/>
              <w:bottom w:w="55" w:type="dxa"/>
              <w:end w:w="65" w:type="dxa"/>
            </w:tcMar>
            <w:tcBorders>
              <w:bottom w:val="single" w:sz="3" w:color="C9D5DF"/>
            </w:tcBorders>
            <w:vAlign w:val="center"/>
          </w:tcPr>
          <w:p>
            <w:pPr>
              <w:spacing w:after="0"/>
            </w:pPr>
            <w:r>
              <w:rPr>
                <w:color w:val="263746"/>
                <w:sz w:val="15"/>
              </w:rPr>
              <w:t>Run ID</w:t>
            </w:r>
          </w:p>
        </w:tc>
        <w:tc>
          <w:tcPr>
            <w:tcW w:type="dxa" w:w="5726"/>
            <w:tcMar>
              <w:top w:w="55" w:type="dxa"/>
              <w:start w:w="65" w:type="dxa"/>
              <w:bottom w:w="55" w:type="dxa"/>
              <w:end w:w="65" w:type="dxa"/>
            </w:tcMar>
            <w:tcBorders>
              <w:bottom w:val="single" w:sz="3" w:color="C9D5DF"/>
            </w:tcBorders>
            <w:vAlign w:val="center"/>
          </w:tcPr>
          <w:p>
            <w:pPr>
              <w:spacing w:after="0"/>
            </w:pPr>
            <w:r>
              <w:rPr>
                <w:color w:val="263746"/>
                <w:sz w:val="15"/>
              </w:rPr>
              <w:t>scale-1000-2026-08-05T07-15-27-418Z</w:t>
            </w:r>
          </w:p>
        </w:tc>
      </w:tr>
      <w:tr>
        <w:trPr>
          <w:cantSplit/>
        </w:trPr>
        <w:tc>
          <w:tcPr>
            <w:tcW w:type="dxa" w:w="4139"/>
            <w:shd w:fill="F3F7FA"/>
            <w:tcMar>
              <w:top w:w="55" w:type="dxa"/>
              <w:start w:w="65" w:type="dxa"/>
              <w:bottom w:w="55" w:type="dxa"/>
              <w:end w:w="65" w:type="dxa"/>
            </w:tcMar>
            <w:tcBorders>
              <w:bottom w:val="single" w:sz="3" w:color="C9D5DF"/>
            </w:tcBorders>
            <w:vAlign w:val="center"/>
          </w:tcPr>
          <w:p>
            <w:pPr>
              <w:spacing w:after="0"/>
            </w:pPr>
            <w:r>
              <w:rPr>
                <w:color w:val="263746"/>
                <w:sz w:val="15"/>
              </w:rPr>
              <w:t>Households / assets</w:t>
            </w:r>
          </w:p>
        </w:tc>
        <w:tc>
          <w:tcPr>
            <w:tcW w:type="dxa" w:w="5726"/>
            <w:shd w:fill="F3F7FA"/>
            <w:tcMar>
              <w:top w:w="55" w:type="dxa"/>
              <w:start w:w="65" w:type="dxa"/>
              <w:bottom w:w="55" w:type="dxa"/>
              <w:end w:w="65" w:type="dxa"/>
            </w:tcMar>
            <w:tcBorders>
              <w:bottom w:val="single" w:sz="3" w:color="C9D5DF"/>
            </w:tcBorders>
            <w:vAlign w:val="center"/>
          </w:tcPr>
          <w:p>
            <w:pPr>
              <w:spacing w:after="0"/>
            </w:pPr>
            <w:r>
              <w:rPr>
                <w:color w:val="263746"/>
                <w:sz w:val="15"/>
              </w:rPr>
              <w:t>100 / 1,000</w:t>
            </w:r>
          </w:p>
        </w:tc>
      </w:tr>
      <w:tr>
        <w:trPr>
          <w:cantSplit/>
        </w:trPr>
        <w:tc>
          <w:tcPr>
            <w:tcW w:type="dxa" w:w="4139"/>
            <w:tcMar>
              <w:top w:w="55" w:type="dxa"/>
              <w:start w:w="65" w:type="dxa"/>
              <w:bottom w:w="55" w:type="dxa"/>
              <w:end w:w="65" w:type="dxa"/>
            </w:tcMar>
            <w:tcBorders>
              <w:bottom w:val="single" w:sz="3" w:color="C9D5DF"/>
            </w:tcBorders>
            <w:vAlign w:val="center"/>
          </w:tcPr>
          <w:p>
            <w:pPr>
              <w:spacing w:after="0"/>
            </w:pPr>
            <w:r>
              <w:rPr>
                <w:color w:val="263746"/>
                <w:sz w:val="15"/>
              </w:rPr>
              <w:t>Telemetry / normalized / terminal</w:t>
            </w:r>
          </w:p>
        </w:tc>
        <w:tc>
          <w:tcPr>
            <w:tcW w:type="dxa" w:w="5726"/>
            <w:tcMar>
              <w:top w:w="55" w:type="dxa"/>
              <w:start w:w="65" w:type="dxa"/>
              <w:bottom w:w="55" w:type="dxa"/>
              <w:end w:w="65" w:type="dxa"/>
            </w:tcMar>
            <w:tcBorders>
              <w:bottom w:val="single" w:sz="3" w:color="C9D5DF"/>
            </w:tcBorders>
            <w:vAlign w:val="center"/>
          </w:tcPr>
          <w:p>
            <w:pPr>
              <w:spacing w:after="0"/>
            </w:pPr>
            <w:r>
              <w:rPr>
                <w:color w:val="263746"/>
                <w:sz w:val="15"/>
              </w:rPr>
              <w:t>1,000 / 1,000 / 1,000</w:t>
            </w:r>
          </w:p>
        </w:tc>
      </w:tr>
      <w:tr>
        <w:trPr>
          <w:cantSplit/>
        </w:trPr>
        <w:tc>
          <w:tcPr>
            <w:tcW w:type="dxa" w:w="4139"/>
            <w:shd w:fill="F3F7FA"/>
            <w:tcMar>
              <w:top w:w="55" w:type="dxa"/>
              <w:start w:w="65" w:type="dxa"/>
              <w:bottom w:w="55" w:type="dxa"/>
              <w:end w:w="65" w:type="dxa"/>
            </w:tcMar>
            <w:tcBorders>
              <w:bottom w:val="single" w:sz="3" w:color="C9D5DF"/>
            </w:tcBorders>
            <w:vAlign w:val="center"/>
          </w:tcPr>
          <w:p>
            <w:pPr>
              <w:spacing w:after="0"/>
            </w:pPr>
            <w:r>
              <w:rPr>
                <w:color w:val="263746"/>
                <w:sz w:val="15"/>
              </w:rPr>
              <w:t>SLM invocation</w:t>
            </w:r>
          </w:p>
        </w:tc>
        <w:tc>
          <w:tcPr>
            <w:tcW w:type="dxa" w:w="5726"/>
            <w:shd w:fill="F3F7FA"/>
            <w:tcMar>
              <w:top w:w="55" w:type="dxa"/>
              <w:start w:w="65" w:type="dxa"/>
              <w:bottom w:w="55" w:type="dxa"/>
              <w:end w:w="65" w:type="dxa"/>
            </w:tcMar>
            <w:tcBorders>
              <w:bottom w:val="single" w:sz="3" w:color="C9D5DF"/>
            </w:tcBorders>
            <w:vAlign w:val="center"/>
          </w:tcPr>
          <w:p>
            <w:pPr>
              <w:spacing w:after="0"/>
            </w:pPr>
            <w:r>
              <w:rPr>
                <w:color w:val="263746"/>
                <w:sz w:val="15"/>
              </w:rPr>
              <w:t>100%</w:t>
            </w:r>
          </w:p>
        </w:tc>
      </w:tr>
      <w:tr>
        <w:trPr>
          <w:cantSplit/>
        </w:trPr>
        <w:tc>
          <w:tcPr>
            <w:tcW w:type="dxa" w:w="4139"/>
            <w:tcMar>
              <w:top w:w="55" w:type="dxa"/>
              <w:start w:w="65" w:type="dxa"/>
              <w:bottom w:w="55" w:type="dxa"/>
              <w:end w:w="65" w:type="dxa"/>
            </w:tcMar>
            <w:tcBorders>
              <w:bottom w:val="single" w:sz="3" w:color="C9D5DF"/>
            </w:tcBorders>
            <w:vAlign w:val="center"/>
          </w:tcPr>
          <w:p>
            <w:pPr>
              <w:spacing w:after="0"/>
            </w:pPr>
            <w:r>
              <w:rPr>
                <w:color w:val="263746"/>
                <w:sz w:val="15"/>
              </w:rPr>
              <w:t>Validated / safely unmapped</w:t>
            </w:r>
          </w:p>
        </w:tc>
        <w:tc>
          <w:tcPr>
            <w:tcW w:type="dxa" w:w="5726"/>
            <w:tcMar>
              <w:top w:w="55" w:type="dxa"/>
              <w:start w:w="65" w:type="dxa"/>
              <w:bottom w:w="55" w:type="dxa"/>
              <w:end w:w="65" w:type="dxa"/>
            </w:tcMar>
            <w:tcBorders>
              <w:bottom w:val="single" w:sz="3" w:color="C9D5DF"/>
            </w:tcBorders>
            <w:vAlign w:val="center"/>
          </w:tcPr>
          <w:p>
            <w:pPr>
              <w:spacing w:after="0"/>
            </w:pPr>
            <w:r>
              <w:rPr>
                <w:color w:val="263746"/>
                <w:sz w:val="15"/>
              </w:rPr>
              <w:t>961 / 39</w:t>
            </w:r>
          </w:p>
        </w:tc>
      </w:tr>
      <w:tr>
        <w:trPr>
          <w:cantSplit/>
        </w:trPr>
        <w:tc>
          <w:tcPr>
            <w:tcW w:type="dxa" w:w="4139"/>
            <w:shd w:fill="F3F7FA"/>
            <w:tcMar>
              <w:top w:w="55" w:type="dxa"/>
              <w:start w:w="65" w:type="dxa"/>
              <w:bottom w:w="55" w:type="dxa"/>
              <w:end w:w="65" w:type="dxa"/>
            </w:tcMar>
            <w:tcBorders>
              <w:bottom w:val="single" w:sz="3" w:color="C9D5DF"/>
            </w:tcBorders>
            <w:vAlign w:val="center"/>
          </w:tcPr>
          <w:p>
            <w:pPr>
              <w:spacing w:after="0"/>
            </w:pPr>
            <w:r>
              <w:rPr>
                <w:color w:val="263746"/>
                <w:sz w:val="15"/>
              </w:rPr>
              <w:t>Arrival / completion</w:t>
            </w:r>
          </w:p>
        </w:tc>
        <w:tc>
          <w:tcPr>
            <w:tcW w:type="dxa" w:w="5726"/>
            <w:shd w:fill="F3F7FA"/>
            <w:tcMar>
              <w:top w:w="55" w:type="dxa"/>
              <w:start w:w="65" w:type="dxa"/>
              <w:bottom w:w="55" w:type="dxa"/>
              <w:end w:w="65" w:type="dxa"/>
            </w:tcMar>
            <w:tcBorders>
              <w:bottom w:val="single" w:sz="3" w:color="C9D5DF"/>
            </w:tcBorders>
            <w:vAlign w:val="center"/>
          </w:tcPr>
          <w:p>
            <w:pPr>
              <w:spacing w:after="0"/>
            </w:pPr>
            <w:r>
              <w:rPr>
                <w:color w:val="263746"/>
                <w:sz w:val="15"/>
              </w:rPr>
              <w:t>1.102 / 0.445 readings/s</w:t>
            </w:r>
          </w:p>
        </w:tc>
      </w:tr>
      <w:tr>
        <w:trPr>
          <w:cantSplit/>
        </w:trPr>
        <w:tc>
          <w:tcPr>
            <w:tcW w:type="dxa" w:w="4139"/>
            <w:tcMar>
              <w:top w:w="55" w:type="dxa"/>
              <w:start w:w="65" w:type="dxa"/>
              <w:bottom w:w="55" w:type="dxa"/>
              <w:end w:w="65" w:type="dxa"/>
            </w:tcMar>
            <w:tcBorders>
              <w:bottom w:val="single" w:sz="3" w:color="C9D5DF"/>
            </w:tcBorders>
            <w:vAlign w:val="center"/>
          </w:tcPr>
          <w:p>
            <w:pPr>
              <w:spacing w:after="0"/>
            </w:pPr>
            <w:r>
              <w:rPr>
                <w:color w:val="263746"/>
                <w:sz w:val="15"/>
              </w:rPr>
              <w:t>Maximum / final lag</w:t>
            </w:r>
          </w:p>
        </w:tc>
        <w:tc>
          <w:tcPr>
            <w:tcW w:type="dxa" w:w="5726"/>
            <w:tcMar>
              <w:top w:w="55" w:type="dxa"/>
              <w:start w:w="65" w:type="dxa"/>
              <w:bottom w:w="55" w:type="dxa"/>
              <w:end w:w="65" w:type="dxa"/>
            </w:tcMar>
            <w:tcBorders>
              <w:bottom w:val="single" w:sz="3" w:color="C9D5DF"/>
            </w:tcBorders>
            <w:vAlign w:val="center"/>
          </w:tcPr>
          <w:p>
            <w:pPr>
              <w:spacing w:after="0"/>
            </w:pPr>
            <w:r>
              <w:rPr>
                <w:color w:val="263746"/>
                <w:sz w:val="15"/>
              </w:rPr>
              <w:t>643 / 0</w:t>
            </w:r>
          </w:p>
        </w:tc>
      </w:tr>
      <w:tr>
        <w:trPr>
          <w:cantSplit/>
        </w:trPr>
        <w:tc>
          <w:tcPr>
            <w:tcW w:type="dxa" w:w="4139"/>
            <w:shd w:fill="F3F7FA"/>
            <w:tcMar>
              <w:top w:w="55" w:type="dxa"/>
              <w:start w:w="65" w:type="dxa"/>
              <w:bottom w:w="55" w:type="dxa"/>
              <w:end w:w="65" w:type="dxa"/>
            </w:tcMar>
            <w:tcBorders>
              <w:bottom w:val="single" w:sz="3" w:color="C9D5DF"/>
            </w:tcBorders>
            <w:vAlign w:val="center"/>
          </w:tcPr>
          <w:p>
            <w:pPr>
              <w:spacing w:after="0"/>
            </w:pPr>
            <w:r>
              <w:rPr>
                <w:color w:val="263746"/>
                <w:sz w:val="15"/>
              </w:rPr>
              <w:t>Backlog clearance after generation</w:t>
            </w:r>
          </w:p>
        </w:tc>
        <w:tc>
          <w:tcPr>
            <w:tcW w:type="dxa" w:w="5726"/>
            <w:shd w:fill="F3F7FA"/>
            <w:tcMar>
              <w:top w:w="55" w:type="dxa"/>
              <w:start w:w="65" w:type="dxa"/>
              <w:bottom w:w="55" w:type="dxa"/>
              <w:end w:w="65" w:type="dxa"/>
            </w:tcMar>
            <w:tcBorders>
              <w:bottom w:val="single" w:sz="3" w:color="C9D5DF"/>
            </w:tcBorders>
            <w:vAlign w:val="center"/>
          </w:tcPr>
          <w:p>
            <w:pPr>
              <w:spacing w:after="0"/>
            </w:pPr>
            <w:r>
              <w:rPr>
                <w:color w:val="263746"/>
                <w:sz w:val="15"/>
              </w:rPr>
              <w:t>1,345.714 s</w:t>
            </w:r>
          </w:p>
        </w:tc>
      </w:tr>
      <w:tr>
        <w:trPr>
          <w:cantSplit/>
        </w:trPr>
        <w:tc>
          <w:tcPr>
            <w:tcW w:type="dxa" w:w="4139"/>
            <w:tcMar>
              <w:top w:w="55" w:type="dxa"/>
              <w:start w:w="65" w:type="dxa"/>
              <w:bottom w:w="55" w:type="dxa"/>
              <w:end w:w="65" w:type="dxa"/>
            </w:tcMar>
            <w:tcBorders>
              <w:bottom w:val="single" w:sz="3" w:color="C9D5DF"/>
            </w:tcBorders>
            <w:vAlign w:val="center"/>
          </w:tcPr>
          <w:p>
            <w:pPr>
              <w:spacing w:after="0"/>
            </w:pPr>
            <w:r>
              <w:rPr>
                <w:color w:val="263746"/>
                <w:sz w:val="15"/>
              </w:rPr>
              <w:t>Drops / duplicates / errors</w:t>
            </w:r>
          </w:p>
        </w:tc>
        <w:tc>
          <w:tcPr>
            <w:tcW w:type="dxa" w:w="5726"/>
            <w:tcMar>
              <w:top w:w="55" w:type="dxa"/>
              <w:start w:w="65" w:type="dxa"/>
              <w:bottom w:w="55" w:type="dxa"/>
              <w:end w:w="65" w:type="dxa"/>
            </w:tcMar>
            <w:tcBorders>
              <w:bottom w:val="single" w:sz="3" w:color="C9D5DF"/>
            </w:tcBorders>
            <w:vAlign w:val="center"/>
          </w:tcPr>
          <w:p>
            <w:pPr>
              <w:spacing w:after="0"/>
            </w:pPr>
            <w:r>
              <w:rPr>
                <w:color w:val="263746"/>
                <w:sz w:val="15"/>
              </w:rPr>
              <w:t>0 / 0 / 0</w:t>
            </w:r>
          </w:p>
        </w:tc>
      </w:tr>
      <w:tr>
        <w:trPr>
          <w:cantSplit/>
        </w:trPr>
        <w:tc>
          <w:tcPr>
            <w:tcW w:type="dxa" w:w="4139"/>
            <w:shd w:fill="F3F7FA"/>
            <w:tcMar>
              <w:top w:w="55" w:type="dxa"/>
              <w:start w:w="65" w:type="dxa"/>
              <w:bottom w:w="55" w:type="dxa"/>
              <w:end w:w="65" w:type="dxa"/>
            </w:tcMar>
            <w:tcBorders>
              <w:bottom w:val="single" w:sz="3" w:color="C9D5DF"/>
            </w:tcBorders>
            <w:vAlign w:val="center"/>
          </w:tcPr>
          <w:p>
            <w:pPr>
              <w:spacing w:after="0"/>
            </w:pPr>
            <w:r>
              <w:rPr>
                <w:color w:val="263746"/>
                <w:sz w:val="15"/>
              </w:rPr>
              <w:t>Classification</w:t>
            </w:r>
          </w:p>
        </w:tc>
        <w:tc>
          <w:tcPr>
            <w:tcW w:type="dxa" w:w="5726"/>
            <w:shd w:fill="F3F7FA"/>
            <w:tcMar>
              <w:top w:w="55" w:type="dxa"/>
              <w:start w:w="65" w:type="dxa"/>
              <w:bottom w:w="55" w:type="dxa"/>
              <w:end w:w="65" w:type="dxa"/>
            </w:tcMar>
            <w:tcBorders>
              <w:bottom w:val="single" w:sz="3" w:color="C9D5DF"/>
            </w:tcBorders>
            <w:vAlign w:val="center"/>
          </w:tcPr>
          <w:p>
            <w:pPr>
              <w:spacing w:after="0"/>
            </w:pPr>
            <w:r>
              <w:rPr>
                <w:color w:val="263746"/>
                <w:sz w:val="15"/>
              </w:rPr>
              <w:t>functional_only</w:t>
            </w:r>
          </w:p>
        </w:tc>
      </w:tr>
    </w:tbl>
    <w:p>
      <w:pPr>
        <w:spacing w:after="0"/>
      </w:pPr>
    </w:p>
    <w:p>
      <w:pPr>
        <w:pStyle w:val="CaptionCustom"/>
      </w:pPr>
      <w:r>
        <w:t>Table 8. August automated validation inventory</w:t>
      </w:r>
    </w:p>
    <w:tbl>
      <w:tblPr>
        <w:tblW w:type="auto" w:w="0"/>
        <w:jc w:val="center"/>
        <w:tblLayout w:type="fixed"/>
        <w:tblLook w:firstColumn="1" w:firstRow="1" w:lastColumn="0" w:lastRow="0" w:noHBand="0" w:noVBand="1" w:val="04A0"/>
      </w:tblPr>
      <w:tblGrid>
        <w:gridCol w:w="7087"/>
        <w:gridCol w:w="2778"/>
      </w:tblGrid>
      <w:tr>
        <w:trPr>
          <w:tblHeader w:val="true"/>
          <w:cantSplit/>
        </w:trPr>
        <w:tc>
          <w:tcPr>
            <w:tcW w:type="dxa" w:w="4989"/>
            <w:shd w:fill="0B1F33"/>
            <w:tcMar>
              <w:top w:w="75" w:type="dxa"/>
              <w:start w:w="75" w:type="dxa"/>
              <w:bottom w:w="75" w:type="dxa"/>
              <w:end w:w="75" w:type="dxa"/>
            </w:tcMar>
            <w:tcBorders>
              <w:bottom w:val="single" w:sz="6" w:color="23866C"/>
            </w:tcBorders>
          </w:tcPr>
          <w:p>
            <w:pPr>
              <w:spacing w:after="0"/>
            </w:pPr>
            <w:r>
              <w:rPr>
                <w:b/>
                <w:color w:val="FFFFFF"/>
                <w:sz w:val="15"/>
              </w:rPr>
              <w:t>Suite or check</w:t>
            </w:r>
          </w:p>
        </w:tc>
        <w:tc>
          <w:tcPr>
            <w:tcW w:type="dxa" w:w="4989"/>
            <w:shd w:fill="0B1F33"/>
            <w:tcMar>
              <w:top w:w="75" w:type="dxa"/>
              <w:start w:w="75" w:type="dxa"/>
              <w:bottom w:w="75" w:type="dxa"/>
              <w:end w:w="75" w:type="dxa"/>
            </w:tcMar>
            <w:tcBorders>
              <w:bottom w:val="single" w:sz="6" w:color="23866C"/>
            </w:tcBorders>
          </w:tcPr>
          <w:p>
            <w:pPr>
              <w:spacing w:after="0"/>
            </w:pPr>
            <w:r>
              <w:rPr>
                <w:b/>
                <w:color w:val="FFFFFF"/>
                <w:sz w:val="15"/>
              </w:rPr>
              <w:t>Passed</w:t>
            </w:r>
          </w:p>
        </w:tc>
      </w:tr>
      <w:tr>
        <w:trPr>
          <w:cantSplit/>
        </w:trPr>
        <w:tc>
          <w:tcPr>
            <w:tcW w:type="dxa" w:w="7087"/>
            <w:tcMar>
              <w:top w:w="55" w:type="dxa"/>
              <w:start w:w="65" w:type="dxa"/>
              <w:bottom w:w="55" w:type="dxa"/>
              <w:end w:w="65" w:type="dxa"/>
            </w:tcMar>
            <w:tcBorders>
              <w:bottom w:val="single" w:sz="3" w:color="C9D5DF"/>
            </w:tcBorders>
            <w:vAlign w:val="center"/>
          </w:tcPr>
          <w:p>
            <w:pPr>
              <w:spacing w:after="0"/>
            </w:pPr>
            <w:r>
              <w:rPr>
                <w:color w:val="263746"/>
                <w:sz w:val="15"/>
              </w:rPr>
              <w:t>Semantic connector</w:t>
            </w:r>
          </w:p>
        </w:tc>
        <w:tc>
          <w:tcPr>
            <w:tcW w:type="dxa" w:w="2778"/>
            <w:tcMar>
              <w:top w:w="55" w:type="dxa"/>
              <w:start w:w="65" w:type="dxa"/>
              <w:bottom w:w="55" w:type="dxa"/>
              <w:end w:w="65" w:type="dxa"/>
            </w:tcMar>
            <w:tcBorders>
              <w:bottom w:val="single" w:sz="3" w:color="C9D5DF"/>
            </w:tcBorders>
            <w:vAlign w:val="center"/>
          </w:tcPr>
          <w:p>
            <w:pPr>
              <w:spacing w:after="0"/>
            </w:pPr>
            <w:r>
              <w:rPr>
                <w:color w:val="263746"/>
                <w:sz w:val="15"/>
              </w:rPr>
              <w:t>44</w:t>
            </w:r>
          </w:p>
        </w:tc>
      </w:tr>
      <w:tr>
        <w:trPr>
          <w:cantSplit/>
        </w:trPr>
        <w:tc>
          <w:tcPr>
            <w:tcW w:type="dxa" w:w="7087"/>
            <w:shd w:fill="F3F7FA"/>
            <w:tcMar>
              <w:top w:w="55" w:type="dxa"/>
              <w:start w:w="65" w:type="dxa"/>
              <w:bottom w:w="55" w:type="dxa"/>
              <w:end w:w="65" w:type="dxa"/>
            </w:tcMar>
            <w:tcBorders>
              <w:bottom w:val="single" w:sz="3" w:color="C9D5DF"/>
            </w:tcBorders>
            <w:vAlign w:val="center"/>
          </w:tcPr>
          <w:p>
            <w:pPr>
              <w:spacing w:after="0"/>
            </w:pPr>
            <w:r>
              <w:rPr>
                <w:color w:val="263746"/>
                <w:sz w:val="15"/>
              </w:rPr>
              <w:t>Security gateway</w:t>
            </w:r>
          </w:p>
        </w:tc>
        <w:tc>
          <w:tcPr>
            <w:tcW w:type="dxa" w:w="2778"/>
            <w:shd w:fill="F3F7FA"/>
            <w:tcMar>
              <w:top w:w="55" w:type="dxa"/>
              <w:start w:w="65" w:type="dxa"/>
              <w:bottom w:w="55" w:type="dxa"/>
              <w:end w:w="65" w:type="dxa"/>
            </w:tcMar>
            <w:tcBorders>
              <w:bottom w:val="single" w:sz="3" w:color="C9D5DF"/>
            </w:tcBorders>
            <w:vAlign w:val="center"/>
          </w:tcPr>
          <w:p>
            <w:pPr>
              <w:spacing w:after="0"/>
            </w:pPr>
            <w:r>
              <w:rPr>
                <w:color w:val="263746"/>
                <w:sz w:val="15"/>
              </w:rPr>
              <w:t>42</w:t>
            </w:r>
          </w:p>
        </w:tc>
      </w:tr>
      <w:tr>
        <w:trPr>
          <w:cantSplit/>
        </w:trPr>
        <w:tc>
          <w:tcPr>
            <w:tcW w:type="dxa" w:w="7087"/>
            <w:tcMar>
              <w:top w:w="55" w:type="dxa"/>
              <w:start w:w="65" w:type="dxa"/>
              <w:bottom w:w="55" w:type="dxa"/>
              <w:end w:w="65" w:type="dxa"/>
            </w:tcMar>
            <w:tcBorders>
              <w:bottom w:val="single" w:sz="3" w:color="C9D5DF"/>
            </w:tcBorders>
            <w:vAlign w:val="center"/>
          </w:tcPr>
          <w:p>
            <w:pPr>
              <w:spacing w:after="0"/>
            </w:pPr>
            <w:r>
              <w:rPr>
                <w:color w:val="263746"/>
                <w:sz w:val="15"/>
              </w:rPr>
              <w:t>Engine</w:t>
            </w:r>
          </w:p>
        </w:tc>
        <w:tc>
          <w:tcPr>
            <w:tcW w:type="dxa" w:w="2778"/>
            <w:tcMar>
              <w:top w:w="55" w:type="dxa"/>
              <w:start w:w="65" w:type="dxa"/>
              <w:bottom w:w="55" w:type="dxa"/>
              <w:end w:w="65" w:type="dxa"/>
            </w:tcMar>
            <w:tcBorders>
              <w:bottom w:val="single" w:sz="3" w:color="C9D5DF"/>
            </w:tcBorders>
            <w:vAlign w:val="center"/>
          </w:tcPr>
          <w:p>
            <w:pPr>
              <w:spacing w:after="0"/>
            </w:pPr>
            <w:r>
              <w:rPr>
                <w:color w:val="263746"/>
                <w:sz w:val="15"/>
              </w:rPr>
              <w:t>9</w:t>
            </w:r>
          </w:p>
        </w:tc>
      </w:tr>
      <w:tr>
        <w:trPr>
          <w:cantSplit/>
        </w:trPr>
        <w:tc>
          <w:tcPr>
            <w:tcW w:type="dxa" w:w="7087"/>
            <w:shd w:fill="F3F7FA"/>
            <w:tcMar>
              <w:top w:w="55" w:type="dxa"/>
              <w:start w:w="65" w:type="dxa"/>
              <w:bottom w:w="55" w:type="dxa"/>
              <w:end w:w="65" w:type="dxa"/>
            </w:tcMar>
            <w:tcBorders>
              <w:bottom w:val="single" w:sz="3" w:color="C9D5DF"/>
            </w:tcBorders>
            <w:vAlign w:val="center"/>
          </w:tcPr>
          <w:p>
            <w:pPr>
              <w:spacing w:after="0"/>
            </w:pPr>
            <w:r>
              <w:rPr>
                <w:color w:val="263746"/>
                <w:sz w:val="15"/>
              </w:rPr>
              <w:t>Household fleet</w:t>
            </w:r>
          </w:p>
        </w:tc>
        <w:tc>
          <w:tcPr>
            <w:tcW w:type="dxa" w:w="2778"/>
            <w:shd w:fill="F3F7FA"/>
            <w:tcMar>
              <w:top w:w="55" w:type="dxa"/>
              <w:start w:w="65" w:type="dxa"/>
              <w:bottom w:w="55" w:type="dxa"/>
              <w:end w:w="65" w:type="dxa"/>
            </w:tcMar>
            <w:tcBorders>
              <w:bottom w:val="single" w:sz="3" w:color="C9D5DF"/>
            </w:tcBorders>
            <w:vAlign w:val="center"/>
          </w:tcPr>
          <w:p>
            <w:pPr>
              <w:spacing w:after="0"/>
            </w:pPr>
            <w:r>
              <w:rPr>
                <w:color w:val="263746"/>
                <w:sz w:val="15"/>
              </w:rPr>
              <w:t>10</w:t>
            </w:r>
          </w:p>
        </w:tc>
      </w:tr>
      <w:tr>
        <w:trPr>
          <w:cantSplit/>
        </w:trPr>
        <w:tc>
          <w:tcPr>
            <w:tcW w:type="dxa" w:w="7087"/>
            <w:tcMar>
              <w:top w:w="55" w:type="dxa"/>
              <w:start w:w="65" w:type="dxa"/>
              <w:bottom w:w="55" w:type="dxa"/>
              <w:end w:w="65" w:type="dxa"/>
            </w:tcMar>
            <w:tcBorders>
              <w:bottom w:val="single" w:sz="3" w:color="C9D5DF"/>
            </w:tcBorders>
            <w:vAlign w:val="center"/>
          </w:tcPr>
          <w:p>
            <w:pPr>
              <w:spacing w:after="0"/>
            </w:pPr>
            <w:r>
              <w:rPr>
                <w:color w:val="263746"/>
                <w:sz w:val="15"/>
              </w:rPr>
              <w:t>Ingestion API</w:t>
            </w:r>
          </w:p>
        </w:tc>
        <w:tc>
          <w:tcPr>
            <w:tcW w:type="dxa" w:w="2778"/>
            <w:tcMar>
              <w:top w:w="55" w:type="dxa"/>
              <w:start w:w="65" w:type="dxa"/>
              <w:bottom w:w="55" w:type="dxa"/>
              <w:end w:w="65" w:type="dxa"/>
            </w:tcMar>
            <w:tcBorders>
              <w:bottom w:val="single" w:sz="3" w:color="C9D5DF"/>
            </w:tcBorders>
            <w:vAlign w:val="center"/>
          </w:tcPr>
          <w:p>
            <w:pPr>
              <w:spacing w:after="0"/>
            </w:pPr>
            <w:r>
              <w:rPr>
                <w:color w:val="263746"/>
                <w:sz w:val="15"/>
              </w:rPr>
              <w:t>8</w:t>
            </w:r>
          </w:p>
        </w:tc>
      </w:tr>
      <w:tr>
        <w:trPr>
          <w:cantSplit/>
        </w:trPr>
        <w:tc>
          <w:tcPr>
            <w:tcW w:type="dxa" w:w="7087"/>
            <w:shd w:fill="F3F7FA"/>
            <w:tcMar>
              <w:top w:w="55" w:type="dxa"/>
              <w:start w:w="65" w:type="dxa"/>
              <w:bottom w:w="55" w:type="dxa"/>
              <w:end w:w="65" w:type="dxa"/>
            </w:tcMar>
            <w:tcBorders>
              <w:bottom w:val="single" w:sz="3" w:color="C9D5DF"/>
            </w:tcBorders>
            <w:vAlign w:val="center"/>
          </w:tcPr>
          <w:p>
            <w:pPr>
              <w:spacing w:after="0"/>
            </w:pPr>
            <w:r>
              <w:rPr>
                <w:color w:val="263746"/>
                <w:sz w:val="15"/>
              </w:rPr>
              <w:t>Aggregator</w:t>
            </w:r>
          </w:p>
        </w:tc>
        <w:tc>
          <w:tcPr>
            <w:tcW w:type="dxa" w:w="2778"/>
            <w:shd w:fill="F3F7FA"/>
            <w:tcMar>
              <w:top w:w="55" w:type="dxa"/>
              <w:start w:w="65" w:type="dxa"/>
              <w:bottom w:w="55" w:type="dxa"/>
              <w:end w:w="65" w:type="dxa"/>
            </w:tcMar>
            <w:tcBorders>
              <w:bottom w:val="single" w:sz="3" w:color="C9D5DF"/>
            </w:tcBorders>
            <w:vAlign w:val="center"/>
          </w:tcPr>
          <w:p>
            <w:pPr>
              <w:spacing w:after="0"/>
            </w:pPr>
            <w:r>
              <w:rPr>
                <w:color w:val="263746"/>
                <w:sz w:val="15"/>
              </w:rPr>
              <w:t>12</w:t>
            </w:r>
          </w:p>
        </w:tc>
      </w:tr>
      <w:tr>
        <w:trPr>
          <w:cantSplit/>
        </w:trPr>
        <w:tc>
          <w:tcPr>
            <w:tcW w:type="dxa" w:w="7087"/>
            <w:tcMar>
              <w:top w:w="55" w:type="dxa"/>
              <w:start w:w="65" w:type="dxa"/>
              <w:bottom w:w="55" w:type="dxa"/>
              <w:end w:w="65" w:type="dxa"/>
            </w:tcMar>
            <w:tcBorders>
              <w:bottom w:val="single" w:sz="3" w:color="C9D5DF"/>
            </w:tcBorders>
            <w:vAlign w:val="center"/>
          </w:tcPr>
          <w:p>
            <w:pPr>
              <w:spacing w:after="0"/>
            </w:pPr>
            <w:r>
              <w:rPr>
                <w:color w:val="263746"/>
                <w:sz w:val="15"/>
              </w:rPr>
              <w:t>Approval workflow</w:t>
            </w:r>
          </w:p>
        </w:tc>
        <w:tc>
          <w:tcPr>
            <w:tcW w:type="dxa" w:w="2778"/>
            <w:tcMar>
              <w:top w:w="55" w:type="dxa"/>
              <w:start w:w="65" w:type="dxa"/>
              <w:bottom w:w="55" w:type="dxa"/>
              <w:end w:w="65" w:type="dxa"/>
            </w:tcMar>
            <w:tcBorders>
              <w:bottom w:val="single" w:sz="3" w:color="C9D5DF"/>
            </w:tcBorders>
            <w:vAlign w:val="center"/>
          </w:tcPr>
          <w:p>
            <w:pPr>
              <w:spacing w:after="0"/>
            </w:pPr>
            <w:r>
              <w:rPr>
                <w:color w:val="263746"/>
                <w:sz w:val="15"/>
              </w:rPr>
              <w:t>20</w:t>
            </w:r>
          </w:p>
        </w:tc>
      </w:tr>
      <w:tr>
        <w:trPr>
          <w:cantSplit/>
        </w:trPr>
        <w:tc>
          <w:tcPr>
            <w:tcW w:type="dxa" w:w="7087"/>
            <w:shd w:fill="F3F7FA"/>
            <w:tcMar>
              <w:top w:w="55" w:type="dxa"/>
              <w:start w:w="65" w:type="dxa"/>
              <w:bottom w:w="55" w:type="dxa"/>
              <w:end w:w="65" w:type="dxa"/>
            </w:tcMar>
            <w:tcBorders>
              <w:bottom w:val="single" w:sz="3" w:color="C9D5DF"/>
            </w:tcBorders>
            <w:vAlign w:val="center"/>
          </w:tcPr>
          <w:p>
            <w:pPr>
              <w:spacing w:after="0"/>
            </w:pPr>
            <w:r>
              <w:rPr>
                <w:color w:val="263746"/>
                <w:sz w:val="15"/>
              </w:rPr>
              <w:t>IEEE translator</w:t>
            </w:r>
          </w:p>
        </w:tc>
        <w:tc>
          <w:tcPr>
            <w:tcW w:type="dxa" w:w="2778"/>
            <w:shd w:fill="F3F7FA"/>
            <w:tcMar>
              <w:top w:w="55" w:type="dxa"/>
              <w:start w:w="65" w:type="dxa"/>
              <w:bottom w:w="55" w:type="dxa"/>
              <w:end w:w="65" w:type="dxa"/>
            </w:tcMar>
            <w:tcBorders>
              <w:bottom w:val="single" w:sz="3" w:color="C9D5DF"/>
            </w:tcBorders>
            <w:vAlign w:val="center"/>
          </w:tcPr>
          <w:p>
            <w:pPr>
              <w:spacing w:after="0"/>
            </w:pPr>
            <w:r>
              <w:rPr>
                <w:color w:val="263746"/>
                <w:sz w:val="15"/>
              </w:rPr>
              <w:t>9</w:t>
            </w:r>
          </w:p>
        </w:tc>
      </w:tr>
      <w:tr>
        <w:trPr>
          <w:cantSplit/>
        </w:trPr>
        <w:tc>
          <w:tcPr>
            <w:tcW w:type="dxa" w:w="7087"/>
            <w:tcMar>
              <w:top w:w="55" w:type="dxa"/>
              <w:start w:w="65" w:type="dxa"/>
              <w:bottom w:w="55" w:type="dxa"/>
              <w:end w:w="65" w:type="dxa"/>
            </w:tcMar>
            <w:tcBorders>
              <w:bottom w:val="single" w:sz="3" w:color="C9D5DF"/>
            </w:tcBorders>
            <w:vAlign w:val="center"/>
          </w:tcPr>
          <w:p>
            <w:pPr>
              <w:spacing w:after="0"/>
            </w:pPr>
            <w:r>
              <w:rPr>
                <w:color w:val="263746"/>
                <w:sz w:val="15"/>
              </w:rPr>
              <w:t>Mock dispatch</w:t>
            </w:r>
          </w:p>
        </w:tc>
        <w:tc>
          <w:tcPr>
            <w:tcW w:type="dxa" w:w="2778"/>
            <w:tcMar>
              <w:top w:w="55" w:type="dxa"/>
              <w:start w:w="65" w:type="dxa"/>
              <w:bottom w:w="55" w:type="dxa"/>
              <w:end w:w="65" w:type="dxa"/>
            </w:tcMar>
            <w:tcBorders>
              <w:bottom w:val="single" w:sz="3" w:color="C9D5DF"/>
            </w:tcBorders>
            <w:vAlign w:val="center"/>
          </w:tcPr>
          <w:p>
            <w:pPr>
              <w:spacing w:after="0"/>
            </w:pPr>
            <w:r>
              <w:rPr>
                <w:color w:val="263746"/>
                <w:sz w:val="15"/>
              </w:rPr>
              <w:t>11</w:t>
            </w:r>
          </w:p>
        </w:tc>
      </w:tr>
      <w:tr>
        <w:trPr>
          <w:cantSplit/>
        </w:trPr>
        <w:tc>
          <w:tcPr>
            <w:tcW w:type="dxa" w:w="7087"/>
            <w:shd w:fill="F3F7FA"/>
            <w:tcMar>
              <w:top w:w="55" w:type="dxa"/>
              <w:start w:w="65" w:type="dxa"/>
              <w:bottom w:w="55" w:type="dxa"/>
              <w:end w:w="65" w:type="dxa"/>
            </w:tcMar>
            <w:tcBorders>
              <w:bottom w:val="single" w:sz="3" w:color="C9D5DF"/>
            </w:tcBorders>
            <w:vAlign w:val="center"/>
          </w:tcPr>
          <w:p>
            <w:pPr>
              <w:spacing w:after="0"/>
            </w:pPr>
            <w:r>
              <w:rPr>
                <w:color w:val="263746"/>
                <w:sz w:val="15"/>
              </w:rPr>
              <w:t>Device command translator</w:t>
            </w:r>
          </w:p>
        </w:tc>
        <w:tc>
          <w:tcPr>
            <w:tcW w:type="dxa" w:w="2778"/>
            <w:shd w:fill="F3F7FA"/>
            <w:tcMar>
              <w:top w:w="55" w:type="dxa"/>
              <w:start w:w="65" w:type="dxa"/>
              <w:bottom w:w="55" w:type="dxa"/>
              <w:end w:w="65" w:type="dxa"/>
            </w:tcMar>
            <w:tcBorders>
              <w:bottom w:val="single" w:sz="3" w:color="C9D5DF"/>
            </w:tcBorders>
            <w:vAlign w:val="center"/>
          </w:tcPr>
          <w:p>
            <w:pPr>
              <w:spacing w:after="0"/>
            </w:pPr>
            <w:r>
              <w:rPr>
                <w:color w:val="263746"/>
                <w:sz w:val="15"/>
              </w:rPr>
              <w:t>12</w:t>
            </w:r>
          </w:p>
        </w:tc>
      </w:tr>
      <w:tr>
        <w:trPr>
          <w:cantSplit/>
        </w:trPr>
        <w:tc>
          <w:tcPr>
            <w:tcW w:type="dxa" w:w="7087"/>
            <w:tcMar>
              <w:top w:w="55" w:type="dxa"/>
              <w:start w:w="65" w:type="dxa"/>
              <w:bottom w:w="55" w:type="dxa"/>
              <w:end w:w="65" w:type="dxa"/>
            </w:tcMar>
            <w:tcBorders>
              <w:bottom w:val="single" w:sz="3" w:color="C9D5DF"/>
            </w:tcBorders>
            <w:vAlign w:val="center"/>
          </w:tcPr>
          <w:p>
            <w:pPr>
              <w:spacing w:after="0"/>
            </w:pPr>
            <w:r>
              <w:rPr>
                <w:color w:val="263746"/>
                <w:sz w:val="15"/>
              </w:rPr>
              <w:t>Dataspace export</w:t>
            </w:r>
          </w:p>
        </w:tc>
        <w:tc>
          <w:tcPr>
            <w:tcW w:type="dxa" w:w="2778"/>
            <w:tcMar>
              <w:top w:w="55" w:type="dxa"/>
              <w:start w:w="65" w:type="dxa"/>
              <w:bottom w:w="55" w:type="dxa"/>
              <w:end w:w="65" w:type="dxa"/>
            </w:tcMar>
            <w:tcBorders>
              <w:bottom w:val="single" w:sz="3" w:color="C9D5DF"/>
            </w:tcBorders>
            <w:vAlign w:val="center"/>
          </w:tcPr>
          <w:p>
            <w:pPr>
              <w:spacing w:after="0"/>
            </w:pPr>
            <w:r>
              <w:rPr>
                <w:color w:val="263746"/>
                <w:sz w:val="15"/>
              </w:rPr>
              <w:t>14</w:t>
            </w:r>
          </w:p>
        </w:tc>
      </w:tr>
      <w:tr>
        <w:trPr>
          <w:cantSplit/>
        </w:trPr>
        <w:tc>
          <w:tcPr>
            <w:tcW w:type="dxa" w:w="7087"/>
            <w:shd w:fill="F3F7FA"/>
            <w:tcMar>
              <w:top w:w="55" w:type="dxa"/>
              <w:start w:w="65" w:type="dxa"/>
              <w:bottom w:w="55" w:type="dxa"/>
              <w:end w:w="65" w:type="dxa"/>
            </w:tcMar>
            <w:tcBorders>
              <w:bottom w:val="single" w:sz="3" w:color="C9D5DF"/>
            </w:tcBorders>
            <w:vAlign w:val="center"/>
          </w:tcPr>
          <w:p>
            <w:pPr>
              <w:spacing w:after="0"/>
            </w:pPr>
            <w:r>
              <w:rPr>
                <w:color w:val="263746"/>
                <w:sz w:val="15"/>
              </w:rPr>
              <w:t>Shelly/Enode/heat-pump simulators</w:t>
            </w:r>
          </w:p>
        </w:tc>
        <w:tc>
          <w:tcPr>
            <w:tcW w:type="dxa" w:w="2778"/>
            <w:shd w:fill="F3F7FA"/>
            <w:tcMar>
              <w:top w:w="55" w:type="dxa"/>
              <w:start w:w="65" w:type="dxa"/>
              <w:bottom w:w="55" w:type="dxa"/>
              <w:end w:w="65" w:type="dxa"/>
            </w:tcMar>
            <w:tcBorders>
              <w:bottom w:val="single" w:sz="3" w:color="C9D5DF"/>
            </w:tcBorders>
            <w:vAlign w:val="center"/>
          </w:tcPr>
          <w:p>
            <w:pPr>
              <w:spacing w:after="0"/>
            </w:pPr>
            <w:r>
              <w:rPr>
                <w:color w:val="263746"/>
                <w:sz w:val="15"/>
              </w:rPr>
              <w:t>15</w:t>
            </w:r>
          </w:p>
        </w:tc>
      </w:tr>
      <w:tr>
        <w:trPr>
          <w:cantSplit/>
        </w:trPr>
        <w:tc>
          <w:tcPr>
            <w:tcW w:type="dxa" w:w="7087"/>
            <w:tcMar>
              <w:top w:w="55" w:type="dxa"/>
              <w:start w:w="65" w:type="dxa"/>
              <w:bottom w:w="55" w:type="dxa"/>
              <w:end w:w="65" w:type="dxa"/>
            </w:tcMar>
            <w:tcBorders>
              <w:bottom w:val="single" w:sz="3" w:color="C9D5DF"/>
            </w:tcBorders>
            <w:vAlign w:val="center"/>
          </w:tcPr>
          <w:p>
            <w:pPr>
              <w:spacing w:after="0"/>
            </w:pPr>
            <w:r>
              <w:rPr>
                <w:color w:val="263746"/>
                <w:sz w:val="15"/>
              </w:rPr>
              <w:t>Scale generator/evidence</w:t>
            </w:r>
          </w:p>
        </w:tc>
        <w:tc>
          <w:tcPr>
            <w:tcW w:type="dxa" w:w="2778"/>
            <w:tcMar>
              <w:top w:w="55" w:type="dxa"/>
              <w:start w:w="65" w:type="dxa"/>
              <w:bottom w:w="55" w:type="dxa"/>
              <w:end w:w="65" w:type="dxa"/>
            </w:tcMar>
            <w:tcBorders>
              <w:bottom w:val="single" w:sz="3" w:color="C9D5DF"/>
            </w:tcBorders>
            <w:vAlign w:val="center"/>
          </w:tcPr>
          <w:p>
            <w:pPr>
              <w:spacing w:after="0"/>
            </w:pPr>
            <w:r>
              <w:rPr>
                <w:color w:val="263746"/>
                <w:sz w:val="15"/>
              </w:rPr>
              <w:t>11</w:t>
            </w:r>
          </w:p>
        </w:tc>
      </w:tr>
      <w:tr>
        <w:trPr>
          <w:cantSplit/>
        </w:trPr>
        <w:tc>
          <w:tcPr>
            <w:tcW w:type="dxa" w:w="7087"/>
            <w:shd w:fill="F3F7FA"/>
            <w:tcMar>
              <w:top w:w="55" w:type="dxa"/>
              <w:start w:w="65" w:type="dxa"/>
              <w:bottom w:w="55" w:type="dxa"/>
              <w:end w:w="65" w:type="dxa"/>
            </w:tcMar>
            <w:tcBorders>
              <w:bottom w:val="single" w:sz="3" w:color="C9D5DF"/>
            </w:tcBorders>
            <w:vAlign w:val="center"/>
          </w:tcPr>
          <w:p>
            <w:pPr>
              <w:spacing w:after="0"/>
            </w:pPr>
            <w:r>
              <w:rPr>
                <w:color w:val="263746"/>
                <w:sz w:val="15"/>
              </w:rPr>
              <w:t>Customer product boundaries</w:t>
            </w:r>
          </w:p>
        </w:tc>
        <w:tc>
          <w:tcPr>
            <w:tcW w:type="dxa" w:w="2778"/>
            <w:shd w:fill="F3F7FA"/>
            <w:tcMar>
              <w:top w:w="55" w:type="dxa"/>
              <w:start w:w="65" w:type="dxa"/>
              <w:bottom w:w="55" w:type="dxa"/>
              <w:end w:w="65" w:type="dxa"/>
            </w:tcMar>
            <w:tcBorders>
              <w:bottom w:val="single" w:sz="3" w:color="C9D5DF"/>
            </w:tcBorders>
            <w:vAlign w:val="center"/>
          </w:tcPr>
          <w:p>
            <w:pPr>
              <w:spacing w:after="0"/>
            </w:pPr>
            <w:r>
              <w:rPr>
                <w:color w:val="263746"/>
                <w:sz w:val="15"/>
              </w:rPr>
              <w:t>8</w:t>
            </w:r>
          </w:p>
        </w:tc>
      </w:tr>
      <w:tr>
        <w:trPr>
          <w:cantSplit/>
        </w:trPr>
        <w:tc>
          <w:tcPr>
            <w:tcW w:type="dxa" w:w="7087"/>
            <w:tcMar>
              <w:top w:w="55" w:type="dxa"/>
              <w:start w:w="65" w:type="dxa"/>
              <w:bottom w:w="55" w:type="dxa"/>
              <w:end w:w="65" w:type="dxa"/>
            </w:tcMar>
            <w:tcBorders>
              <w:bottom w:val="single" w:sz="3" w:color="C9D5DF"/>
            </w:tcBorders>
            <w:vAlign w:val="center"/>
          </w:tcPr>
          <w:p>
            <w:pPr>
              <w:spacing w:after="0"/>
            </w:pPr>
            <w:r>
              <w:rPr>
                <w:color w:val="263746"/>
                <w:sz w:val="15"/>
              </w:rPr>
              <w:t>Total automated tests</w:t>
            </w:r>
          </w:p>
        </w:tc>
        <w:tc>
          <w:tcPr>
            <w:tcW w:type="dxa" w:w="2778"/>
            <w:tcMar>
              <w:top w:w="55" w:type="dxa"/>
              <w:start w:w="65" w:type="dxa"/>
              <w:bottom w:w="55" w:type="dxa"/>
              <w:end w:w="65" w:type="dxa"/>
            </w:tcMar>
            <w:tcBorders>
              <w:bottom w:val="single" w:sz="3" w:color="C9D5DF"/>
            </w:tcBorders>
            <w:vAlign w:val="center"/>
          </w:tcPr>
          <w:p>
            <w:pPr>
              <w:spacing w:after="0"/>
            </w:pPr>
            <w:r>
              <w:rPr>
                <w:color w:val="263746"/>
                <w:sz w:val="15"/>
              </w:rPr>
              <w:t>225</w:t>
            </w:r>
          </w:p>
        </w:tc>
      </w:tr>
      <w:tr>
        <w:trPr>
          <w:cantSplit/>
        </w:trPr>
        <w:tc>
          <w:tcPr>
            <w:tcW w:type="dxa" w:w="7087"/>
            <w:shd w:fill="F3F7FA"/>
            <w:tcMar>
              <w:top w:w="55" w:type="dxa"/>
              <w:start w:w="65" w:type="dxa"/>
              <w:bottom w:w="55" w:type="dxa"/>
              <w:end w:w="65" w:type="dxa"/>
            </w:tcMar>
            <w:tcBorders>
              <w:bottom w:val="single" w:sz="3" w:color="C9D5DF"/>
            </w:tcBorders>
            <w:vAlign w:val="center"/>
          </w:tcPr>
          <w:p>
            <w:pPr>
              <w:spacing w:after="0"/>
            </w:pPr>
            <w:r>
              <w:rPr>
                <w:color w:val="263746"/>
                <w:sz w:val="15"/>
              </w:rPr>
              <w:t>JavaScript syntax files</w:t>
            </w:r>
          </w:p>
        </w:tc>
        <w:tc>
          <w:tcPr>
            <w:tcW w:type="dxa" w:w="2778"/>
            <w:shd w:fill="F3F7FA"/>
            <w:tcMar>
              <w:top w:w="55" w:type="dxa"/>
              <w:start w:w="65" w:type="dxa"/>
              <w:bottom w:w="55" w:type="dxa"/>
              <w:end w:w="65" w:type="dxa"/>
            </w:tcMar>
            <w:tcBorders>
              <w:bottom w:val="single" w:sz="3" w:color="C9D5DF"/>
            </w:tcBorders>
            <w:vAlign w:val="center"/>
          </w:tcPr>
          <w:p>
            <w:pPr>
              <w:spacing w:after="0"/>
            </w:pPr>
            <w:r>
              <w:rPr>
                <w:color w:val="263746"/>
                <w:sz w:val="15"/>
              </w:rPr>
              <w:t>132</w:t>
            </w:r>
          </w:p>
        </w:tc>
      </w:tr>
      <w:tr>
        <w:trPr>
          <w:cantSplit/>
        </w:trPr>
        <w:tc>
          <w:tcPr>
            <w:tcW w:type="dxa" w:w="7087"/>
            <w:tcMar>
              <w:top w:w="55" w:type="dxa"/>
              <w:start w:w="65" w:type="dxa"/>
              <w:bottom w:w="55" w:type="dxa"/>
              <w:end w:w="65" w:type="dxa"/>
            </w:tcMar>
            <w:tcBorders>
              <w:bottom w:val="single" w:sz="3" w:color="C9D5DF"/>
            </w:tcBorders>
            <w:vAlign w:val="center"/>
          </w:tcPr>
          <w:p>
            <w:pPr>
              <w:spacing w:after="0"/>
            </w:pPr>
            <w:r>
              <w:rPr>
                <w:color w:val="263746"/>
                <w:sz w:val="15"/>
              </w:rPr>
              <w:t>PowerShell syntax scripts</w:t>
            </w:r>
          </w:p>
        </w:tc>
        <w:tc>
          <w:tcPr>
            <w:tcW w:type="dxa" w:w="2778"/>
            <w:tcMar>
              <w:top w:w="55" w:type="dxa"/>
              <w:start w:w="65" w:type="dxa"/>
              <w:bottom w:w="55" w:type="dxa"/>
              <w:end w:w="65" w:type="dxa"/>
            </w:tcMar>
            <w:tcBorders>
              <w:bottom w:val="single" w:sz="3" w:color="C9D5DF"/>
            </w:tcBorders>
            <w:vAlign w:val="center"/>
          </w:tcPr>
          <w:p>
            <w:pPr>
              <w:spacing w:after="0"/>
            </w:pPr>
            <w:r>
              <w:rPr>
                <w:color w:val="263746"/>
                <w:sz w:val="15"/>
              </w:rPr>
              <w:t>21</w:t>
            </w:r>
          </w:p>
        </w:tc>
      </w:tr>
    </w:tbl>
    <w:p>
      <w:pPr>
        <w:spacing w:after="0"/>
      </w:pPr>
    </w:p>
    <w:p>
      <w:r>
        <w:br w:type="page"/>
      </w:r>
    </w:p>
    <w:p>
      <w:pPr>
        <w:pStyle w:val="Heading1"/>
        <w:pBdr>
          <w:bottom w:val="single" w:sz="8" w:space="3" w:color="23866C"/>
        </w:pBdr>
      </w:pPr>
      <w:r>
        <w:t>12. Customer/Product Development</w:t>
      </w:r>
    </w:p>
    <w:p>
      <w:r>
        <w:t>The August dashboard work did not recreate the July customer product. It extended the existing read model for the exact scale cohort. Community summaries return exact household/profile/category totals and semantic readiness. Device lists accept household, category, profile, search, online, flexibility, and state filters with server-side pagination. Technical Kafka, model, and database diagnostics remain restricted to the internal operations dashboard.</w:t>
      </w:r>
    </w:p>
    <w:p>
      <w:r>
        <w:t>Figure 4 shows the 5 August community-scale evidence. The profile and category values match the registered simulator population.</w:t>
      </w:r>
    </w:p>
    <w:tbl>
      <w:tblPr>
        <w:tblW w:type="auto" w:w="0"/>
        <w:jc w:val="center"/>
        <w:tblLayout w:type="fixed"/>
        <w:tblLook w:firstColumn="1" w:firstRow="1" w:lastColumn="0" w:lastRow="0" w:noHBand="0" w:noVBand="1" w:val="04A0"/>
      </w:tblPr>
      <w:tblGrid>
        <w:gridCol w:w="9808"/>
      </w:tblGrid>
      <w:tr>
        <w:trPr>
          <w:cantSplit/>
          <w:tblHeader/>
        </w:trPr>
        <w:tc>
          <w:tcPr>
            <w:tcW w:type="dxa" w:w="9978"/>
            <w:tcMar>
              <w:top w:w="20" w:type="dxa"/>
              <w:start w:w="20" w:type="dxa"/>
              <w:bottom w:w="20" w:type="dxa"/>
              <w:end w:w="20" w:type="dxa"/>
            </w:tcMar>
          </w:tcPr>
          <w:p>
            <w:pPr>
              <w:spacing w:after="40"/>
              <w:jc w:val="center"/>
            </w:pPr>
            <w:r>
              <w:drawing>
                <wp:inline xmlns:a="http://schemas.openxmlformats.org/drawingml/2006/main" xmlns:pic="http://schemas.openxmlformats.org/drawingml/2006/picture">
                  <wp:extent cx="6156000" cy="4488750"/>
                  <wp:docPr id="5" name="Picture 5" descr="August customer community view showing the exact 100-household/1,000-asset cohort and privacy controls." title="August customer community view showing the exact 100-household/1,000-asset cohort and privacy controls."/>
                  <wp:cNvGraphicFramePr>
                    <a:graphicFrameLocks noChangeAspect="1"/>
                  </wp:cNvGraphicFramePr>
                  <a:graphic>
                    <a:graphicData uri="http://schemas.openxmlformats.org/drawingml/2006/picture">
                      <pic:pic>
                        <pic:nvPicPr>
                          <pic:cNvPr id="0" name="august_community_dashboard_crop.png"/>
                          <pic:cNvPicPr/>
                        </pic:nvPicPr>
                        <pic:blipFill>
                          <a:blip r:embed="rId17"/>
                          <a:stretch>
                            <a:fillRect/>
                          </a:stretch>
                        </pic:blipFill>
                        <pic:spPr>
                          <a:xfrm>
                            <a:off x="0" y="0"/>
                            <a:ext cx="6156000" cy="4488750"/>
                          </a:xfrm>
                          <a:prstGeom prst="rect"/>
                        </pic:spPr>
                      </pic:pic>
                    </a:graphicData>
                  </a:graphic>
                </wp:inline>
              </w:drawing>
            </w:r>
          </w:p>
          <w:p>
            <w:pPr>
              <w:pStyle w:val="CaptionCustom"/>
              <w:jc w:val="center"/>
            </w:pPr>
            <w:r>
              <w:t>Figure 4. August customer community view showing the exact 100-household/1,000-asset cohort and privacy controls.</w:t>
            </w:r>
          </w:p>
        </w:tc>
      </w:tr>
    </w:tbl>
    <w:p>
      <w:pPr>
        <w:spacing w:after="0"/>
      </w:pPr>
    </w:p>
    <w:p>
      <w:r>
        <w:t>Ten community aggregate queries averaged 1.25 seconds with p95 1.33 seconds. Ten filtered 25-row device queries averaged 0.96 seconds with p95 1.04 seconds while local inference was active. Browser pages remained bounded and responsive at desktop, tablet, and 390-pixel mobile widths. The dashboard reports simulation status and does not imply that current assets are physical customer devices.</w:t>
      </w:r>
    </w:p>
    <w:p>
      <w:pPr>
        <w:pStyle w:val="Heading1"/>
        <w:pBdr>
          <w:bottom w:val="single" w:sz="8" w:space="3" w:color="23866C"/>
        </w:pBdr>
      </w:pPr>
      <w:r>
        <w:t>13. Business Value for EnerShare</w:t>
      </w:r>
    </w:p>
    <w:p>
      <w:pPr>
        <w:pStyle w:val="ListBullet"/>
        <w:spacing w:after="40"/>
        <w:ind w:left="283" w:hanging="170"/>
      </w:pPr>
      <w:r>
        <w:t>Reproducible portfolio evidence: exact profile and category totals support repeatable demonstrations and technical reviews.</w:t>
      </w:r>
    </w:p>
    <w:p>
      <w:pPr>
        <w:pStyle w:val="ListBullet"/>
        <w:spacing w:after="40"/>
        <w:ind w:left="283" w:hanging="170"/>
      </w:pPr>
      <w:r>
        <w:t>Auditable semantic intelligence: every reading has an SLM call and terminal validator outcome, including safe failure rather than silent substitution.</w:t>
      </w:r>
    </w:p>
    <w:p>
      <w:pPr>
        <w:pStyle w:val="ListBullet"/>
        <w:spacing w:after="40"/>
        <w:ind w:left="283" w:hanging="170"/>
      </w:pPr>
      <w:r>
        <w:t>Operational resilience: Kafka preserves backpressure until the slower inference layer finishes, with zero silent drops in authoritative runs.</w:t>
      </w:r>
    </w:p>
    <w:p>
      <w:pPr>
        <w:pStyle w:val="ListBullet"/>
        <w:spacing w:after="40"/>
        <w:ind w:left="283" w:hanging="170"/>
      </w:pPr>
      <w:r>
        <w:t>Customer-scale usability: aggregate and paginated reads show portfolio status without exposing all assets or technical diagnostics to the browser.</w:t>
      </w:r>
    </w:p>
    <w:p>
      <w:pPr>
        <w:pStyle w:val="ListBullet"/>
        <w:spacing w:after="40"/>
        <w:ind w:left="283" w:hanging="170"/>
      </w:pPr>
      <w:r>
        <w:t>Safe flexibility demonstration: representative profile cohorts moved through proposal, approval, mock dispatch, and simulated provider translation.</w:t>
      </w:r>
    </w:p>
    <w:p>
      <w:pPr>
        <w:pStyle w:val="ListBullet"/>
        <w:spacing w:after="40"/>
        <w:ind w:left="283" w:hanging="170"/>
      </w:pPr>
      <w:r>
        <w:t>Measured investment case: the 2.478x local inference gap and storage/query measurements provide concrete inputs for the next GPU/vLLM benchmark.</w:t>
      </w:r>
    </w:p>
    <w:p>
      <w:pPr>
        <w:pStyle w:val="ListBullet"/>
        <w:spacing w:after="40"/>
        <w:ind w:left="283" w:hanging="170"/>
      </w:pPr>
      <w:r>
        <w:t>Transparent governance: the report distinguishes functional completion, sustained capacity, simulation, certification status, and future infrastructure.</w:t>
      </w:r>
    </w:p>
    <w:p>
      <w:pPr>
        <w:pStyle w:val="Heading1"/>
        <w:pBdr>
          <w:bottom w:val="single" w:sz="8" w:space="3" w:color="23866C"/>
        </w:pBdr>
      </w:pPr>
      <w:r>
        <w:t>14. Technical Challenges and Resolutions</w:t>
      </w:r>
    </w:p>
    <w:p>
      <w:pPr>
        <w:pStyle w:val="CaptionCustom"/>
      </w:pPr>
      <w:r>
        <w:t>Table 9. Technical challenges and resolutions during August</w:t>
      </w:r>
    </w:p>
    <w:tbl>
      <w:tblPr>
        <w:tblW w:type="auto" w:w="0"/>
        <w:jc w:val="center"/>
        <w:tblLayout w:type="fixed"/>
        <w:tblLook w:firstColumn="1" w:firstRow="1" w:lastColumn="0" w:lastRow="0" w:noHBand="0" w:noVBand="1" w:val="04A0"/>
      </w:tblPr>
      <w:tblGrid>
        <w:gridCol w:w="2324"/>
        <w:gridCol w:w="2041"/>
        <w:gridCol w:w="3061"/>
        <w:gridCol w:w="2381"/>
      </w:tblGrid>
      <w:tr>
        <w:trPr>
          <w:tblHeader w:val="true"/>
          <w:cantSplit/>
        </w:trPr>
        <w:tc>
          <w:tcPr>
            <w:tcW w:type="dxa" w:w="2494"/>
            <w:shd w:fill="0B1F33"/>
            <w:tcMar>
              <w:top w:w="75" w:type="dxa"/>
              <w:start w:w="75" w:type="dxa"/>
              <w:bottom w:w="75" w:type="dxa"/>
              <w:end w:w="75" w:type="dxa"/>
            </w:tcMar>
            <w:tcBorders>
              <w:bottom w:val="single" w:sz="6" w:color="23866C"/>
            </w:tcBorders>
          </w:tcPr>
          <w:p>
            <w:pPr>
              <w:spacing w:after="0"/>
            </w:pPr>
            <w:r>
              <w:rPr>
                <w:b/>
                <w:color w:val="FFFFFF"/>
                <w:sz w:val="14"/>
              </w:rPr>
              <w:t>Technical challenge</w:t>
            </w:r>
          </w:p>
        </w:tc>
        <w:tc>
          <w:tcPr>
            <w:tcW w:type="dxa" w:w="2494"/>
            <w:shd w:fill="0B1F33"/>
            <w:tcMar>
              <w:top w:w="75" w:type="dxa"/>
              <w:start w:w="75" w:type="dxa"/>
              <w:bottom w:w="75" w:type="dxa"/>
              <w:end w:w="75" w:type="dxa"/>
            </w:tcMar>
            <w:tcBorders>
              <w:bottom w:val="single" w:sz="6" w:color="23866C"/>
            </w:tcBorders>
          </w:tcPr>
          <w:p>
            <w:pPr>
              <w:spacing w:after="0"/>
            </w:pPr>
            <w:r>
              <w:rPr>
                <w:b/>
                <w:color w:val="FFFFFF"/>
                <w:sz w:val="14"/>
              </w:rPr>
              <w:t>Impact</w:t>
            </w:r>
          </w:p>
        </w:tc>
        <w:tc>
          <w:tcPr>
            <w:tcW w:type="dxa" w:w="2494"/>
            <w:shd w:fill="0B1F33"/>
            <w:tcMar>
              <w:top w:w="75" w:type="dxa"/>
              <w:start w:w="75" w:type="dxa"/>
              <w:bottom w:w="75" w:type="dxa"/>
              <w:end w:w="75" w:type="dxa"/>
            </w:tcMar>
            <w:tcBorders>
              <w:bottom w:val="single" w:sz="6" w:color="23866C"/>
            </w:tcBorders>
          </w:tcPr>
          <w:p>
            <w:pPr>
              <w:spacing w:after="0"/>
            </w:pPr>
            <w:r>
              <w:rPr>
                <w:b/>
                <w:color w:val="FFFFFF"/>
                <w:sz w:val="14"/>
              </w:rPr>
              <w:t>Resolution</w:t>
            </w:r>
          </w:p>
        </w:tc>
        <w:tc>
          <w:tcPr>
            <w:tcW w:type="dxa" w:w="2494"/>
            <w:shd w:fill="0B1F33"/>
            <w:tcMar>
              <w:top w:w="75" w:type="dxa"/>
              <w:start w:w="75" w:type="dxa"/>
              <w:bottom w:w="75" w:type="dxa"/>
              <w:end w:w="75" w:type="dxa"/>
            </w:tcMar>
            <w:tcBorders>
              <w:bottom w:val="single" w:sz="6" w:color="23866C"/>
            </w:tcBorders>
          </w:tcPr>
          <w:p>
            <w:pPr>
              <w:spacing w:after="0"/>
            </w:pPr>
            <w:r>
              <w:rPr>
                <w:b/>
                <w:color w:val="FFFFFF"/>
                <w:sz w:val="14"/>
              </w:rPr>
              <w:t>Result</w:t>
            </w:r>
          </w:p>
        </w:tc>
      </w:tr>
      <w:tr>
        <w:trPr>
          <w:cantSplit/>
        </w:trPr>
        <w:tc>
          <w:tcPr>
            <w:tcW w:type="dxa" w:w="2324"/>
            <w:tcMar>
              <w:top w:w="55" w:type="dxa"/>
              <w:start w:w="65" w:type="dxa"/>
              <w:bottom w:w="55" w:type="dxa"/>
              <w:end w:w="65" w:type="dxa"/>
            </w:tcMar>
            <w:tcBorders>
              <w:bottom w:val="single" w:sz="3" w:color="C9D5DF"/>
            </w:tcBorders>
            <w:vAlign w:val="center"/>
          </w:tcPr>
          <w:p>
            <w:pPr>
              <w:spacing w:after="0"/>
            </w:pPr>
            <w:r>
              <w:rPr>
                <w:color w:val="263746"/>
                <w:sz w:val="14"/>
              </w:rPr>
              <w:t>Seven transport failures in initial 250-asset attempt</w:t>
            </w:r>
          </w:p>
        </w:tc>
        <w:tc>
          <w:tcPr>
            <w:tcW w:type="dxa" w:w="2041"/>
            <w:tcMar>
              <w:top w:w="55" w:type="dxa"/>
              <w:start w:w="65" w:type="dxa"/>
              <w:bottom w:w="55" w:type="dxa"/>
              <w:end w:w="65" w:type="dxa"/>
            </w:tcMar>
            <w:tcBorders>
              <w:bottom w:val="single" w:sz="3" w:color="C9D5DF"/>
            </w:tcBorders>
            <w:vAlign w:val="center"/>
          </w:tcPr>
          <w:p>
            <w:pPr>
              <w:spacing w:after="0"/>
            </w:pPr>
            <w:r>
              <w:rPr>
                <w:color w:val="263746"/>
                <w:sz w:val="14"/>
              </w:rPr>
              <w:t>Stage incomplete</w:t>
            </w:r>
          </w:p>
        </w:tc>
        <w:tc>
          <w:tcPr>
            <w:tcW w:type="dxa" w:w="3061"/>
            <w:tcMar>
              <w:top w:w="55" w:type="dxa"/>
              <w:start w:w="65" w:type="dxa"/>
              <w:bottom w:w="55" w:type="dxa"/>
              <w:end w:w="65" w:type="dxa"/>
            </w:tcMar>
            <w:tcBorders>
              <w:bottom w:val="single" w:sz="3" w:color="C9D5DF"/>
            </w:tcBorders>
            <w:vAlign w:val="center"/>
          </w:tcPr>
          <w:p>
            <w:pPr>
              <w:spacing w:after="0"/>
            </w:pPr>
            <w:r>
              <w:rPr>
                <w:color w:val="263746"/>
                <w:sz w:val="14"/>
              </w:rPr>
              <w:t>Bounded retry with stable identities</w:t>
            </w:r>
          </w:p>
        </w:tc>
        <w:tc>
          <w:tcPr>
            <w:tcW w:type="dxa" w:w="2381"/>
            <w:tcMar>
              <w:top w:w="55" w:type="dxa"/>
              <w:start w:w="65" w:type="dxa"/>
              <w:bottom w:w="55" w:type="dxa"/>
              <w:end w:w="65" w:type="dxa"/>
            </w:tcMar>
            <w:tcBorders>
              <w:bottom w:val="single" w:sz="3" w:color="C9D5DF"/>
            </w:tcBorders>
            <w:vAlign w:val="center"/>
          </w:tcPr>
          <w:p>
            <w:pPr>
              <w:spacing w:after="0"/>
            </w:pPr>
            <w:r>
              <w:rPr>
                <w:color w:val="263746"/>
                <w:sz w:val="14"/>
              </w:rPr>
              <w:t>Authoritative rerun accepted all 250</w:t>
            </w:r>
          </w:p>
        </w:tc>
      </w:tr>
      <w:tr>
        <w:trPr>
          <w:cantSplit/>
        </w:trPr>
        <w:tc>
          <w:tcPr>
            <w:tcW w:type="dxa" w:w="2324"/>
            <w:shd w:fill="F3F7FA"/>
            <w:tcMar>
              <w:top w:w="55" w:type="dxa"/>
              <w:start w:w="65" w:type="dxa"/>
              <w:bottom w:w="55" w:type="dxa"/>
              <w:end w:w="65" w:type="dxa"/>
            </w:tcMar>
            <w:tcBorders>
              <w:bottom w:val="single" w:sz="3" w:color="C9D5DF"/>
            </w:tcBorders>
            <w:vAlign w:val="center"/>
          </w:tcPr>
          <w:p>
            <w:pPr>
              <w:spacing w:after="0"/>
            </w:pPr>
            <w:r>
              <w:rPr>
                <w:color w:val="263746"/>
                <w:sz w:val="14"/>
              </w:rPr>
              <w:t>Nullable metadata disagreed with handwritten validation</w:t>
            </w:r>
          </w:p>
        </w:tc>
        <w:tc>
          <w:tcPr>
            <w:tcW w:type="dxa" w:w="2041"/>
            <w:shd w:fill="F3F7FA"/>
            <w:tcMar>
              <w:top w:w="55" w:type="dxa"/>
              <w:start w:w="65" w:type="dxa"/>
              <w:bottom w:w="55" w:type="dxa"/>
              <w:end w:w="65" w:type="dxa"/>
            </w:tcMar>
            <w:tcBorders>
              <w:bottom w:val="single" w:sz="3" w:color="C9D5DF"/>
            </w:tcBorders>
            <w:vAlign w:val="center"/>
          </w:tcPr>
          <w:p>
            <w:pPr>
              <w:spacing w:after="0"/>
            </w:pPr>
            <w:r>
              <w:rPr>
                <w:color w:val="263746"/>
                <w:sz w:val="14"/>
              </w:rPr>
              <w:t>Valid coverage envelopes rejected</w:t>
            </w:r>
          </w:p>
        </w:tc>
        <w:tc>
          <w:tcPr>
            <w:tcW w:type="dxa" w:w="3061"/>
            <w:shd w:fill="F3F7FA"/>
            <w:tcMar>
              <w:top w:w="55" w:type="dxa"/>
              <w:start w:w="65" w:type="dxa"/>
              <w:bottom w:w="55" w:type="dxa"/>
              <w:end w:w="65" w:type="dxa"/>
            </w:tcMar>
            <w:tcBorders>
              <w:bottom w:val="single" w:sz="3" w:color="C9D5DF"/>
            </w:tcBorders>
            <w:vAlign w:val="center"/>
          </w:tcPr>
          <w:p>
            <w:pPr>
              <w:spacing w:after="0"/>
            </w:pPr>
            <w:r>
              <w:rPr>
                <w:color w:val="263746"/>
                <w:sz w:val="14"/>
              </w:rPr>
              <w:t>Aligned validator and added test</w:t>
            </w:r>
          </w:p>
        </w:tc>
        <w:tc>
          <w:tcPr>
            <w:tcW w:type="dxa" w:w="2381"/>
            <w:shd w:fill="F3F7FA"/>
            <w:tcMar>
              <w:top w:w="55" w:type="dxa"/>
              <w:start w:w="65" w:type="dxa"/>
              <w:bottom w:w="55" w:type="dxa"/>
              <w:end w:w="65" w:type="dxa"/>
            </w:tcMar>
            <w:tcBorders>
              <w:bottom w:val="single" w:sz="3" w:color="C9D5DF"/>
            </w:tcBorders>
            <w:vAlign w:val="center"/>
          </w:tcPr>
          <w:p>
            <w:pPr>
              <w:spacing w:after="0"/>
            </w:pPr>
            <w:r>
              <w:rPr>
                <w:color w:val="263746"/>
                <w:sz w:val="14"/>
              </w:rPr>
              <w:t>Coverage run proceeded</w:t>
            </w:r>
          </w:p>
        </w:tc>
      </w:tr>
      <w:tr>
        <w:trPr>
          <w:cantSplit/>
        </w:trPr>
        <w:tc>
          <w:tcPr>
            <w:tcW w:type="dxa" w:w="2324"/>
            <w:tcMar>
              <w:top w:w="55" w:type="dxa"/>
              <w:start w:w="65" w:type="dxa"/>
              <w:bottom w:w="55" w:type="dxa"/>
              <w:end w:w="65" w:type="dxa"/>
            </w:tcMar>
            <w:tcBorders>
              <w:bottom w:val="single" w:sz="3" w:color="C9D5DF"/>
            </w:tcBorders>
            <w:vAlign w:val="center"/>
          </w:tcPr>
          <w:p>
            <w:pPr>
              <w:spacing w:after="0"/>
            </w:pPr>
            <w:r>
              <w:rPr>
                <w:color w:val="263746"/>
                <w:sz w:val="14"/>
              </w:rPr>
              <w:t>Demo fleet interfered with one run</w:t>
            </w:r>
          </w:p>
        </w:tc>
        <w:tc>
          <w:tcPr>
            <w:tcW w:type="dxa" w:w="2041"/>
            <w:tcMar>
              <w:top w:w="55" w:type="dxa"/>
              <w:start w:w="65" w:type="dxa"/>
              <w:bottom w:w="55" w:type="dxa"/>
              <w:end w:w="65" w:type="dxa"/>
            </w:tcMar>
            <w:tcBorders>
              <w:bottom w:val="single" w:sz="3" w:color="C9D5DF"/>
            </w:tcBorders>
            <w:vAlign w:val="center"/>
          </w:tcPr>
          <w:p>
            <w:pPr>
              <w:spacing w:after="0"/>
            </w:pPr>
            <w:r>
              <w:rPr>
                <w:color w:val="263746"/>
                <w:sz w:val="14"/>
              </w:rPr>
              <w:t>Evidence isolation risk</w:t>
            </w:r>
          </w:p>
        </w:tc>
        <w:tc>
          <w:tcPr>
            <w:tcW w:type="dxa" w:w="3061"/>
            <w:tcMar>
              <w:top w:w="55" w:type="dxa"/>
              <w:start w:w="65" w:type="dxa"/>
              <w:bottom w:w="55" w:type="dxa"/>
              <w:end w:w="65" w:type="dxa"/>
            </w:tcMar>
            <w:tcBorders>
              <w:bottom w:val="single" w:sz="3" w:color="C9D5DF"/>
            </w:tcBorders>
            <w:vAlign w:val="center"/>
          </w:tcPr>
          <w:p>
            <w:pPr>
              <w:spacing w:after="0"/>
            </w:pPr>
            <w:r>
              <w:rPr>
                <w:color w:val="263746"/>
                <w:sz w:val="14"/>
              </w:rPr>
              <w:t>Excluded run; added group/fleet isolation checks</w:t>
            </w:r>
          </w:p>
        </w:tc>
        <w:tc>
          <w:tcPr>
            <w:tcW w:type="dxa" w:w="2381"/>
            <w:tcMar>
              <w:top w:w="55" w:type="dxa"/>
              <w:start w:w="65" w:type="dxa"/>
              <w:bottom w:w="55" w:type="dxa"/>
              <w:end w:w="65" w:type="dxa"/>
            </w:tcMar>
            <w:tcBorders>
              <w:bottom w:val="single" w:sz="3" w:color="C9D5DF"/>
            </w:tcBorders>
            <w:vAlign w:val="center"/>
          </w:tcPr>
          <w:p>
            <w:pPr>
              <w:spacing w:after="0"/>
            </w:pPr>
            <w:r>
              <w:rPr>
                <w:color w:val="263746"/>
                <w:sz w:val="14"/>
              </w:rPr>
              <w:t>Fresh evidence isolated</w:t>
            </w:r>
          </w:p>
        </w:tc>
      </w:tr>
      <w:tr>
        <w:trPr>
          <w:cantSplit/>
        </w:trPr>
        <w:tc>
          <w:tcPr>
            <w:tcW w:type="dxa" w:w="2324"/>
            <w:shd w:fill="F3F7FA"/>
            <w:tcMar>
              <w:top w:w="55" w:type="dxa"/>
              <w:start w:w="65" w:type="dxa"/>
              <w:bottom w:w="55" w:type="dxa"/>
              <w:end w:w="65" w:type="dxa"/>
            </w:tcMar>
            <w:tcBorders>
              <w:bottom w:val="single" w:sz="3" w:color="C9D5DF"/>
            </w:tcBorders>
            <w:vAlign w:val="center"/>
          </w:tcPr>
          <w:p>
            <w:pPr>
              <w:spacing w:after="0"/>
            </w:pPr>
            <w:r>
              <w:rPr>
                <w:color w:val="263746"/>
                <w:sz w:val="14"/>
              </w:rPr>
              <w:t>Large batches lost structured-output quality</w:t>
            </w:r>
          </w:p>
        </w:tc>
        <w:tc>
          <w:tcPr>
            <w:tcW w:type="dxa" w:w="2041"/>
            <w:shd w:fill="F3F7FA"/>
            <w:tcMar>
              <w:top w:w="55" w:type="dxa"/>
              <w:start w:w="65" w:type="dxa"/>
              <w:bottom w:w="55" w:type="dxa"/>
              <w:end w:w="65" w:type="dxa"/>
            </w:tcMar>
            <w:tcBorders>
              <w:bottom w:val="single" w:sz="3" w:color="C9D5DF"/>
            </w:tcBorders>
            <w:vAlign w:val="center"/>
          </w:tcPr>
          <w:p>
            <w:pPr>
              <w:spacing w:after="0"/>
            </w:pPr>
            <w:r>
              <w:rPr>
                <w:color w:val="263746"/>
                <w:sz w:val="14"/>
              </w:rPr>
              <w:t>Most mappings rejected at 32/64</w:t>
            </w:r>
          </w:p>
        </w:tc>
        <w:tc>
          <w:tcPr>
            <w:tcW w:type="dxa" w:w="3061"/>
            <w:shd w:fill="F3F7FA"/>
            <w:tcMar>
              <w:top w:w="55" w:type="dxa"/>
              <w:start w:w="65" w:type="dxa"/>
              <w:bottom w:w="55" w:type="dxa"/>
              <w:end w:w="65" w:type="dxa"/>
            </w:tcMar>
            <w:tcBorders>
              <w:bottom w:val="single" w:sz="3" w:color="C9D5DF"/>
            </w:tcBorders>
            <w:vAlign w:val="center"/>
          </w:tcPr>
          <w:p>
            <w:pPr>
              <w:spacing w:after="0"/>
            </w:pPr>
            <w:r>
              <w:rPr>
                <w:color w:val="263746"/>
                <w:sz w:val="14"/>
              </w:rPr>
              <w:t>Benchmarked and selected batch 8</w:t>
            </w:r>
          </w:p>
        </w:tc>
        <w:tc>
          <w:tcPr>
            <w:tcW w:type="dxa" w:w="2381"/>
            <w:shd w:fill="F3F7FA"/>
            <w:tcMar>
              <w:top w:w="55" w:type="dxa"/>
              <w:start w:w="65" w:type="dxa"/>
              <w:bottom w:w="55" w:type="dxa"/>
              <w:end w:w="65" w:type="dxa"/>
            </w:tcMar>
            <w:tcBorders>
              <w:bottom w:val="single" w:sz="3" w:color="C9D5DF"/>
            </w:tcBorders>
            <w:vAlign w:val="center"/>
          </w:tcPr>
          <w:p>
            <w:pPr>
              <w:spacing w:after="0"/>
            </w:pPr>
            <w:r>
              <w:rPr>
                <w:color w:val="263746"/>
                <w:sz w:val="14"/>
              </w:rPr>
              <w:t>All eight preflight outputs valid</w:t>
            </w:r>
          </w:p>
        </w:tc>
      </w:tr>
      <w:tr>
        <w:trPr>
          <w:cantSplit/>
        </w:trPr>
        <w:tc>
          <w:tcPr>
            <w:tcW w:type="dxa" w:w="2324"/>
            <w:tcMar>
              <w:top w:w="55" w:type="dxa"/>
              <w:start w:w="65" w:type="dxa"/>
              <w:bottom w:w="55" w:type="dxa"/>
              <w:end w:w="65" w:type="dxa"/>
            </w:tcMar>
            <w:tcBorders>
              <w:bottom w:val="single" w:sz="3" w:color="C9D5DF"/>
            </w:tcBorders>
            <w:vAlign w:val="center"/>
          </w:tcPr>
          <w:p>
            <w:pPr>
              <w:spacing w:after="0"/>
            </w:pPr>
            <w:r>
              <w:rPr>
                <w:color w:val="263746"/>
                <w:sz w:val="14"/>
              </w:rPr>
              <w:t>Inference below arrival rate</w:t>
            </w:r>
          </w:p>
        </w:tc>
        <w:tc>
          <w:tcPr>
            <w:tcW w:type="dxa" w:w="2041"/>
            <w:tcMar>
              <w:top w:w="55" w:type="dxa"/>
              <w:start w:w="65" w:type="dxa"/>
              <w:bottom w:w="55" w:type="dxa"/>
              <w:end w:w="65" w:type="dxa"/>
            </w:tcMar>
            <w:tcBorders>
              <w:bottom w:val="single" w:sz="3" w:color="C9D5DF"/>
            </w:tcBorders>
            <w:vAlign w:val="center"/>
          </w:tcPr>
          <w:p>
            <w:pPr>
              <w:spacing w:after="0"/>
            </w:pPr>
            <w:r>
              <w:rPr>
                <w:color w:val="263746"/>
                <w:sz w:val="14"/>
              </w:rPr>
              <w:t>Kafka backlog grew</w:t>
            </w:r>
          </w:p>
        </w:tc>
        <w:tc>
          <w:tcPr>
            <w:tcW w:type="dxa" w:w="3061"/>
            <w:tcMar>
              <w:top w:w="55" w:type="dxa"/>
              <w:start w:w="65" w:type="dxa"/>
              <w:bottom w:w="55" w:type="dxa"/>
              <w:end w:w="65" w:type="dxa"/>
            </w:tcMar>
            <w:tcBorders>
              <w:bottom w:val="single" w:sz="3" w:color="C9D5DF"/>
            </w:tcBorders>
            <w:vAlign w:val="center"/>
          </w:tcPr>
          <w:p>
            <w:pPr>
              <w:spacing w:after="0"/>
            </w:pPr>
            <w:r>
              <w:rPr>
                <w:color w:val="263746"/>
                <w:sz w:val="14"/>
              </w:rPr>
              <w:t>Preserved backpressure; measured clearance and capacity gap</w:t>
            </w:r>
          </w:p>
        </w:tc>
        <w:tc>
          <w:tcPr>
            <w:tcW w:type="dxa" w:w="2381"/>
            <w:tcMar>
              <w:top w:w="55" w:type="dxa"/>
              <w:start w:w="65" w:type="dxa"/>
              <w:bottom w:w="55" w:type="dxa"/>
              <w:end w:w="65" w:type="dxa"/>
            </w:tcMar>
            <w:tcBorders>
              <w:bottom w:val="single" w:sz="3" w:color="C9D5DF"/>
            </w:tcBorders>
            <w:vAlign w:val="center"/>
          </w:tcPr>
          <w:p>
            <w:pPr>
              <w:spacing w:after="0"/>
            </w:pPr>
            <w:r>
              <w:rPr>
                <w:color w:val="263746"/>
                <w:sz w:val="14"/>
              </w:rPr>
              <w:t>No loss; sustained criterion correctly failed</w:t>
            </w:r>
          </w:p>
        </w:tc>
      </w:tr>
    </w:tbl>
    <w:p>
      <w:pPr>
        <w:spacing w:after="0"/>
      </w:pPr>
    </w:p>
    <w:p>
      <w:r>
        <w:br w:type="page"/>
      </w:r>
    </w:p>
    <w:p>
      <w:pPr>
        <w:pStyle w:val="Heading1"/>
        <w:pBdr>
          <w:bottom w:val="single" w:sz="8" w:space="3" w:color="23866C"/>
        </w:pBdr>
      </w:pPr>
      <w:r>
        <w:t>15. Safety, Security and Governance</w:t>
      </w:r>
    </w:p>
    <w:p>
      <w:r>
        <w:t>All external test traffic continued to pass through the security gateway, and customer reads continued through server-side BFF routes. Stable correlation and reading IDs supported audit and duplicate checks. Household authorization, pseudonymized operator selection, small-group privacy, query bounds, and sanitized error handling remained in place.</w:t>
      </w:r>
    </w:p>
    <w:p>
      <w:r>
        <w:t>Semantic safety required slm_called=true for every normalized reading. Strict output validation rejected unsupported concepts, properties, units, confidence levels, duplicate/unexpected IDs, missing mappings, and command-like content. Exhausted readings became explicit safely-unmapped records. This preserved data integrity while preventing deterministic logic from disguising model failure.</w:t>
      </w:r>
    </w:p>
    <w:tbl>
      <w:tblPr>
        <w:tblW w:type="auto" w:w="0"/>
        <w:jc w:val="center"/>
        <w:tblLayout w:type="fixed"/>
        <w:tblLook w:firstColumn="1" w:firstRow="1" w:lastColumn="0" w:lastRow="0" w:noHBand="0" w:noVBand="1" w:val="04A0"/>
      </w:tblPr>
      <w:tblGrid>
        <w:gridCol w:w="283"/>
        <w:gridCol w:w="9524"/>
      </w:tblGrid>
      <w:tr>
        <w:trPr>
          <w:cantSplit/>
          <w:tblHeader/>
        </w:trPr>
        <w:tc>
          <w:tcPr>
            <w:tcW w:type="dxa" w:w="4989"/>
            <w:shd w:fill="C6782C"/>
            <w:tcMar>
              <w:top w:w="30" w:type="dxa"/>
              <w:start w:w="20" w:type="dxa"/>
              <w:bottom w:w="30" w:type="dxa"/>
              <w:end w:w="20" w:type="dxa"/>
            </w:tcMar>
          </w:tcPr>
          <w:p/>
        </w:tc>
        <w:tc>
          <w:tcPr>
            <w:tcW w:type="dxa" w:w="4989"/>
            <w:shd w:fill="FFF1E5"/>
            <w:tcMar>
              <w:top w:w="100" w:type="dxa"/>
              <w:start w:w="140" w:type="dxa"/>
              <w:bottom w:w="100" w:type="dxa"/>
              <w:end w:w="140" w:type="dxa"/>
            </w:tcMar>
          </w:tcPr>
          <w:p>
            <w:pPr>
              <w:spacing w:after="40"/>
            </w:pPr>
            <w:r>
              <w:rPr>
                <w:b/>
                <w:color w:val="0B1F33"/>
              </w:rPr>
              <w:t>Control and certification boundary</w:t>
            </w:r>
          </w:p>
          <w:p>
            <w:pPr>
              <w:spacing w:after="0"/>
            </w:pPr>
            <w:r>
              <w:rPr>
                <w:sz w:val="17"/>
              </w:rPr>
              <w:t>The approval, mock dispatch, and device translation stages remained simulated. Unsafe execution rows were zero. No physical device control, provider credentials, certified IEEE 2030.5 implementation, certified ENERSHARE/IDS connector, or production customer identity was added.</w:t>
            </w:r>
          </w:p>
        </w:tc>
      </w:tr>
    </w:tbl>
    <w:p>
      <w:pPr>
        <w:spacing w:after="0"/>
      </w:pPr>
    </w:p>
    <w:p>
      <w:pPr>
        <w:pStyle w:val="Heading1"/>
        <w:pBdr>
          <w:bottom w:val="single" w:sz="8" w:space="3" w:color="23866C"/>
        </w:pBdr>
      </w:pPr>
      <w:r>
        <w:t>16. End-of-Month Project Status</w:t>
      </w:r>
    </w:p>
    <w:p>
      <w:pPr>
        <w:pStyle w:val="CaptionCustom"/>
      </w:pPr>
      <w:r>
        <w:t>Table 10. August maturity classification</w:t>
      </w:r>
    </w:p>
    <w:tbl>
      <w:tblPr>
        <w:tblW w:type="auto" w:w="0"/>
        <w:jc w:val="center"/>
        <w:tblLayout w:type="fixed"/>
        <w:tblLook w:firstColumn="1" w:firstRow="1" w:lastColumn="0" w:lastRow="0" w:noHBand="0" w:noVBand="1" w:val="04A0"/>
      </w:tblPr>
      <w:tblGrid>
        <w:gridCol w:w="2551"/>
        <w:gridCol w:w="7313"/>
      </w:tblGrid>
      <w:tr>
        <w:trPr>
          <w:tblHeader w:val="true"/>
          <w:cantSplit/>
        </w:trPr>
        <w:tc>
          <w:tcPr>
            <w:tcW w:type="dxa" w:w="4989"/>
            <w:shd w:fill="0B1F33"/>
            <w:tcMar>
              <w:top w:w="75" w:type="dxa"/>
              <w:start w:w="75" w:type="dxa"/>
              <w:bottom w:w="75" w:type="dxa"/>
              <w:end w:w="75" w:type="dxa"/>
            </w:tcMar>
            <w:tcBorders>
              <w:bottom w:val="single" w:sz="6" w:color="23866C"/>
            </w:tcBorders>
          </w:tcPr>
          <w:p>
            <w:pPr>
              <w:spacing w:after="0"/>
            </w:pPr>
            <w:r>
              <w:rPr>
                <w:b/>
                <w:color w:val="FFFFFF"/>
                <w:sz w:val="15"/>
              </w:rPr>
              <w:t>Classification</w:t>
            </w:r>
          </w:p>
        </w:tc>
        <w:tc>
          <w:tcPr>
            <w:tcW w:type="dxa" w:w="4989"/>
            <w:shd w:fill="0B1F33"/>
            <w:tcMar>
              <w:top w:w="75" w:type="dxa"/>
              <w:start w:w="75" w:type="dxa"/>
              <w:bottom w:w="75" w:type="dxa"/>
              <w:end w:w="75" w:type="dxa"/>
            </w:tcMar>
            <w:tcBorders>
              <w:bottom w:val="single" w:sz="6" w:color="23866C"/>
            </w:tcBorders>
          </w:tcPr>
          <w:p>
            <w:pPr>
              <w:spacing w:after="0"/>
            </w:pPr>
            <w:r>
              <w:rPr>
                <w:b/>
                <w:color w:val="FFFFFF"/>
                <w:sz w:val="15"/>
              </w:rPr>
              <w:t>Items</w:t>
            </w:r>
          </w:p>
        </w:tc>
      </w:tr>
      <w:tr>
        <w:trPr>
          <w:cantSplit/>
        </w:trPr>
        <w:tc>
          <w:tcPr>
            <w:tcW w:type="dxa" w:w="2551"/>
            <w:tcMar>
              <w:top w:w="55" w:type="dxa"/>
              <w:start w:w="65" w:type="dxa"/>
              <w:bottom w:w="55" w:type="dxa"/>
              <w:end w:w="65" w:type="dxa"/>
            </w:tcMar>
            <w:tcBorders>
              <w:bottom w:val="single" w:sz="3" w:color="C9D5DF"/>
            </w:tcBorders>
            <w:vAlign w:val="center"/>
          </w:tcPr>
          <w:p>
            <w:pPr>
              <w:spacing w:after="0"/>
            </w:pPr>
            <w:r>
              <w:rPr>
                <w:color w:val="263746"/>
                <w:sz w:val="15"/>
              </w:rPr>
              <w:t>Implemented</w:t>
            </w:r>
          </w:p>
        </w:tc>
        <w:tc>
          <w:tcPr>
            <w:tcW w:type="dxa" w:w="7313"/>
            <w:tcMar>
              <w:top w:w="55" w:type="dxa"/>
              <w:start w:w="65" w:type="dxa"/>
              <w:bottom w:w="55" w:type="dxa"/>
              <w:end w:w="65" w:type="dxa"/>
            </w:tcMar>
            <w:tcBorders>
              <w:bottom w:val="single" w:sz="3" w:color="C9D5DF"/>
            </w:tcBorders>
            <w:vAlign w:val="center"/>
          </w:tcPr>
          <w:p>
            <w:pPr>
              <w:spacing w:after="0"/>
            </w:pPr>
            <w:r>
              <w:rPr>
                <w:color w:val="263746"/>
                <w:sz w:val="15"/>
              </w:rPr>
              <w:t>Exact population configs; primary-reading mode; idempotency migrations; category guardrails; stage/evidence scripts; scale-aware customer filters</w:t>
            </w:r>
          </w:p>
        </w:tc>
      </w:tr>
      <w:tr>
        <w:trPr>
          <w:cantSplit/>
        </w:trPr>
        <w:tc>
          <w:tcPr>
            <w:tcW w:type="dxa" w:w="2551"/>
            <w:shd w:fill="F3F7FA"/>
            <w:tcMar>
              <w:top w:w="55" w:type="dxa"/>
              <w:start w:w="65" w:type="dxa"/>
              <w:bottom w:w="55" w:type="dxa"/>
              <w:end w:w="65" w:type="dxa"/>
            </w:tcMar>
            <w:tcBorders>
              <w:bottom w:val="single" w:sz="3" w:color="C9D5DF"/>
            </w:tcBorders>
            <w:vAlign w:val="center"/>
          </w:tcPr>
          <w:p>
            <w:pPr>
              <w:spacing w:after="0"/>
            </w:pPr>
            <w:r>
              <w:rPr>
                <w:color w:val="263746"/>
                <w:sz w:val="15"/>
              </w:rPr>
              <w:t>Validated</w:t>
            </w:r>
          </w:p>
        </w:tc>
        <w:tc>
          <w:tcPr>
            <w:tcW w:type="dxa" w:w="7313"/>
            <w:shd w:fill="F3F7FA"/>
            <w:tcMar>
              <w:top w:w="55" w:type="dxa"/>
              <w:start w:w="65" w:type="dxa"/>
              <w:bottom w:w="55" w:type="dxa"/>
              <w:end w:w="65" w:type="dxa"/>
            </w:tcMar>
            <w:tcBorders>
              <w:bottom w:val="single" w:sz="3" w:color="C9D5DF"/>
            </w:tcBorders>
            <w:vAlign w:val="center"/>
          </w:tcPr>
          <w:p>
            <w:pPr>
              <w:spacing w:after="0"/>
            </w:pPr>
            <w:r>
              <w:rPr>
                <w:color w:val="263746"/>
                <w:sz w:val="15"/>
              </w:rPr>
              <w:t>100/250/500/1,000 functional stages; 5 Aug coverage; 5 Aug functional completion; 225 tests; customer scale queries; safe workflow</w:t>
            </w:r>
          </w:p>
        </w:tc>
      </w:tr>
      <w:tr>
        <w:trPr>
          <w:cantSplit/>
        </w:trPr>
        <w:tc>
          <w:tcPr>
            <w:tcW w:type="dxa" w:w="2551"/>
            <w:tcMar>
              <w:top w:w="55" w:type="dxa"/>
              <w:start w:w="65" w:type="dxa"/>
              <w:bottom w:w="55" w:type="dxa"/>
              <w:end w:w="65" w:type="dxa"/>
            </w:tcMar>
            <w:tcBorders>
              <w:bottom w:val="single" w:sz="3" w:color="C9D5DF"/>
            </w:tcBorders>
            <w:vAlign w:val="center"/>
          </w:tcPr>
          <w:p>
            <w:pPr>
              <w:spacing w:after="0"/>
            </w:pPr>
            <w:r>
              <w:rPr>
                <w:color w:val="263746"/>
                <w:sz w:val="15"/>
              </w:rPr>
              <w:t>Implemented but under validation</w:t>
            </w:r>
          </w:p>
        </w:tc>
        <w:tc>
          <w:tcPr>
            <w:tcW w:type="dxa" w:w="7313"/>
            <w:tcMar>
              <w:top w:w="55" w:type="dxa"/>
              <w:start w:w="65" w:type="dxa"/>
              <w:bottom w:w="55" w:type="dxa"/>
              <w:end w:w="65" w:type="dxa"/>
            </w:tcMar>
            <w:tcBorders>
              <w:bottom w:val="single" w:sz="3" w:color="C9D5DF"/>
            </w:tcBorders>
            <w:vAlign w:val="center"/>
          </w:tcPr>
          <w:p>
            <w:pPr>
              <w:spacing w:after="0"/>
            </w:pPr>
            <w:r>
              <w:rPr>
                <w:color w:val="263746"/>
                <w:sz w:val="15"/>
              </w:rPr>
              <w:t>Sustained inference capacity, home-battery semantic quality, enforced household cohort targeting</w:t>
            </w:r>
          </w:p>
        </w:tc>
      </w:tr>
      <w:tr>
        <w:trPr>
          <w:cantSplit/>
        </w:trPr>
        <w:tc>
          <w:tcPr>
            <w:tcW w:type="dxa" w:w="2551"/>
            <w:shd w:fill="F3F7FA"/>
            <w:tcMar>
              <w:top w:w="55" w:type="dxa"/>
              <w:start w:w="65" w:type="dxa"/>
              <w:bottom w:w="55" w:type="dxa"/>
              <w:end w:w="65" w:type="dxa"/>
            </w:tcMar>
            <w:tcBorders>
              <w:bottom w:val="single" w:sz="3" w:color="C9D5DF"/>
            </w:tcBorders>
            <w:vAlign w:val="center"/>
          </w:tcPr>
          <w:p>
            <w:pPr>
              <w:spacing w:after="0"/>
            </w:pPr>
            <w:r>
              <w:rPr>
                <w:color w:val="263746"/>
                <w:sz w:val="15"/>
              </w:rPr>
              <w:t>Future / production infrastructure</w:t>
            </w:r>
          </w:p>
        </w:tc>
        <w:tc>
          <w:tcPr>
            <w:tcW w:type="dxa" w:w="7313"/>
            <w:shd w:fill="F3F7FA"/>
            <w:tcMar>
              <w:top w:w="55" w:type="dxa"/>
              <w:start w:w="65" w:type="dxa"/>
              <w:bottom w:w="55" w:type="dxa"/>
              <w:end w:w="65" w:type="dxa"/>
            </w:tcMar>
            <w:tcBorders>
              <w:bottom w:val="single" w:sz="3" w:color="C9D5DF"/>
            </w:tcBorders>
            <w:vAlign w:val="center"/>
          </w:tcPr>
          <w:p>
            <w:pPr>
              <w:spacing w:after="0"/>
            </w:pPr>
            <w:r>
              <w:rPr>
                <w:color w:val="263746"/>
                <w:sz w:val="15"/>
              </w:rPr>
              <w:t>GPU vLLM replicas, multi-broker Kafka, HA storage, regional ingestion, production IAM/mTLS, real integrations and certified connectors</w:t>
            </w:r>
          </w:p>
        </w:tc>
      </w:tr>
    </w:tbl>
    <w:p>
      <w:pPr>
        <w:spacing w:after="0"/>
      </w:pPr>
    </w:p>
    <w:p>
      <w:pPr>
        <w:pStyle w:val="Heading1"/>
        <w:pBdr>
          <w:bottom w:val="single" w:sz="8" w:space="3" w:color="23866C"/>
        </w:pBdr>
      </w:pPr>
      <w:r>
        <w:t>17. Next Development Priorities</w:t>
      </w:r>
    </w:p>
    <w:p>
      <w:pPr>
        <w:pStyle w:val="ListNumber"/>
        <w:spacing w:after="40"/>
        <w:ind w:left="340" w:hanging="170"/>
      </w:pPr>
      <w:r>
        <w:t>Benchmark candidate local or dedicated GPU inference servers through the existing vLLM-compatible adapter using the same strict validator.</w:t>
      </w:r>
    </w:p>
    <w:p>
      <w:pPr>
        <w:pStyle w:val="ListNumber"/>
        <w:spacing w:after="40"/>
        <w:ind w:left="340" w:hanging="170"/>
      </w:pPr>
      <w:r>
        <w:t>Raise validated semantic completion above the required arrival rate with operating headroom before repeating the sustained test.</w:t>
      </w:r>
    </w:p>
    <w:p>
      <w:pPr>
        <w:pStyle w:val="ListNumber"/>
        <w:spacing w:after="40"/>
        <w:ind w:left="340" w:hanging="170"/>
      </w:pPr>
      <w:r>
        <w:t>Investigate home-battery state-of-charge prompt/model behavior and retain safe-unmapped outcomes until quality passes.</w:t>
      </w:r>
    </w:p>
    <w:p>
      <w:pPr>
        <w:pStyle w:val="ListNumber"/>
        <w:spacing w:after="40"/>
        <w:ind w:left="340" w:hanging="170"/>
      </w:pPr>
      <w:r>
        <w:t>Run a controlled 10,000-asset validation only after the 1,000-asset sustained gate passes; do not extrapolate queue acceptance.</w:t>
      </w:r>
    </w:p>
    <w:p>
      <w:pPr>
        <w:pStyle w:val="ListNumber"/>
        <w:spacing w:after="40"/>
        <w:ind w:left="340" w:hanging="170"/>
      </w:pPr>
      <w:r>
        <w:t>Test multiple semantic workers and inference replicas with rebalance, failure, replay, and idempotency scenarios.</w:t>
      </w:r>
    </w:p>
    <w:p>
      <w:pPr>
        <w:pStyle w:val="ListNumber"/>
        <w:spacing w:after="40"/>
        <w:ind w:left="340" w:hanging="170"/>
      </w:pPr>
      <w:r>
        <w:t>Replace local aggregate scans with incremental/materialized customer aggregates as population and history grow.</w:t>
      </w:r>
    </w:p>
    <w:p>
      <w:pPr>
        <w:pStyle w:val="ListNumber"/>
        <w:spacing w:after="40"/>
        <w:ind w:left="340" w:hanging="170"/>
      </w:pPr>
      <w:r>
        <w:t>Define an authorized household/cohort target contract before any future real-device or real-DSO sandbox work.</w:t>
      </w:r>
    </w:p>
    <w:p>
      <w:pPr>
        <w:pStyle w:val="ListNumber"/>
        <w:spacing w:after="40"/>
        <w:ind w:left="340" w:hanging="170"/>
      </w:pPr>
      <w:r>
        <w:t>Advance production identity, secrets, mTLS, retention, backup, monitoring, governance, and consent as separate deployment workstreams.</w:t>
      </w:r>
    </w:p>
    <w:p>
      <w:pPr>
        <w:pStyle w:val="Heading1"/>
        <w:pBdr>
          <w:bottom w:val="single" w:sz="8" w:space="3" w:color="23866C"/>
        </w:pBdr>
      </w:pPr>
      <w:r>
        <w:t>18. Monthly Achievement Summary</w:t>
      </w:r>
    </w:p>
    <w:p>
      <w:pPr>
        <w:pStyle w:val="CaptionCustom"/>
      </w:pPr>
      <w:r>
        <w:t>Table 11. August management achievement summary</w:t>
      </w:r>
    </w:p>
    <w:tbl>
      <w:tblPr>
        <w:tblW w:type="auto" w:w="0"/>
        <w:jc w:val="center"/>
        <w:tblLayout w:type="fixed"/>
        <w:tblLook w:firstColumn="1" w:firstRow="1" w:lastColumn="0" w:lastRow="0" w:noHBand="0" w:noVBand="1" w:val="04A0"/>
      </w:tblPr>
      <w:tblGrid>
        <w:gridCol w:w="1474"/>
        <w:gridCol w:w="1814"/>
        <w:gridCol w:w="2438"/>
        <w:gridCol w:w="2098"/>
        <w:gridCol w:w="1984"/>
      </w:tblGrid>
      <w:tr>
        <w:trPr>
          <w:tblHeader w:val="true"/>
          <w:cantSplit/>
        </w:trPr>
        <w:tc>
          <w:tcPr>
            <w:tcW w:type="dxa" w:w="1996"/>
            <w:shd w:fill="0B1F33"/>
            <w:tcMar>
              <w:top w:w="75" w:type="dxa"/>
              <w:start w:w="75" w:type="dxa"/>
              <w:bottom w:w="75" w:type="dxa"/>
              <w:end w:w="75" w:type="dxa"/>
            </w:tcMar>
            <w:tcBorders>
              <w:bottom w:val="single" w:sz="6" w:color="23866C"/>
            </w:tcBorders>
          </w:tcPr>
          <w:p>
            <w:pPr>
              <w:spacing w:after="0"/>
            </w:pPr>
            <w:r>
              <w:rPr>
                <w:b/>
                <w:color w:val="FFFFFF"/>
                <w:sz w:val="14"/>
              </w:rPr>
              <w:t>Area</w:t>
            </w:r>
          </w:p>
        </w:tc>
        <w:tc>
          <w:tcPr>
            <w:tcW w:type="dxa" w:w="1996"/>
            <w:shd w:fill="0B1F33"/>
            <w:tcMar>
              <w:top w:w="75" w:type="dxa"/>
              <w:start w:w="75" w:type="dxa"/>
              <w:bottom w:w="75" w:type="dxa"/>
              <w:end w:w="75" w:type="dxa"/>
            </w:tcMar>
            <w:tcBorders>
              <w:bottom w:val="single" w:sz="6" w:color="23866C"/>
            </w:tcBorders>
          </w:tcPr>
          <w:p>
            <w:pPr>
              <w:spacing w:after="0"/>
            </w:pPr>
            <w:r>
              <w:rPr>
                <w:b/>
                <w:color w:val="FFFFFF"/>
                <w:sz w:val="14"/>
              </w:rPr>
              <w:t>Start of month</w:t>
            </w:r>
          </w:p>
        </w:tc>
        <w:tc>
          <w:tcPr>
            <w:tcW w:type="dxa" w:w="1996"/>
            <w:shd w:fill="0B1F33"/>
            <w:tcMar>
              <w:top w:w="75" w:type="dxa"/>
              <w:start w:w="75" w:type="dxa"/>
              <w:bottom w:w="75" w:type="dxa"/>
              <w:end w:w="75" w:type="dxa"/>
            </w:tcMar>
            <w:tcBorders>
              <w:bottom w:val="single" w:sz="6" w:color="23866C"/>
            </w:tcBorders>
          </w:tcPr>
          <w:p>
            <w:pPr>
              <w:spacing w:after="0"/>
            </w:pPr>
            <w:r>
              <w:rPr>
                <w:b/>
                <w:color w:val="FFFFFF"/>
                <w:sz w:val="14"/>
              </w:rPr>
              <w:t>Improvement during month</w:t>
            </w:r>
          </w:p>
        </w:tc>
        <w:tc>
          <w:tcPr>
            <w:tcW w:type="dxa" w:w="1996"/>
            <w:shd w:fill="0B1F33"/>
            <w:tcMar>
              <w:top w:w="75" w:type="dxa"/>
              <w:start w:w="75" w:type="dxa"/>
              <w:bottom w:w="75" w:type="dxa"/>
              <w:end w:w="75" w:type="dxa"/>
            </w:tcMar>
            <w:tcBorders>
              <w:bottom w:val="single" w:sz="6" w:color="23866C"/>
            </w:tcBorders>
          </w:tcPr>
          <w:p>
            <w:pPr>
              <w:spacing w:after="0"/>
            </w:pPr>
            <w:r>
              <w:rPr>
                <w:b/>
                <w:color w:val="FFFFFF"/>
                <w:sz w:val="14"/>
              </w:rPr>
              <w:t>End of month</w:t>
            </w:r>
          </w:p>
        </w:tc>
        <w:tc>
          <w:tcPr>
            <w:tcW w:type="dxa" w:w="1996"/>
            <w:shd w:fill="0B1F33"/>
            <w:tcMar>
              <w:top w:w="75" w:type="dxa"/>
              <w:start w:w="75" w:type="dxa"/>
              <w:bottom w:w="75" w:type="dxa"/>
              <w:end w:w="75" w:type="dxa"/>
            </w:tcMar>
            <w:tcBorders>
              <w:bottom w:val="single" w:sz="6" w:color="23866C"/>
            </w:tcBorders>
          </w:tcPr>
          <w:p>
            <w:pPr>
              <w:spacing w:after="0"/>
            </w:pPr>
            <w:r>
              <w:rPr>
                <w:b/>
                <w:color w:val="FFFFFF"/>
                <w:sz w:val="14"/>
              </w:rPr>
              <w:t>EnerShare value</w:t>
            </w:r>
          </w:p>
        </w:tc>
      </w:tr>
      <w:tr>
        <w:trPr>
          <w:cantSplit/>
        </w:trPr>
        <w:tc>
          <w:tcPr>
            <w:tcW w:type="dxa" w:w="1474"/>
            <w:tcMar>
              <w:top w:w="55" w:type="dxa"/>
              <w:start w:w="65" w:type="dxa"/>
              <w:bottom w:w="55" w:type="dxa"/>
              <w:end w:w="65" w:type="dxa"/>
            </w:tcMar>
            <w:tcBorders>
              <w:bottom w:val="single" w:sz="3" w:color="C9D5DF"/>
            </w:tcBorders>
            <w:vAlign w:val="center"/>
          </w:tcPr>
          <w:p>
            <w:pPr>
              <w:spacing w:after="0"/>
            </w:pPr>
            <w:r>
              <w:rPr>
                <w:color w:val="263746"/>
                <w:sz w:val="14"/>
              </w:rPr>
              <w:t>Population</w:t>
            </w:r>
          </w:p>
        </w:tc>
        <w:tc>
          <w:tcPr>
            <w:tcW w:type="dxa" w:w="1814"/>
            <w:tcMar>
              <w:top w:w="55" w:type="dxa"/>
              <w:start w:w="65" w:type="dxa"/>
              <w:bottom w:w="55" w:type="dxa"/>
              <w:end w:w="65" w:type="dxa"/>
            </w:tcMar>
            <w:tcBorders>
              <w:bottom w:val="single" w:sz="3" w:color="C9D5DF"/>
            </w:tcBorders>
            <w:vAlign w:val="center"/>
          </w:tcPr>
          <w:p>
            <w:pPr>
              <w:spacing w:after="0"/>
            </w:pPr>
            <w:r>
              <w:rPr>
                <w:color w:val="263746"/>
                <w:sz w:val="14"/>
              </w:rPr>
              <w:t>20 HH / 241 devices</w:t>
            </w:r>
          </w:p>
        </w:tc>
        <w:tc>
          <w:tcPr>
            <w:tcW w:type="dxa" w:w="2438"/>
            <w:tcMar>
              <w:top w:w="55" w:type="dxa"/>
              <w:start w:w="65" w:type="dxa"/>
              <w:bottom w:w="55" w:type="dxa"/>
              <w:end w:w="65" w:type="dxa"/>
            </w:tcMar>
            <w:tcBorders>
              <w:bottom w:val="single" w:sz="3" w:color="C9D5DF"/>
            </w:tcBorders>
            <w:vAlign w:val="center"/>
          </w:tcPr>
          <w:p>
            <w:pPr>
              <w:spacing w:after="0"/>
            </w:pPr>
            <w:r>
              <w:rPr>
                <w:color w:val="263746"/>
                <w:sz w:val="14"/>
              </w:rPr>
              <w:t>Exact profiles and stage subsets</w:t>
            </w:r>
          </w:p>
        </w:tc>
        <w:tc>
          <w:tcPr>
            <w:tcW w:type="dxa" w:w="2098"/>
            <w:tcMar>
              <w:top w:w="55" w:type="dxa"/>
              <w:start w:w="65" w:type="dxa"/>
              <w:bottom w:w="55" w:type="dxa"/>
              <w:end w:w="65" w:type="dxa"/>
            </w:tcMar>
            <w:tcBorders>
              <w:bottom w:val="single" w:sz="3" w:color="C9D5DF"/>
            </w:tcBorders>
            <w:vAlign w:val="center"/>
          </w:tcPr>
          <w:p>
            <w:pPr>
              <w:spacing w:after="0"/>
            </w:pPr>
            <w:r>
              <w:rPr>
                <w:color w:val="263746"/>
                <w:sz w:val="14"/>
              </w:rPr>
              <w:t>100 HH / 1,000 assets</w:t>
            </w:r>
          </w:p>
        </w:tc>
        <w:tc>
          <w:tcPr>
            <w:tcW w:type="dxa" w:w="1984"/>
            <w:tcMar>
              <w:top w:w="55" w:type="dxa"/>
              <w:start w:w="65" w:type="dxa"/>
              <w:bottom w:w="55" w:type="dxa"/>
              <w:end w:w="65" w:type="dxa"/>
            </w:tcMar>
            <w:tcBorders>
              <w:bottom w:val="single" w:sz="3" w:color="C9D5DF"/>
            </w:tcBorders>
            <w:vAlign w:val="center"/>
          </w:tcPr>
          <w:p>
            <w:pPr>
              <w:spacing w:after="0"/>
            </w:pPr>
            <w:r>
              <w:rPr>
                <w:color w:val="263746"/>
                <w:sz w:val="14"/>
              </w:rPr>
              <w:t>Reproducible portfolio evidence</w:t>
            </w:r>
          </w:p>
        </w:tc>
      </w:tr>
      <w:tr>
        <w:trPr>
          <w:cantSplit/>
        </w:trPr>
        <w:tc>
          <w:tcPr>
            <w:tcW w:type="dxa" w:w="1474"/>
            <w:shd w:fill="F3F7FA"/>
            <w:tcMar>
              <w:top w:w="55" w:type="dxa"/>
              <w:start w:w="65" w:type="dxa"/>
              <w:bottom w:w="55" w:type="dxa"/>
              <w:end w:w="65" w:type="dxa"/>
            </w:tcMar>
            <w:tcBorders>
              <w:bottom w:val="single" w:sz="3" w:color="C9D5DF"/>
            </w:tcBorders>
            <w:vAlign w:val="center"/>
          </w:tcPr>
          <w:p>
            <w:pPr>
              <w:spacing w:after="0"/>
            </w:pPr>
            <w:r>
              <w:rPr>
                <w:color w:val="263746"/>
                <w:sz w:val="14"/>
              </w:rPr>
              <w:t>Semantics</w:t>
            </w:r>
          </w:p>
        </w:tc>
        <w:tc>
          <w:tcPr>
            <w:tcW w:type="dxa" w:w="1814"/>
            <w:shd w:fill="F3F7FA"/>
            <w:tcMar>
              <w:top w:w="55" w:type="dxa"/>
              <w:start w:w="65" w:type="dxa"/>
              <w:bottom w:w="55" w:type="dxa"/>
              <w:end w:w="65" w:type="dxa"/>
            </w:tcMar>
            <w:tcBorders>
              <w:bottom w:val="single" w:sz="3" w:color="C9D5DF"/>
            </w:tcBorders>
            <w:vAlign w:val="center"/>
          </w:tcPr>
          <w:p>
            <w:pPr>
              <w:spacing w:after="0"/>
            </w:pPr>
            <w:r>
              <w:rPr>
                <w:color w:val="263746"/>
                <w:sz w:val="14"/>
              </w:rPr>
              <w:t>Batch/provider foundation</w:t>
            </w:r>
          </w:p>
        </w:tc>
        <w:tc>
          <w:tcPr>
            <w:tcW w:type="dxa" w:w="2438"/>
            <w:shd w:fill="F3F7FA"/>
            <w:tcMar>
              <w:top w:w="55" w:type="dxa"/>
              <w:start w:w="65" w:type="dxa"/>
              <w:bottom w:w="55" w:type="dxa"/>
              <w:end w:w="65" w:type="dxa"/>
            </w:tcMar>
            <w:tcBorders>
              <w:bottom w:val="single" w:sz="3" w:color="C9D5DF"/>
            </w:tcBorders>
            <w:vAlign w:val="center"/>
          </w:tcPr>
          <w:p>
            <w:pPr>
              <w:spacing w:after="0"/>
            </w:pPr>
            <w:r>
              <w:rPr>
                <w:color w:val="263746"/>
                <w:sz w:val="14"/>
              </w:rPr>
              <w:t>Category coverage and batch-8 selection</w:t>
            </w:r>
          </w:p>
        </w:tc>
        <w:tc>
          <w:tcPr>
            <w:tcW w:type="dxa" w:w="2098"/>
            <w:shd w:fill="F3F7FA"/>
            <w:tcMar>
              <w:top w:w="55" w:type="dxa"/>
              <w:start w:w="65" w:type="dxa"/>
              <w:bottom w:w="55" w:type="dxa"/>
              <w:end w:w="65" w:type="dxa"/>
            </w:tcMar>
            <w:tcBorders>
              <w:bottom w:val="single" w:sz="3" w:color="C9D5DF"/>
            </w:tcBorders>
            <w:vAlign w:val="center"/>
          </w:tcPr>
          <w:p>
            <w:pPr>
              <w:spacing w:after="0"/>
            </w:pPr>
            <w:r>
              <w:rPr>
                <w:color w:val="263746"/>
                <w:sz w:val="14"/>
              </w:rPr>
              <w:t>100% SLM terminal evidence</w:t>
            </w:r>
          </w:p>
        </w:tc>
        <w:tc>
          <w:tcPr>
            <w:tcW w:type="dxa" w:w="1984"/>
            <w:shd w:fill="F3F7FA"/>
            <w:tcMar>
              <w:top w:w="55" w:type="dxa"/>
              <w:start w:w="65" w:type="dxa"/>
              <w:bottom w:w="55" w:type="dxa"/>
              <w:end w:w="65" w:type="dxa"/>
            </w:tcMar>
            <w:tcBorders>
              <w:bottom w:val="single" w:sz="3" w:color="C9D5DF"/>
            </w:tcBorders>
            <w:vAlign w:val="center"/>
          </w:tcPr>
          <w:p>
            <w:pPr>
              <w:spacing w:after="0"/>
            </w:pPr>
            <w:r>
              <w:rPr>
                <w:color w:val="263746"/>
                <w:sz w:val="14"/>
              </w:rPr>
              <w:t>Trusted vendor-neutral interpretation</w:t>
            </w:r>
          </w:p>
        </w:tc>
      </w:tr>
      <w:tr>
        <w:trPr>
          <w:cantSplit/>
        </w:trPr>
        <w:tc>
          <w:tcPr>
            <w:tcW w:type="dxa" w:w="1474"/>
            <w:tcMar>
              <w:top w:w="55" w:type="dxa"/>
              <w:start w:w="65" w:type="dxa"/>
              <w:bottom w:w="55" w:type="dxa"/>
              <w:end w:w="65" w:type="dxa"/>
            </w:tcMar>
            <w:tcBorders>
              <w:bottom w:val="single" w:sz="3" w:color="C9D5DF"/>
            </w:tcBorders>
            <w:vAlign w:val="center"/>
          </w:tcPr>
          <w:p>
            <w:pPr>
              <w:spacing w:after="0"/>
            </w:pPr>
            <w:r>
              <w:rPr>
                <w:color w:val="263746"/>
                <w:sz w:val="14"/>
              </w:rPr>
              <w:t>Durability</w:t>
            </w:r>
          </w:p>
        </w:tc>
        <w:tc>
          <w:tcPr>
            <w:tcW w:type="dxa" w:w="1814"/>
            <w:tcMar>
              <w:top w:w="55" w:type="dxa"/>
              <w:start w:w="65" w:type="dxa"/>
              <w:bottom w:w="55" w:type="dxa"/>
              <w:end w:w="65" w:type="dxa"/>
            </w:tcMar>
            <w:tcBorders>
              <w:bottom w:val="single" w:sz="3" w:color="C9D5DF"/>
            </w:tcBorders>
            <w:vAlign w:val="center"/>
          </w:tcPr>
          <w:p>
            <w:pPr>
              <w:spacing w:after="0"/>
            </w:pPr>
            <w:r>
              <w:rPr>
                <w:color w:val="263746"/>
                <w:sz w:val="14"/>
              </w:rPr>
              <w:t>Conflict-aware writes</w:t>
            </w:r>
          </w:p>
        </w:tc>
        <w:tc>
          <w:tcPr>
            <w:tcW w:type="dxa" w:w="2438"/>
            <w:tcMar>
              <w:top w:w="55" w:type="dxa"/>
              <w:start w:w="65" w:type="dxa"/>
              <w:bottom w:w="55" w:type="dxa"/>
              <w:end w:w="65" w:type="dxa"/>
            </w:tcMar>
            <w:tcBorders>
              <w:bottom w:val="single" w:sz="3" w:color="C9D5DF"/>
            </w:tcBorders>
            <w:vAlign w:val="center"/>
          </w:tcPr>
          <w:p>
            <w:pPr>
              <w:spacing w:after="0"/>
            </w:pPr>
            <w:r>
              <w:rPr>
                <w:color w:val="263746"/>
                <w:sz w:val="14"/>
              </w:rPr>
              <w:t>Stable IDs and uniqueness migrations</w:t>
            </w:r>
          </w:p>
        </w:tc>
        <w:tc>
          <w:tcPr>
            <w:tcW w:type="dxa" w:w="2098"/>
            <w:tcMar>
              <w:top w:w="55" w:type="dxa"/>
              <w:start w:w="65" w:type="dxa"/>
              <w:bottom w:w="55" w:type="dxa"/>
              <w:end w:w="65" w:type="dxa"/>
            </w:tcMar>
            <w:tcBorders>
              <w:bottom w:val="single" w:sz="3" w:color="C9D5DF"/>
            </w:tcBorders>
            <w:vAlign w:val="center"/>
          </w:tcPr>
          <w:p>
            <w:pPr>
              <w:spacing w:after="0"/>
            </w:pPr>
            <w:r>
              <w:rPr>
                <w:color w:val="263746"/>
                <w:sz w:val="14"/>
              </w:rPr>
              <w:t>0 duplicates in final runs</w:t>
            </w:r>
          </w:p>
        </w:tc>
        <w:tc>
          <w:tcPr>
            <w:tcW w:type="dxa" w:w="1984"/>
            <w:tcMar>
              <w:top w:w="55" w:type="dxa"/>
              <w:start w:w="65" w:type="dxa"/>
              <w:bottom w:w="55" w:type="dxa"/>
              <w:end w:w="65" w:type="dxa"/>
            </w:tcMar>
            <w:tcBorders>
              <w:bottom w:val="single" w:sz="3" w:color="C9D5DF"/>
            </w:tcBorders>
            <w:vAlign w:val="center"/>
          </w:tcPr>
          <w:p>
            <w:pPr>
              <w:spacing w:after="0"/>
            </w:pPr>
            <w:r>
              <w:rPr>
                <w:color w:val="263746"/>
                <w:sz w:val="14"/>
              </w:rPr>
              <w:t>Replay and audit confidence</w:t>
            </w:r>
          </w:p>
        </w:tc>
      </w:tr>
      <w:tr>
        <w:trPr>
          <w:cantSplit/>
        </w:trPr>
        <w:tc>
          <w:tcPr>
            <w:tcW w:type="dxa" w:w="1474"/>
            <w:shd w:fill="F3F7FA"/>
            <w:tcMar>
              <w:top w:w="55" w:type="dxa"/>
              <w:start w:w="65" w:type="dxa"/>
              <w:bottom w:w="55" w:type="dxa"/>
              <w:end w:w="65" w:type="dxa"/>
            </w:tcMar>
            <w:tcBorders>
              <w:bottom w:val="single" w:sz="3" w:color="C9D5DF"/>
            </w:tcBorders>
            <w:vAlign w:val="center"/>
          </w:tcPr>
          <w:p>
            <w:pPr>
              <w:spacing w:after="0"/>
            </w:pPr>
            <w:r>
              <w:rPr>
                <w:color w:val="263746"/>
                <w:sz w:val="14"/>
              </w:rPr>
              <w:t>Scale result</w:t>
            </w:r>
          </w:p>
        </w:tc>
        <w:tc>
          <w:tcPr>
            <w:tcW w:type="dxa" w:w="1814"/>
            <w:shd w:fill="F3F7FA"/>
            <w:tcMar>
              <w:top w:w="55" w:type="dxa"/>
              <w:start w:w="65" w:type="dxa"/>
              <w:bottom w:w="55" w:type="dxa"/>
              <w:end w:w="65" w:type="dxa"/>
            </w:tcMar>
            <w:tcBorders>
              <w:bottom w:val="single" w:sz="3" w:color="C9D5DF"/>
            </w:tcBorders>
            <w:vAlign w:val="center"/>
          </w:tcPr>
          <w:p>
            <w:pPr>
              <w:spacing w:after="0"/>
            </w:pPr>
            <w:r>
              <w:rPr>
                <w:color w:val="263746"/>
                <w:sz w:val="14"/>
              </w:rPr>
              <w:t>Initial scale constraints</w:t>
            </w:r>
          </w:p>
        </w:tc>
        <w:tc>
          <w:tcPr>
            <w:tcW w:type="dxa" w:w="2438"/>
            <w:shd w:fill="F3F7FA"/>
            <w:tcMar>
              <w:top w:w="55" w:type="dxa"/>
              <w:start w:w="65" w:type="dxa"/>
              <w:bottom w:w="55" w:type="dxa"/>
              <w:end w:w="65" w:type="dxa"/>
            </w:tcMar>
            <w:tcBorders>
              <w:bottom w:val="single" w:sz="3" w:color="C9D5DF"/>
            </w:tcBorders>
            <w:vAlign w:val="center"/>
          </w:tcPr>
          <w:p>
            <w:pPr>
              <w:spacing w:after="0"/>
            </w:pPr>
            <w:r>
              <w:rPr>
                <w:color w:val="263746"/>
                <w:sz w:val="14"/>
              </w:rPr>
              <w:t>Staged plus sustained classification</w:t>
            </w:r>
          </w:p>
        </w:tc>
        <w:tc>
          <w:tcPr>
            <w:tcW w:type="dxa" w:w="2098"/>
            <w:shd w:fill="F3F7FA"/>
            <w:tcMar>
              <w:top w:w="55" w:type="dxa"/>
              <w:start w:w="65" w:type="dxa"/>
              <w:bottom w:w="55" w:type="dxa"/>
              <w:end w:w="65" w:type="dxa"/>
            </w:tcMar>
            <w:tcBorders>
              <w:bottom w:val="single" w:sz="3" w:color="C9D5DF"/>
            </w:tcBorders>
            <w:vAlign w:val="center"/>
          </w:tcPr>
          <w:p>
            <w:pPr>
              <w:spacing w:after="0"/>
            </w:pPr>
            <w:r>
              <w:rPr>
                <w:color w:val="263746"/>
                <w:sz w:val="14"/>
              </w:rPr>
              <w:t>Functional pass; sustained gap measured</w:t>
            </w:r>
          </w:p>
        </w:tc>
        <w:tc>
          <w:tcPr>
            <w:tcW w:type="dxa" w:w="1984"/>
            <w:shd w:fill="F3F7FA"/>
            <w:tcMar>
              <w:top w:w="55" w:type="dxa"/>
              <w:start w:w="65" w:type="dxa"/>
              <w:bottom w:w="55" w:type="dxa"/>
              <w:end w:w="65" w:type="dxa"/>
            </w:tcMar>
            <w:tcBorders>
              <w:bottom w:val="single" w:sz="3" w:color="C9D5DF"/>
            </w:tcBorders>
            <w:vAlign w:val="center"/>
          </w:tcPr>
          <w:p>
            <w:pPr>
              <w:spacing w:after="0"/>
            </w:pPr>
            <w:r>
              <w:rPr>
                <w:color w:val="263746"/>
                <w:sz w:val="14"/>
              </w:rPr>
              <w:t>Clear capacity decision</w:t>
            </w:r>
          </w:p>
        </w:tc>
      </w:tr>
      <w:tr>
        <w:trPr>
          <w:cantSplit/>
        </w:trPr>
        <w:tc>
          <w:tcPr>
            <w:tcW w:type="dxa" w:w="1474"/>
            <w:tcMar>
              <w:top w:w="55" w:type="dxa"/>
              <w:start w:w="65" w:type="dxa"/>
              <w:bottom w:w="55" w:type="dxa"/>
              <w:end w:w="65" w:type="dxa"/>
            </w:tcMar>
            <w:tcBorders>
              <w:bottom w:val="single" w:sz="3" w:color="C9D5DF"/>
            </w:tcBorders>
            <w:vAlign w:val="center"/>
          </w:tcPr>
          <w:p>
            <w:pPr>
              <w:spacing w:after="0"/>
            </w:pPr>
            <w:r>
              <w:rPr>
                <w:color w:val="263746"/>
                <w:sz w:val="14"/>
              </w:rPr>
              <w:t>Customer product</w:t>
            </w:r>
          </w:p>
        </w:tc>
        <w:tc>
          <w:tcPr>
            <w:tcW w:type="dxa" w:w="1814"/>
            <w:tcMar>
              <w:top w:w="55" w:type="dxa"/>
              <w:start w:w="65" w:type="dxa"/>
              <w:bottom w:w="55" w:type="dxa"/>
              <w:end w:w="65" w:type="dxa"/>
            </w:tcMar>
            <w:tcBorders>
              <w:bottom w:val="single" w:sz="3" w:color="C9D5DF"/>
            </w:tcBorders>
            <w:vAlign w:val="center"/>
          </w:tcPr>
          <w:p>
            <w:pPr>
              <w:spacing w:after="0"/>
            </w:pPr>
            <w:r>
              <w:rPr>
                <w:color w:val="263746"/>
                <w:sz w:val="14"/>
              </w:rPr>
              <w:t>Bounded role-aware UI</w:t>
            </w:r>
          </w:p>
        </w:tc>
        <w:tc>
          <w:tcPr>
            <w:tcW w:type="dxa" w:w="2438"/>
            <w:tcMar>
              <w:top w:w="55" w:type="dxa"/>
              <w:start w:w="65" w:type="dxa"/>
              <w:bottom w:w="55" w:type="dxa"/>
              <w:end w:w="65" w:type="dxa"/>
            </w:tcMar>
            <w:tcBorders>
              <w:bottom w:val="single" w:sz="3" w:color="C9D5DF"/>
            </w:tcBorders>
            <w:vAlign w:val="center"/>
          </w:tcPr>
          <w:p>
            <w:pPr>
              <w:spacing w:after="0"/>
            </w:pPr>
            <w:r>
              <w:rPr>
                <w:color w:val="263746"/>
                <w:sz w:val="14"/>
              </w:rPr>
              <w:t>Exact cohort aggregate and filters</w:t>
            </w:r>
          </w:p>
        </w:tc>
        <w:tc>
          <w:tcPr>
            <w:tcW w:type="dxa" w:w="2098"/>
            <w:tcMar>
              <w:top w:w="55" w:type="dxa"/>
              <w:start w:w="65" w:type="dxa"/>
              <w:bottom w:w="55" w:type="dxa"/>
              <w:end w:w="65" w:type="dxa"/>
            </w:tcMar>
            <w:tcBorders>
              <w:bottom w:val="single" w:sz="3" w:color="C9D5DF"/>
            </w:tcBorders>
            <w:vAlign w:val="center"/>
          </w:tcPr>
          <w:p>
            <w:pPr>
              <w:spacing w:after="0"/>
            </w:pPr>
            <w:r>
              <w:rPr>
                <w:color w:val="263746"/>
                <w:sz w:val="14"/>
              </w:rPr>
              <w:t>Responsive 1,000-asset view</w:t>
            </w:r>
          </w:p>
        </w:tc>
        <w:tc>
          <w:tcPr>
            <w:tcW w:type="dxa" w:w="1984"/>
            <w:tcMar>
              <w:top w:w="55" w:type="dxa"/>
              <w:start w:w="65" w:type="dxa"/>
              <w:bottom w:w="55" w:type="dxa"/>
              <w:end w:w="65" w:type="dxa"/>
            </w:tcMar>
            <w:tcBorders>
              <w:bottom w:val="single" w:sz="3" w:color="C9D5DF"/>
            </w:tcBorders>
            <w:vAlign w:val="center"/>
          </w:tcPr>
          <w:p>
            <w:pPr>
              <w:spacing w:after="0"/>
            </w:pPr>
            <w:r>
              <w:rPr>
                <w:color w:val="263746"/>
                <w:sz w:val="14"/>
              </w:rPr>
              <w:t>Portfolio usability</w:t>
            </w:r>
          </w:p>
        </w:tc>
      </w:tr>
      <w:tr>
        <w:trPr>
          <w:cantSplit/>
        </w:trPr>
        <w:tc>
          <w:tcPr>
            <w:tcW w:type="dxa" w:w="1474"/>
            <w:shd w:fill="F3F7FA"/>
            <w:tcMar>
              <w:top w:w="55" w:type="dxa"/>
              <w:start w:w="65" w:type="dxa"/>
              <w:bottom w:w="55" w:type="dxa"/>
              <w:end w:w="65" w:type="dxa"/>
            </w:tcMar>
            <w:tcBorders>
              <w:bottom w:val="single" w:sz="3" w:color="C9D5DF"/>
            </w:tcBorders>
            <w:vAlign w:val="center"/>
          </w:tcPr>
          <w:p>
            <w:pPr>
              <w:spacing w:after="0"/>
            </w:pPr>
            <w:r>
              <w:rPr>
                <w:color w:val="263746"/>
                <w:sz w:val="14"/>
              </w:rPr>
              <w:t>Future planning</w:t>
            </w:r>
          </w:p>
        </w:tc>
        <w:tc>
          <w:tcPr>
            <w:tcW w:type="dxa" w:w="1814"/>
            <w:shd w:fill="F3F7FA"/>
            <w:tcMar>
              <w:top w:w="55" w:type="dxa"/>
              <w:start w:w="65" w:type="dxa"/>
              <w:bottom w:w="55" w:type="dxa"/>
              <w:end w:w="65" w:type="dxa"/>
            </w:tcMar>
            <w:tcBorders>
              <w:bottom w:val="single" w:sz="3" w:color="C9D5DF"/>
            </w:tcBorders>
            <w:vAlign w:val="center"/>
          </w:tcPr>
          <w:p>
            <w:pPr>
              <w:spacing w:after="0"/>
            </w:pPr>
            <w:r>
              <w:rPr>
                <w:color w:val="263746"/>
                <w:sz w:val="14"/>
              </w:rPr>
              <w:t>Conceptual roadmap</w:t>
            </w:r>
          </w:p>
        </w:tc>
        <w:tc>
          <w:tcPr>
            <w:tcW w:type="dxa" w:w="2438"/>
            <w:shd w:fill="F3F7FA"/>
            <w:tcMar>
              <w:top w:w="55" w:type="dxa"/>
              <w:start w:w="65" w:type="dxa"/>
              <w:bottom w:w="55" w:type="dxa"/>
              <w:end w:w="65" w:type="dxa"/>
            </w:tcMar>
            <w:tcBorders>
              <w:bottom w:val="single" w:sz="3" w:color="C9D5DF"/>
            </w:tcBorders>
            <w:vAlign w:val="center"/>
          </w:tcPr>
          <w:p>
            <w:pPr>
              <w:spacing w:after="0"/>
            </w:pPr>
            <w:r>
              <w:rPr>
                <w:color w:val="263746"/>
                <w:sz w:val="14"/>
              </w:rPr>
              <w:t>Measured sizing model</w:t>
            </w:r>
          </w:p>
        </w:tc>
        <w:tc>
          <w:tcPr>
            <w:tcW w:type="dxa" w:w="2098"/>
            <w:shd w:fill="F3F7FA"/>
            <w:tcMar>
              <w:top w:w="55" w:type="dxa"/>
              <w:start w:w="65" w:type="dxa"/>
              <w:bottom w:w="55" w:type="dxa"/>
              <w:end w:w="65" w:type="dxa"/>
            </w:tcMar>
            <w:tcBorders>
              <w:bottom w:val="single" w:sz="3" w:color="C9D5DF"/>
            </w:tcBorders>
            <w:vAlign w:val="center"/>
          </w:tcPr>
          <w:p>
            <w:pPr>
              <w:spacing w:after="0"/>
            </w:pPr>
            <w:r>
              <w:rPr>
                <w:color w:val="263746"/>
                <w:sz w:val="14"/>
              </w:rPr>
              <w:t>Transparent 10k-1m assumptions</w:t>
            </w:r>
          </w:p>
        </w:tc>
        <w:tc>
          <w:tcPr>
            <w:tcW w:type="dxa" w:w="1984"/>
            <w:shd w:fill="F3F7FA"/>
            <w:tcMar>
              <w:top w:w="55" w:type="dxa"/>
              <w:start w:w="65" w:type="dxa"/>
              <w:bottom w:w="55" w:type="dxa"/>
              <w:end w:w="65" w:type="dxa"/>
            </w:tcMar>
            <w:tcBorders>
              <w:bottom w:val="single" w:sz="3" w:color="C9D5DF"/>
            </w:tcBorders>
            <w:vAlign w:val="center"/>
          </w:tcPr>
          <w:p>
            <w:pPr>
              <w:spacing w:after="0"/>
            </w:pPr>
            <w:r>
              <w:rPr>
                <w:color w:val="263746"/>
                <w:sz w:val="14"/>
              </w:rPr>
              <w:t>Investment and benchmark planning</w:t>
            </w:r>
          </w:p>
        </w:tc>
      </w:tr>
    </w:tbl>
    <w:p>
      <w:pPr>
        <w:spacing w:after="0"/>
      </w:pPr>
    </w:p>
    <w:p>
      <w:pPr>
        <w:pStyle w:val="Heading1"/>
        <w:pBdr>
          <w:bottom w:val="single" w:sz="8" w:space="3" w:color="23866C"/>
        </w:pBdr>
      </w:pPr>
      <w:r>
        <w:t>19. Conclusion</w:t>
      </w:r>
    </w:p>
    <w:p>
      <w:r>
        <w:t>August moved AD-FLEX from a broad multi-device demonstration to a controlled exact-population validation. The repository now represents 100 households and 1,000 simulated assets reproducibly, submits every normalized reading to local Phi-3 Mini, validates semantics deterministically without replacement mapping, preserves durable identity through retries, and exposes the cohort through aggregate and paginated customer views.</w:t>
      </w:r>
    </w:p>
    <w:p>
      <w:r>
        <w:t>The local result is a credible functional end-to-end pass. It proves eventual processing, audit, storage, IEEE-style continuation, representative flexibility workflow, mock device translation, privacy-aware export, and dashboard visibility without drops or duplicate final records. It does not prove sustained real-time capacity. The 5 August test measured 0.445 readings/s completion against 1.102 readings/s arrival, making the single local inference tier the exact constraint. The project is therefore ready for a measured multi-replica GPU/vLLM benchmark and larger controlled validation, not for a million-device or production-readiness claim.</w:t>
      </w:r>
    </w:p>
    <w:p>
      <w:r>
        <w:br w:type="page"/>
      </w:r>
    </w:p>
    <w:p>
      <w:pPr>
        <w:pStyle w:val="Heading1"/>
        <w:pBdr>
          <w:bottom w:val="single" w:sz="8" w:space="3" w:color="23866C"/>
        </w:pBdr>
      </w:pPr>
      <w:r>
        <w:t>Appendix A - Git Evidence</w:t>
      </w:r>
    </w:p>
    <w:p>
      <w:pPr>
        <w:pStyle w:val="CaptionCustom"/>
      </w:pPr>
      <w:r>
        <w:t>Table 12. Significant August commit reviewed</w:t>
      </w:r>
    </w:p>
    <w:tbl>
      <w:tblPr>
        <w:tblW w:type="auto" w:w="0"/>
        <w:jc w:val="center"/>
        <w:tblLayout w:type="fixed"/>
        <w:tblLook w:firstColumn="1" w:firstRow="1" w:lastColumn="0" w:lastRow="0" w:noHBand="0" w:noVBand="1" w:val="04A0"/>
      </w:tblPr>
      <w:tblGrid>
        <w:gridCol w:w="1304"/>
        <w:gridCol w:w="1417"/>
        <w:gridCol w:w="3515"/>
        <w:gridCol w:w="3628"/>
      </w:tblGrid>
      <w:tr>
        <w:trPr>
          <w:tblHeader w:val="true"/>
          <w:cantSplit/>
        </w:trPr>
        <w:tc>
          <w:tcPr>
            <w:tcW w:type="dxa" w:w="2494"/>
            <w:shd w:fill="0B1F33"/>
            <w:tcMar>
              <w:top w:w="75" w:type="dxa"/>
              <w:start w:w="75" w:type="dxa"/>
              <w:bottom w:w="75" w:type="dxa"/>
              <w:end w:w="75" w:type="dxa"/>
            </w:tcMar>
            <w:tcBorders>
              <w:bottom w:val="single" w:sz="6" w:color="23866C"/>
            </w:tcBorders>
          </w:tcPr>
          <w:p>
            <w:pPr>
              <w:spacing w:after="0"/>
            </w:pPr>
            <w:r>
              <w:rPr>
                <w:b/>
                <w:color w:val="FFFFFF"/>
                <w:sz w:val="15"/>
              </w:rPr>
              <w:t>Date</w:t>
            </w:r>
          </w:p>
        </w:tc>
        <w:tc>
          <w:tcPr>
            <w:tcW w:type="dxa" w:w="2494"/>
            <w:shd w:fill="0B1F33"/>
            <w:tcMar>
              <w:top w:w="75" w:type="dxa"/>
              <w:start w:w="75" w:type="dxa"/>
              <w:bottom w:w="75" w:type="dxa"/>
              <w:end w:w="75" w:type="dxa"/>
            </w:tcMar>
            <w:tcBorders>
              <w:bottom w:val="single" w:sz="6" w:color="23866C"/>
            </w:tcBorders>
          </w:tcPr>
          <w:p>
            <w:pPr>
              <w:spacing w:after="0"/>
            </w:pPr>
            <w:r>
              <w:rPr>
                <w:b/>
                <w:color w:val="FFFFFF"/>
                <w:sz w:val="15"/>
              </w:rPr>
              <w:t>Commit</w:t>
            </w:r>
          </w:p>
        </w:tc>
        <w:tc>
          <w:tcPr>
            <w:tcW w:type="dxa" w:w="2494"/>
            <w:shd w:fill="0B1F33"/>
            <w:tcMar>
              <w:top w:w="75" w:type="dxa"/>
              <w:start w:w="75" w:type="dxa"/>
              <w:bottom w:w="75" w:type="dxa"/>
              <w:end w:w="75" w:type="dxa"/>
            </w:tcMar>
            <w:tcBorders>
              <w:bottom w:val="single" w:sz="6" w:color="23866C"/>
            </w:tcBorders>
          </w:tcPr>
          <w:p>
            <w:pPr>
              <w:spacing w:after="0"/>
            </w:pPr>
            <w:r>
              <w:rPr>
                <w:b/>
                <w:color w:val="FFFFFF"/>
                <w:sz w:val="15"/>
              </w:rPr>
              <w:t>Description</w:t>
            </w:r>
          </w:p>
        </w:tc>
        <w:tc>
          <w:tcPr>
            <w:tcW w:type="dxa" w:w="2494"/>
            <w:shd w:fill="0B1F33"/>
            <w:tcMar>
              <w:top w:w="75" w:type="dxa"/>
              <w:start w:w="75" w:type="dxa"/>
              <w:bottom w:w="75" w:type="dxa"/>
              <w:end w:w="75" w:type="dxa"/>
            </w:tcMar>
            <w:tcBorders>
              <w:bottom w:val="single" w:sz="6" w:color="23866C"/>
            </w:tcBorders>
          </w:tcPr>
          <w:p>
            <w:pPr>
              <w:spacing w:after="0"/>
            </w:pPr>
            <w:r>
              <w:rPr>
                <w:b/>
                <w:color w:val="FFFFFF"/>
                <w:sz w:val="15"/>
              </w:rPr>
              <w:t>Principal components</w:t>
            </w:r>
          </w:p>
        </w:tc>
      </w:tr>
      <w:tr>
        <w:trPr>
          <w:cantSplit/>
        </w:trPr>
        <w:tc>
          <w:tcPr>
            <w:tcW w:type="dxa" w:w="1304"/>
            <w:tcMar>
              <w:top w:w="55" w:type="dxa"/>
              <w:start w:w="65" w:type="dxa"/>
              <w:bottom w:w="55" w:type="dxa"/>
              <w:end w:w="65" w:type="dxa"/>
            </w:tcMar>
            <w:tcBorders>
              <w:bottom w:val="single" w:sz="3" w:color="C9D5DF"/>
            </w:tcBorders>
            <w:vAlign w:val="center"/>
          </w:tcPr>
          <w:p>
            <w:pPr>
              <w:spacing w:after="0"/>
            </w:pPr>
            <w:r>
              <w:rPr>
                <w:color w:val="263746"/>
                <w:sz w:val="15"/>
              </w:rPr>
              <w:t>5 Aug</w:t>
            </w:r>
          </w:p>
        </w:tc>
        <w:tc>
          <w:tcPr>
            <w:tcW w:type="dxa" w:w="1417"/>
            <w:tcMar>
              <w:top w:w="55" w:type="dxa"/>
              <w:start w:w="65" w:type="dxa"/>
              <w:bottom w:w="55" w:type="dxa"/>
              <w:end w:w="65" w:type="dxa"/>
            </w:tcMar>
            <w:tcBorders>
              <w:bottom w:val="single" w:sz="3" w:color="C9D5DF"/>
            </w:tcBorders>
            <w:vAlign w:val="center"/>
          </w:tcPr>
          <w:p>
            <w:pPr>
              <w:spacing w:after="0"/>
            </w:pPr>
            <w:r>
              <w:rPr>
                <w:color w:val="263746"/>
                <w:sz w:val="15"/>
              </w:rPr>
              <w:t>f0bd3a1</w:t>
            </w:r>
          </w:p>
        </w:tc>
        <w:tc>
          <w:tcPr>
            <w:tcW w:type="dxa" w:w="3515"/>
            <w:tcMar>
              <w:top w:w="55" w:type="dxa"/>
              <w:start w:w="65" w:type="dxa"/>
              <w:bottom w:w="55" w:type="dxa"/>
              <w:end w:w="65" w:type="dxa"/>
            </w:tcMar>
            <w:tcBorders>
              <w:bottom w:val="single" w:sz="3" w:color="C9D5DF"/>
            </w:tcBorders>
            <w:vAlign w:val="center"/>
          </w:tcPr>
          <w:p>
            <w:pPr>
              <w:spacing w:after="0"/>
            </w:pPr>
            <w:r>
              <w:rPr>
                <w:color w:val="263746"/>
                <w:sz w:val="15"/>
              </w:rPr>
              <w:t>Exact 100-household/1,000-asset implementation, evidence, and reporting</w:t>
            </w:r>
          </w:p>
        </w:tc>
        <w:tc>
          <w:tcPr>
            <w:tcW w:type="dxa" w:w="3628"/>
            <w:tcMar>
              <w:top w:w="55" w:type="dxa"/>
              <w:start w:w="65" w:type="dxa"/>
              <w:bottom w:w="55" w:type="dxa"/>
              <w:end w:w="65" w:type="dxa"/>
            </w:tcMar>
            <w:tcBorders>
              <w:bottom w:val="single" w:sz="3" w:color="C9D5DF"/>
            </w:tcBorders>
            <w:vAlign w:val="center"/>
          </w:tcPr>
          <w:p>
            <w:pPr>
              <w:spacing w:after="0"/>
            </w:pPr>
            <w:r>
              <w:rPr>
                <w:color w:val="263746"/>
                <w:sz w:val="15"/>
              </w:rPr>
              <w:t>224 files: configs, migrations, fleet, engine, semantics, gateway, dashboard, scripts, results, docs</w:t>
            </w:r>
          </w:p>
        </w:tc>
      </w:tr>
    </w:tbl>
    <w:p>
      <w:pPr>
        <w:spacing w:after="0"/>
      </w:pPr>
    </w:p>
    <w:p>
      <w:r>
        <w:t>The commit contains generated runs dated 27 July as well as fresh 5 August runs. Execution date and first Git inclusion are distinguished in the evidence audit and throughout this report. No later August commits were present as of 13 August.</w:t>
      </w:r>
    </w:p>
    <w:p>
      <w:pPr>
        <w:pStyle w:val="Heading1"/>
        <w:pBdr>
          <w:bottom w:val="single" w:sz="8" w:space="3" w:color="23866C"/>
        </w:pBdr>
      </w:pPr>
      <w:r>
        <w:t>Appendix B - Validation Evidence</w:t>
      </w:r>
    </w:p>
    <w:p>
      <w:pPr>
        <w:pStyle w:val="ListBullet"/>
        <w:spacing w:after="40"/>
        <w:ind w:left="283" w:hanging="170"/>
      </w:pPr>
      <w:r>
        <w:t>docs/1000-assets-validation-report.md</w:t>
      </w:r>
    </w:p>
    <w:p>
      <w:pPr>
        <w:pStyle w:val="ListBullet"/>
        <w:spacing w:after="40"/>
        <w:ind w:left="283" w:hanging="170"/>
      </w:pPr>
      <w:r>
        <w:t>docs/1000-assets-client-summary.md</w:t>
      </w:r>
    </w:p>
    <w:p>
      <w:pPr>
        <w:pStyle w:val="ListBullet"/>
        <w:spacing w:after="40"/>
        <w:ind w:left="283" w:hanging="170"/>
      </w:pPr>
      <w:r>
        <w:t>docs/1000-assets-workload-definition.md</w:t>
      </w:r>
    </w:p>
    <w:p>
      <w:pPr>
        <w:pStyle w:val="ListBullet"/>
        <w:spacing w:after="40"/>
        <w:ind w:left="283" w:hanging="170"/>
      </w:pPr>
      <w:r>
        <w:t>docs/100-household-device-model.md</w:t>
      </w:r>
    </w:p>
    <w:p>
      <w:pPr>
        <w:pStyle w:val="ListBullet"/>
        <w:spacing w:after="40"/>
        <w:ind w:left="283" w:hanging="170"/>
      </w:pPr>
      <w:r>
        <w:t>docs/1000-assets-limitations.md</w:t>
      </w:r>
    </w:p>
    <w:p>
      <w:pPr>
        <w:pStyle w:val="ListBullet"/>
        <w:spacing w:after="40"/>
        <w:ind w:left="283" w:hanging="170"/>
      </w:pPr>
      <w:r>
        <w:t>docs/million-device-scale-out-model.md</w:t>
      </w:r>
    </w:p>
    <w:p>
      <w:pPr>
        <w:pStyle w:val="ListBullet"/>
        <w:spacing w:after="40"/>
        <w:ind w:left="283" w:hanging="170"/>
      </w:pPr>
      <w:r>
        <w:t>docs/scalability-results/scale-100-2026-08-05T06-59-10-798Z/stage-result.json</w:t>
      </w:r>
    </w:p>
    <w:p>
      <w:pPr>
        <w:pStyle w:val="ListBullet"/>
        <w:spacing w:after="40"/>
        <w:ind w:left="283" w:hanging="170"/>
      </w:pPr>
      <w:r>
        <w:t>docs/scalability-results/scale-1000-2026-08-05T07-15-27-418Z/stage-result.json</w:t>
      </w:r>
    </w:p>
    <w:p>
      <w:pPr>
        <w:pStyle w:val="ListBullet"/>
        <w:spacing w:after="40"/>
        <w:ind w:left="283" w:hanging="170"/>
      </w:pPr>
      <w:r>
        <w:t>the associated JSONL, CSV, category outcomes, lag, throughput, resource, query-benchmark, chart, and screenshot files</w:t>
      </w:r>
    </w:p>
    <w:p>
      <w:pPr>
        <w:pStyle w:val="ListBullet"/>
        <w:spacing w:after="40"/>
        <w:ind w:left="283" w:hanging="170"/>
      </w:pPr>
      <w:r>
        <w:t>docs/monthly-reports/August_2026_Evidence_Audit.md</w:t>
      </w:r>
    </w:p>
    <w:p>
      <w:pPr>
        <w:pStyle w:val="Heading1"/>
        <w:pBdr>
          <w:bottom w:val="single" w:sz="8" w:space="3" w:color="23866C"/>
        </w:pBdr>
      </w:pPr>
      <w:r>
        <w:t>Appendix C - Current Limitations</w:t>
      </w:r>
    </w:p>
    <w:p>
      <w:pPr>
        <w:pStyle w:val="ListBullet"/>
        <w:spacing w:after="40"/>
        <w:ind w:left="283" w:hanging="170"/>
      </w:pPr>
      <w:r>
        <w:t>One local Phi-3 Mini worker did not sustain the tested 15-minute 1,000-asset arrival profile.</w:t>
      </w:r>
    </w:p>
    <w:p>
      <w:pPr>
        <w:pStyle w:val="ListBullet"/>
        <w:spacing w:after="40"/>
        <w:ind w:left="283" w:hanging="170"/>
      </w:pPr>
      <w:r>
        <w:t>Home-battery state-of-charge interpretation had a high safe-rejection rate and requires model/prompt evaluation.</w:t>
      </w:r>
    </w:p>
    <w:p>
      <w:pPr>
        <w:pStyle w:val="ListBullet"/>
        <w:spacing w:after="40"/>
        <w:ind w:left="283" w:hanging="170"/>
      </w:pPr>
      <w:r>
        <w:t>The local deployment has one Kafka broker and one TimescaleDB instance; failover, HA, regional recovery, and production service levels are untested.</w:t>
      </w:r>
    </w:p>
    <w:p>
      <w:pPr>
        <w:pStyle w:val="ListBullet"/>
        <w:spacing w:after="40"/>
        <w:ind w:left="283" w:hanging="170"/>
      </w:pPr>
      <w:r>
        <w:t>The selected 15-household flexibility cohort is audit context; the current DSO request remains community scoped.</w:t>
      </w:r>
    </w:p>
    <w:p>
      <w:pPr>
        <w:pStyle w:val="ListBullet"/>
        <w:spacing w:after="40"/>
        <w:ind w:left="283" w:hanging="170"/>
      </w:pPr>
      <w:r>
        <w:t>10,000-, 100,000-, and million-asset figures are modeled future infrastructure requirements, not completed validations.</w:t>
      </w:r>
    </w:p>
    <w:p>
      <w:pPr>
        <w:pStyle w:val="ListBullet"/>
        <w:spacing w:after="40"/>
        <w:ind w:left="283" w:hanging="170"/>
      </w:pPr>
      <w:r>
        <w:t>All devices and commands remain simulated with no_real_execution=true; no real credentials or customer consent integration exists.</w:t>
      </w:r>
    </w:p>
    <w:p>
      <w:pPr>
        <w:pStyle w:val="ListBullet"/>
        <w:spacing w:after="40"/>
        <w:ind w:left="283" w:hanging="170"/>
      </w:pPr>
      <w:r>
        <w:t>Production identity, mTLS, secrets, monitoring, retention, backup, cost governance, and connector certification remain future work.</w:t>
      </w:r>
    </w:p>
    <w:p>
      <w:pPr>
        <w:pStyle w:val="ListBullet"/>
        <w:spacing w:after="40"/>
        <w:ind w:left="283" w:hanging="170"/>
      </w:pPr>
      <w:r>
        <w:t>No financial savings, tariff optimization, carbon benefit, or billing-grade accuracy is claimed.</w:t>
      </w:r>
    </w:p>
    <w:sectPr w:rsidR="00FC693F" w:rsidRPr="0006063C" w:rsidSect="00034616">
      <w:headerReference w:type="default" r:id="rId12"/>
      <w:footerReference w:type="default" r:id="rId13"/>
      <w:pgSz w:w="11906" w:h="16838"/>
      <w:pgMar w:top="964" w:right="964" w:bottom="850" w:left="964" w:header="397" w:footer="397" w:gutter="0"/>
      <w:cols w:space="720"/>
      <w:docGrid w:linePitch="360"/>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78" w:val="right"/>
      </w:tabs>
      <w:jc w:val="left"/>
    </w:pPr>
    <w:r>
      <w:rPr>
        <w:rFonts w:ascii="Aptos" w:hAnsi="Aptos"/>
        <w:color w:val="607284"/>
        <w:sz w:val="15"/>
      </w:rPr>
      <w:t>Paolo Cammardella | Evidence-controlled progress report</w:t>
    </w:r>
    <w:r>
      <w:tab/>
    </w:r>
    <w:r>
      <w:rPr>
        <w:rFonts w:ascii="Aptos" w:hAnsi="Aptos"/>
        <w:color w:val="607284"/>
        <w:sz w:val="15"/>
      </w:rPr>
      <w:t xml:space="preserve">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78" w:val="right"/>
      </w:tabs>
      <w:jc w:val="left"/>
    </w:pPr>
    <w:r>
      <w:rPr>
        <w:rFonts w:ascii="Aptos" w:hAnsi="Aptos"/>
        <w:color w:val="607284"/>
        <w:sz w:val="15"/>
      </w:rPr>
      <w:t>Paolo Cammardella | Evidence-controlled progress report</w:t>
    </w:r>
    <w:r>
      <w:tab/>
    </w:r>
    <w:r>
      <w:rPr>
        <w:rFonts w:ascii="Aptos" w:hAnsi="Aptos"/>
        <w:color w:val="607284"/>
        <w:sz w:val="15"/>
      </w:rPr>
      <w:t xml:space="preserve">Page </w:t>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978" w:val="right"/>
      </w:tabs>
      <w:spacing w:after="40"/>
      <w:jc w:val="left"/>
      <w:pBdr>
        <w:bottom w:val="single" w:sz="5" w:space="3" w:color="C9D5DF"/>
      </w:pBdr>
    </w:pPr>
    <w:r>
      <w:rPr>
        <w:rFonts w:ascii="Aptos Display" w:hAnsi="Aptos Display"/>
        <w:b/>
        <w:color w:val="23866C"/>
        <w:sz w:val="16"/>
      </w:rPr>
      <w:t xml:space="preserve">AD-FLEX  |  </w:t>
    </w:r>
    <w:r>
      <w:rPr>
        <w:rFonts w:ascii="Aptos" w:hAnsi="Aptos"/>
        <w:color w:val="607284"/>
        <w:sz w:val="16"/>
      </w:rPr>
      <w:t>Monthly Project Progress Report</w:t>
    </w:r>
    <w:r>
      <w:tab/>
    </w:r>
    <w:r>
      <w:rPr>
        <w:rFonts w:ascii="Aptos" w:hAnsi="Aptos"/>
        <w:color w:val="607284"/>
        <w:sz w:val="16"/>
      </w:rPr>
      <w:t>Document control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978" w:val="right"/>
      </w:tabs>
      <w:spacing w:after="40"/>
      <w:jc w:val="left"/>
      <w:pBdr>
        <w:bottom w:val="single" w:sz="5" w:space="3" w:color="C9D5DF"/>
      </w:pBdr>
    </w:pPr>
    <w:r>
      <w:rPr>
        <w:rFonts w:ascii="Aptos Display" w:hAnsi="Aptos Display"/>
        <w:b/>
        <w:color w:val="23866C"/>
        <w:sz w:val="16"/>
      </w:rPr>
      <w:t xml:space="preserve">AD-FLEX  |  </w:t>
    </w:r>
    <w:r>
      <w:rPr>
        <w:rFonts w:ascii="Aptos" w:hAnsi="Aptos"/>
        <w:color w:val="607284"/>
        <w:sz w:val="16"/>
      </w:rPr>
      <w:t>Monthly Project Progress Report</w:t>
    </w:r>
    <w:r>
      <w:tab/>
    </w:r>
    <w:r>
      <w:rPr>
        <w:rFonts w:ascii="Aptos" w:hAnsi="Aptos"/>
        <w:color w:val="607284"/>
        <w:sz w:val="16"/>
      </w:rPr>
      <w:t>August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Muhammad Waseem</Manager>
  <Company>Maynooth University</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AD-FLEX Monthly Project Progress Report - August 2026</dc:title>
  <dc:subject>AD-FLEX monthly project progress report for Paolo Cammardella</dc:subject>
  <dc:creator>Mani Tilakraj Sharma</dc:creator>
  <cp:keywords>AD-FLEX, 25250889, Muhammad Waseem, Paolo Cammardella, MSc Business Analytics, Maynooth University</cp:keywords>
  <dc:description>Project Name: AD-FLEX; Student Name: Mani Tilakraj Sharma; Student Number: 25250889; Faculty Mentor: Muhammad Waseem; Client: Paolo Cammardella; Programme: MSc Business Analytics; University: Maynooth University</dc:description>
  <cp:lastModifiedBy>Mani Tilakraj Sharma</cp:lastModifiedBy>
  <cp:revision>1</cp:revision>
  <dcterms:created xsi:type="dcterms:W3CDTF">2013-12-23T23:15:00Z</dcterms:created>
  <dcterms:modified xsi:type="dcterms:W3CDTF">2013-12-23T23:15:00Z</dcterms:modified>
  <cp:category>Monthly Project Progress 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Name">
    <vt:lpwstr>AD-FLEX</vt:lpwstr>
  </property>
  <property fmtid="{D5CDD505-2E9C-101B-9397-08002B2CF9AE}" pid="3" name="Student Name">
    <vt:lpwstr>Mani Tilakraj Sharma</vt:lpwstr>
  </property>
  <property fmtid="{D5CDD505-2E9C-101B-9397-08002B2CF9AE}" pid="4" name="Student Number">
    <vt:lpwstr>25250889</vt:lpwstr>
  </property>
  <property fmtid="{D5CDD505-2E9C-101B-9397-08002B2CF9AE}" pid="5" name="Faculty Mentor">
    <vt:lpwstr>Muhammad Waseem</vt:lpwstr>
  </property>
  <property fmtid="{D5CDD505-2E9C-101B-9397-08002B2CF9AE}" pid="6" name="Client">
    <vt:lpwstr>Paolo Cammardella</vt:lpwstr>
  </property>
  <property fmtid="{D5CDD505-2E9C-101B-9397-08002B2CF9AE}" pid="7" name="Programme">
    <vt:lpwstr>MSc Business Analytics</vt:lpwstr>
  </property>
  <property fmtid="{D5CDD505-2E9C-101B-9397-08002B2CF9AE}" pid="8" name="University">
    <vt:lpwstr>Maynooth University</vt:lpwstr>
  </property>
</Properties>
</file>