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B97A" w14:textId="77777777" w:rsidR="00B746E9" w:rsidRDefault="00B746E9" w:rsidP="00B746E9">
      <w:r>
        <w:t>Sales Analysis – Key Insights</w:t>
      </w:r>
    </w:p>
    <w:p w14:paraId="50276B17" w14:textId="77777777" w:rsidR="00B746E9" w:rsidRDefault="00B746E9" w:rsidP="00B746E9"/>
    <w:p w14:paraId="13442F3E" w14:textId="77777777" w:rsidR="00B746E9" w:rsidRDefault="00B746E9" w:rsidP="00B746E9">
      <w:r>
        <w:t>1. Technology category generates the highest sales among all categories.</w:t>
      </w:r>
    </w:p>
    <w:p w14:paraId="39D527DA" w14:textId="77777777" w:rsidR="00B746E9" w:rsidRDefault="00B746E9" w:rsidP="00B746E9">
      <w:r>
        <w:t>2. West region is the top-performing region contributing the largest share of sales.</w:t>
      </w:r>
    </w:p>
    <w:p w14:paraId="4166B73A" w14:textId="77777777" w:rsidR="00B746E9" w:rsidRDefault="00B746E9" w:rsidP="00B746E9">
      <w:r>
        <w:t>3. Consumer segment drives most of the overall revenue.</w:t>
      </w:r>
    </w:p>
    <w:p w14:paraId="1C900E87" w14:textId="77777777" w:rsidR="00B746E9" w:rsidRDefault="00B746E9" w:rsidP="00B746E9">
      <w:r>
        <w:t>4. Office Supplies category shows comparatively lower sales performance.</w:t>
      </w:r>
    </w:p>
    <w:p w14:paraId="702EA07B" w14:textId="5D8A1E71" w:rsidR="0098271B" w:rsidRPr="00B746E9" w:rsidRDefault="00B746E9" w:rsidP="00B746E9">
      <w:r>
        <w:t>5. Central region has lower profitability, indicating scope for improvement.</w:t>
      </w:r>
    </w:p>
    <w:sectPr w:rsidR="0098271B" w:rsidRPr="00B74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E9"/>
    <w:rsid w:val="00867155"/>
    <w:rsid w:val="0098271B"/>
    <w:rsid w:val="00B7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F8AA"/>
  <w15:chartTrackingRefBased/>
  <w15:docId w15:val="{9635B4A7-EBED-4E9F-9EEB-3584E68E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kumari Singh</dc:creator>
  <cp:keywords/>
  <dc:description/>
  <cp:lastModifiedBy>Manisha kumari Singh</cp:lastModifiedBy>
  <cp:revision>1</cp:revision>
  <dcterms:created xsi:type="dcterms:W3CDTF">2026-01-17T13:29:00Z</dcterms:created>
  <dcterms:modified xsi:type="dcterms:W3CDTF">2026-01-17T13:31:00Z</dcterms:modified>
</cp:coreProperties>
</file>