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pacing w:val="20"/>
          <w:sz w:val="20"/>
          <w:szCs w:val="20"/>
        </w:rPr>
        <w:t xml:space="preserve">COMPETITIVE STRATEGY</w:t>
      </w:r>
    </w:p>
    <w:p>
      <w:pPr>
        <w:spacing w:after="200"/>
      </w:pPr>
      <w:r>
        <w:rPr>
          <w:b/>
          <w:bCs/>
          <w:color w:val="312E81"/>
          <w:sz w:val="56"/>
          <w:szCs w:val="56"/>
        </w:rPr>
        <w:t xml:space="preserve">Sift </w:t>
      </w:r>
      <w:r>
        <w:rPr>
          <w:b/>
          <w:bCs/>
          <w:color w:val="222222"/>
          <w:sz w:val="56"/>
          <w:szCs w:val="56"/>
        </w:rPr>
        <w:t xml:space="preserve">vs. the AI-Scientist Landscape</w:t>
      </w:r>
    </w:p>
    <w:p>
      <w:pPr>
        <w:spacing w:after="60"/>
      </w:pPr>
      <w:r>
        <w:rPr>
          <w:i/>
          <w:iCs/>
          <w:color w:val="555566"/>
          <w:sz w:val="24"/>
          <w:szCs w:val="24"/>
        </w:rPr>
        <w:t xml:space="preserve">A 2026 update: from “literature review tool” to a crowded, capital-heavy market for autonomous scientific discovery.</w:t>
      </w:r>
    </w:p>
    <w:p>
      <w:pPr>
        <w:pBdr>
          <w:top w:val="single" w:color="D8DAE5" w:sz="6" w:space="8"/>
        </w:pBdr>
        <w:spacing w:before="800"/>
      </w:pPr>
      <w:r>
        <w:rPr>
          <w:color w:val="555566"/>
          <w:sz w:val="18"/>
          <w:szCs w:val="18"/>
        </w:rPr>
        <w:t xml:space="preserve">August 2026</w:t>
      </w:r>
    </w:p>
    <w:p>
      <w:r>
        <w:rPr>
          <w:color w:val="555566"/>
          <w:sz w:val="18"/>
          <w:szCs w:val="18"/>
        </w:rPr>
        <w:t xml:space="preserve">Prepared for the Sift team</w:t>
      </w:r>
    </w:p>
    <w:p>
      <w:pPr>
        <w:sectPr>
          <w:pgSz w:w="12240" w:h="15840" w:orient="portrait"/>
          <w:pgMar w:top="1800" w:right="1080" w:bottom="1080" w:left="1080" w:header="708" w:footer="708" w:gutter="0"/>
          <w:pgNumType/>
          <w:docGrid w:linePitch="360"/>
        </w:sectPr>
      </w:pPr>
    </w:p>
    <w:p>
      <w:pPr>
        <w:pStyle w:val="Heading1"/>
        <w:pBdr>
          <w:bottom w:val="single" w:color="4F46E5" w:sz="8" w:space="4"/>
        </w:pBdr>
        <w:spacing w:after="160" w:before="420"/>
      </w:pPr>
      <w:r>
        <w:rPr>
          <w:b/>
          <w:bCs/>
          <w:color w:val="312E81"/>
          <w:sz w:val="30"/>
          <w:szCs w:val="30"/>
        </w:rPr>
        <w:t xml:space="preserve">Executive Summary</w:t>
      </w:r>
    </w:p>
    <w:p>
      <w:pPr>
        <w:spacing w:after="160" w:line="300"/>
      </w:pPr>
      <w:r>
        <w:rPr>
          <w:b w:val="false"/>
          <w:bCs w:val="false"/>
          <w:i w:val="false"/>
          <w:iCs w:val="false"/>
          <w:color w:val="222222"/>
          <w:sz w:val="21"/>
          <w:szCs w:val="21"/>
        </w:rPr>
        <w:t xml:space="preserve">Since Sift's last competitive review, the relevant market has moved. What used to be a comparison against Perplexity's Deep Research is now a comparison against a wave of well-funded “AI scientist” startups — nine of which are named in the snapshot you shared — plus Google's own entry (Gemini for Science) and mature literature tools (Elicit, Consensus). Total disclosed funding across just those nine startups is well over $2.4 billion, most of it raised in the last 12 months.</w:t>
      </w:r>
    </w:p>
    <w:p>
      <w:pPr>
        <w:spacing w:after="160" w:line="300"/>
      </w:pPr>
      <w:r>
        <w:rPr>
          <w:b w:val="false"/>
          <w:bCs w:val="false"/>
          <w:i w:val="false"/>
          <w:iCs w:val="false"/>
          <w:color w:val="222222"/>
          <w:sz w:val="21"/>
          <w:szCs w:val="21"/>
        </w:rPr>
        <w:t xml:space="preserve">The good news: almost none of that money is chasing Sift's actual product. It splits into three tiers with very different economics and very different targets, and Sift only overlaps meaningfully with one of them.</w:t>
      </w:r>
    </w:p>
    <w:p>
      <w:pPr>
        <w:pStyle w:val="ListParagraph"/>
        <w:numPr>
          <w:ilvl w:val="0"/>
          <w:numId w:val="2"/>
        </w:numPr>
        <w:spacing w:after="100" w:line="290"/>
      </w:pPr>
      <w:r>
        <w:rPr>
          <w:b/>
          <w:bCs/>
          <w:sz w:val="21"/>
          <w:szCs w:val="21"/>
        </w:rPr>
        <w:t xml:space="preserve">Tier 1 — Self-driving labs. </w:t>
      </w:r>
      <w:r>
        <w:rPr>
          <w:sz w:val="21"/>
          <w:szCs w:val="21"/>
        </w:rPr>
        <w:t xml:space="preserve"> — companies building physical or compute-scale automation for running experiments (materials, chemistry, ML training runs). They need $300M+ because they're buying lab robots and GPU clusters, not because literature synthesis is hard.</w:t>
      </w:r>
    </w:p>
    <w:p>
      <w:pPr>
        <w:pStyle w:val="ListParagraph"/>
        <w:numPr>
          <w:ilvl w:val="0"/>
          <w:numId w:val="2"/>
        </w:numPr>
        <w:spacing w:after="100" w:line="290"/>
      </w:pPr>
      <w:r>
        <w:rPr>
          <w:b/>
          <w:bCs/>
          <w:sz w:val="21"/>
          <w:szCs w:val="21"/>
        </w:rPr>
        <w:t xml:space="preserve">Tier 2 — Meta-research / recursive self-improvement. </w:t>
      </w:r>
      <w:r>
        <w:rPr>
          <w:sz w:val="21"/>
          <w:szCs w:val="21"/>
        </w:rPr>
        <w:t xml:space="preserve"> — companies building AI that improves AI itself. Philosophically adjacent, but not aimed at helping a human researcher read papers.</w:t>
      </w:r>
    </w:p>
    <w:p>
      <w:pPr>
        <w:pStyle w:val="ListParagraph"/>
        <w:numPr>
          <w:ilvl w:val="0"/>
          <w:numId w:val="2"/>
        </w:numPr>
        <w:spacing w:after="100" w:line="290"/>
      </w:pPr>
      <w:r>
        <w:rPr>
          <w:b/>
          <w:bCs/>
          <w:sz w:val="21"/>
          <w:szCs w:val="21"/>
        </w:rPr>
        <w:t xml:space="preserve">Tier 3 — Literature &amp; knowledge synthesis. </w:t>
      </w:r>
      <w:r>
        <w:rPr>
          <w:sz w:val="21"/>
          <w:szCs w:val="21"/>
        </w:rPr>
        <w:t xml:space="preserve"> — tools that read papers and produce synthesized, cited answers. This is Sift's actual competitive set: Edison Scientific's Kosmos, Elicit, Consensus, Google's Literature Insights, and Perplexity Deep Research.</w:t>
      </w:r>
    </w:p>
    <w:p>
      <w:pPr>
        <w:spacing w:after="160" w:line="300"/>
      </w:pPr>
      <w:r>
        <w:rPr>
          <w:b w:val="false"/>
          <w:bCs w:val="false"/>
          <w:i w:val="false"/>
          <w:iCs w:val="false"/>
          <w:color w:val="222222"/>
          <w:sz w:val="21"/>
          <w:szCs w:val="21"/>
        </w:rPr>
        <w:t xml:space="preserve">The strategic takeaway is simple: don't try to out-capitalize Tier 1 or out-abstract Tier 2. Compete in Tier 3, where Sift's actual advantages — a visible, steerable multi-agent pipeline; in-app PDF annotation and a real workspace; and a direct bridge from “what's known” to “what experiment to run next” — are real and mostly undefended by the incumbents there.</w:t>
      </w:r>
    </w:p>
    <w:p>
      <w:pPr>
        <w:pStyle w:val="Heading1"/>
        <w:pBdr>
          <w:bottom w:val="single" w:color="4F46E5" w:sz="8" w:space="4"/>
        </w:pBdr>
        <w:spacing w:after="160" w:before="420"/>
      </w:pPr>
      <w:r>
        <w:rPr>
          <w:b/>
          <w:bCs/>
          <w:color w:val="312E81"/>
          <w:sz w:val="30"/>
          <w:szCs w:val="30"/>
        </w:rPr>
        <w:t xml:space="preserve">The Market Has Bifurcated</w:t>
      </w:r>
    </w:p>
    <w:p>
      <w:pPr>
        <w:spacing w:after="160" w:line="300"/>
      </w:pPr>
      <w:r>
        <w:rPr>
          <w:b w:val="false"/>
          <w:bCs w:val="false"/>
          <w:i w:val="false"/>
          <w:iCs w:val="false"/>
          <w:color w:val="222222"/>
          <w:sz w:val="21"/>
          <w:szCs w:val="21"/>
        </w:rPr>
        <w:t xml:space="preserve">Every company below describes itself as building “AI for science” or an “AI scientist,” which makes them sound like the same category. They aren't. The tell is where the money goes: infrastructure (robots, reactors, GPU-hours) versus software (a synthesis or reasoning layer over existing literature and data).</w:t>
      </w:r>
    </w:p>
    <w:p>
      <w:pPr>
        <w:pStyle w:val="Heading2"/>
        <w:spacing w:after="120" w:before="260"/>
      </w:pPr>
      <w:r>
        <w:rPr>
          <w:b/>
          <w:bCs/>
          <w:color w:val="312E81"/>
          <w:sz w:val="24"/>
          <w:szCs w:val="24"/>
        </w:rPr>
        <w:t xml:space="preserve">Tier 1 — Self-driving labs &amp; closed-loop automation</w:t>
      </w:r>
    </w:p>
    <w:p>
      <w:pPr>
        <w:spacing w:after="160" w:line="300"/>
      </w:pPr>
      <w:r>
        <w:rPr>
          <w:b w:val="false"/>
          <w:bCs w:val="false"/>
          <w:i w:val="false"/>
          <w:iCs w:val="false"/>
          <w:color w:val="222222"/>
          <w:sz w:val="21"/>
          <w:szCs w:val="21"/>
        </w:rPr>
        <w:t xml:space="preserve">Capital-intensive, infrastructure-heavy, targeting enterprise R&amp;D (materials, chemistry, physics, pharma) rather than individual researchers. This tier is not a near-term threat to Sift — it is not a threat at all, because it doesn't serve the same job: it replaces bench work, not literature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2450"/>
        <w:gridCol w:w="3300"/>
      </w:tblGrid>
      <w:tr>
        <w:trPr>
          <w:tblHeader/>
        </w:trPr>
        <w:tc>
          <w:tcPr>
            <w:tcW w:type="dxa" w:w="1650"/>
            <w:shd w:fill="4F46E5" w:val="clear"/>
            <w:tcMar>
              <w:top w:type="dxa" w:w="90"/>
              <w:left w:type="dxa" w:w="110"/>
              <w:bottom w:type="dxa" w:w="90"/>
              <w:right w:type="dxa" w:w="110"/>
            </w:tcMar>
            <w:vAlign w:val="center"/>
          </w:tcPr>
          <w:p>
            <w:pPr>
              <w:spacing w:after="40"/>
            </w:pPr>
            <w:r>
              <w:rPr>
                <w:b/>
                <w:bCs/>
                <w:color w:val="FFFFFF"/>
                <w:sz w:val="18"/>
                <w:szCs w:val="18"/>
              </w:rPr>
              <w:t xml:space="preserve">Company</w:t>
            </w:r>
          </w:p>
        </w:tc>
        <w:tc>
          <w:tcPr>
            <w:tcW w:type="dxa" w:w="1500"/>
            <w:shd w:fill="4F46E5" w:val="clear"/>
            <w:tcMar>
              <w:top w:type="dxa" w:w="90"/>
              <w:left w:type="dxa" w:w="110"/>
              <w:bottom w:type="dxa" w:w="90"/>
              <w:right w:type="dxa" w:w="110"/>
            </w:tcMar>
            <w:vAlign w:val="center"/>
          </w:tcPr>
          <w:p>
            <w:pPr>
              <w:spacing w:after="40"/>
            </w:pPr>
            <w:r>
              <w:rPr>
                <w:b/>
                <w:bCs/>
                <w:color w:val="FFFFFF"/>
                <w:sz w:val="18"/>
                <w:szCs w:val="18"/>
              </w:rPr>
              <w:t xml:space="preserve">Funding</w:t>
            </w:r>
          </w:p>
        </w:tc>
        <w:tc>
          <w:tcPr>
            <w:tcW w:type="dxa" w:w="2450"/>
            <w:shd w:fill="4F46E5" w:val="clear"/>
            <w:tcMar>
              <w:top w:type="dxa" w:w="90"/>
              <w:left w:type="dxa" w:w="110"/>
              <w:bottom w:type="dxa" w:w="90"/>
              <w:right w:type="dxa" w:w="110"/>
            </w:tcMar>
            <w:vAlign w:val="center"/>
          </w:tcPr>
          <w:p>
            <w:pPr>
              <w:spacing w:after="40"/>
            </w:pPr>
            <w:r>
              <w:rPr>
                <w:b/>
                <w:bCs/>
                <w:color w:val="FFFFFF"/>
                <w:sz w:val="18"/>
                <w:szCs w:val="18"/>
              </w:rPr>
              <w:t xml:space="preserve">Backers</w:t>
            </w:r>
          </w:p>
        </w:tc>
        <w:tc>
          <w:tcPr>
            <w:tcW w:type="dxa" w:w="3300"/>
            <w:shd w:fill="4F46E5" w:val="clear"/>
            <w:tcMar>
              <w:top w:type="dxa" w:w="90"/>
              <w:left w:type="dxa" w:w="110"/>
              <w:bottom w:type="dxa" w:w="90"/>
              <w:right w:type="dxa" w:w="110"/>
            </w:tcMar>
            <w:vAlign w:val="center"/>
          </w:tcPr>
          <w:p>
            <w:pPr>
              <w:spacing w:after="40"/>
            </w:pPr>
            <w:r>
              <w:rPr>
                <w:b/>
                <w:bCs/>
                <w:color w:val="FFFFFF"/>
                <w:sz w:val="18"/>
                <w:szCs w:val="18"/>
              </w:rPr>
              <w:t xml:space="preserve">What it actually does</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CuspAI
(f. 2024)</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&gt;$650M
($2.6B val.)</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Kleiner Perkins, NEA, Bezos Expeditions</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AI-driven materials/molecular design — an “AI Materials Foundry” that proposes and screens new compounds for partners.</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Discovery Loop
(f. 2026)</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Undisclosed</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Khosla Ventures, Radical Ventures; Google compute</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Jeff Dean's venture to automate the experimental loop itself — design, run, score, redesign — starting in ML research, expanding to chip design, biology, materials.</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Lila Sciences
(f. 2023)</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$550M
($1.3B+ val.)</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Flagship Pioneering (Moderna's creator), General Catalyst, ADIA</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“AI Science Factories” — foundation models wired directly to lab robots (liquid handlers, bioreactors) across therapeutics, materials, energy, chemicals, aerospace.</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Periodic Labs
(f. 2025)</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$300M
(in talks for $500M+ at $7.5B val.)</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a16z, Nvidia NVentures, Bezos, Schmidt, Jeff Dean</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Ex-OpenAI/DeepMind team automating physics &amp; chemistry experiments (superconductors, chip heat dissipation) with AI + robotic labs.</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Autoscience
(f. 2025)</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$14M
seed</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General Catalyst, Toyota Ventures, Perplexity Fund</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Automates ML model research specifically — its agent “Carl” authored a peer-reviewed paper and won a Kaggle silver medal; targets finance, manufacturing, fraud detection.</w:t>
            </w:r>
          </w:p>
        </w:tc>
      </w:tr>
    </w:tbl>
    <w:p>
      <w:pPr>
        <w:pStyle w:val="Heading2"/>
        <w:spacing w:after="120" w:before="260"/>
      </w:pPr>
      <w:r>
        <w:rPr>
          <w:b/>
          <w:bCs/>
          <w:color w:val="312E81"/>
          <w:sz w:val="24"/>
          <w:szCs w:val="24"/>
        </w:rPr>
        <w:t xml:space="preserve">Tier 2 — Meta-research: AI that improves AI</w:t>
      </w:r>
    </w:p>
    <w:p>
      <w:pPr>
        <w:spacing w:after="160" w:line="300"/>
      </w:pPr>
      <w:r>
        <w:rPr>
          <w:b w:val="false"/>
          <w:bCs w:val="false"/>
          <w:i w:val="false"/>
          <w:iCs w:val="false"/>
          <w:color w:val="222222"/>
          <w:sz w:val="21"/>
          <w:szCs w:val="21"/>
        </w:rPr>
        <w:t xml:space="preserve">Not aimed at domain scientists at all — aimed at automating the AI research loop itself (recursive self-improvement). Sakana's original “AI Scientist” project (idea → experiment → paper → peer review, published in Nature in March 2026) is the one piece of this tier worth watching, because it demonstrates the full pipeline Sift covers up through the Writer stage, minus human-in-the-loop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2450"/>
        <w:gridCol w:w="3300"/>
      </w:tblGrid>
      <w:tr>
        <w:trPr>
          <w:tblHeader/>
        </w:trPr>
        <w:tc>
          <w:tcPr>
            <w:tcW w:type="dxa" w:w="1650"/>
            <w:shd w:fill="4F46E5" w:val="clear"/>
            <w:tcMar>
              <w:top w:type="dxa" w:w="90"/>
              <w:left w:type="dxa" w:w="110"/>
              <w:bottom w:type="dxa" w:w="90"/>
              <w:right w:type="dxa" w:w="110"/>
            </w:tcMar>
            <w:vAlign w:val="center"/>
          </w:tcPr>
          <w:p>
            <w:pPr>
              <w:spacing w:after="40"/>
            </w:pPr>
            <w:r>
              <w:rPr>
                <w:b/>
                <w:bCs/>
                <w:color w:val="FFFFFF"/>
                <w:sz w:val="18"/>
                <w:szCs w:val="18"/>
              </w:rPr>
              <w:t xml:space="preserve">Company</w:t>
            </w:r>
          </w:p>
        </w:tc>
        <w:tc>
          <w:tcPr>
            <w:tcW w:type="dxa" w:w="1500"/>
            <w:shd w:fill="4F46E5" w:val="clear"/>
            <w:tcMar>
              <w:top w:type="dxa" w:w="90"/>
              <w:left w:type="dxa" w:w="110"/>
              <w:bottom w:type="dxa" w:w="90"/>
              <w:right w:type="dxa" w:w="110"/>
            </w:tcMar>
            <w:vAlign w:val="center"/>
          </w:tcPr>
          <w:p>
            <w:pPr>
              <w:spacing w:after="40"/>
            </w:pPr>
            <w:r>
              <w:rPr>
                <w:b/>
                <w:bCs/>
                <w:color w:val="FFFFFF"/>
                <w:sz w:val="18"/>
                <w:szCs w:val="18"/>
              </w:rPr>
              <w:t xml:space="preserve">Funding</w:t>
            </w:r>
          </w:p>
        </w:tc>
        <w:tc>
          <w:tcPr>
            <w:tcW w:type="dxa" w:w="2450"/>
            <w:shd w:fill="4F46E5" w:val="clear"/>
            <w:tcMar>
              <w:top w:type="dxa" w:w="90"/>
              <w:left w:type="dxa" w:w="110"/>
              <w:bottom w:type="dxa" w:w="90"/>
              <w:right w:type="dxa" w:w="110"/>
            </w:tcMar>
            <w:vAlign w:val="center"/>
          </w:tcPr>
          <w:p>
            <w:pPr>
              <w:spacing w:after="40"/>
            </w:pPr>
            <w:r>
              <w:rPr>
                <w:b/>
                <w:bCs/>
                <w:color w:val="FFFFFF"/>
                <w:sz w:val="18"/>
                <w:szCs w:val="18"/>
              </w:rPr>
              <w:t xml:space="preserve">Backers</w:t>
            </w:r>
          </w:p>
        </w:tc>
        <w:tc>
          <w:tcPr>
            <w:tcW w:type="dxa" w:w="3300"/>
            <w:shd w:fill="4F46E5" w:val="clear"/>
            <w:tcMar>
              <w:top w:type="dxa" w:w="90"/>
              <w:left w:type="dxa" w:w="110"/>
              <w:bottom w:type="dxa" w:w="90"/>
              <w:right w:type="dxa" w:w="110"/>
            </w:tcMar>
            <w:vAlign w:val="center"/>
          </w:tcPr>
          <w:p>
            <w:pPr>
              <w:spacing w:after="40"/>
            </w:pPr>
            <w:r>
              <w:rPr>
                <w:b/>
                <w:bCs/>
                <w:color w:val="FFFFFF"/>
                <w:sz w:val="18"/>
                <w:szCs w:val="18"/>
              </w:rPr>
              <w:t xml:space="preserve">What it actually does</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Mirendil
(f. 2025)</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$200M seed
($1B val.)</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a16z, Kleiner Perkins, Nvidia; $100M+ Google Cloud deal</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Ex-Anthropic researchers automating parts of the AI research loop (recursive self-improvement) to give universities frontier-level R&amp;D tools.</w:t>
            </w:r>
          </w:p>
        </w:tc>
      </w:tr>
      <w:tr>
        <w:tc>
          <w:tcPr>
            <w:tcW w:type="dxa" w:w="1650"/>
            <w:tcMar>
              <w:top w:type="dxa" w:w="90"/>
              <w:left w:type="dxa" w:w="110"/>
              <w:bottom w:type="dxa" w:w="90"/>
              <w:right w:type="dxa" w:w="110"/>
            </w:tcMar>
            <w:vAlign w:val="center"/>
          </w:tcPr>
          <w:p>
            <w:pPr>
              <w:spacing w:after="40"/>
            </w:pPr>
            <w:r>
              <w:rPr>
                <w:b w:val="false"/>
                <w:bCs w:val="false"/>
                <w:color w:val="222222"/>
                <w:sz w:val="18"/>
                <w:szCs w:val="18"/>
              </w:rPr>
              <w:t xml:space="preserve">Sakana AI
(f. 2023)</w:t>
            </w:r>
          </w:p>
        </w:tc>
        <w:tc>
          <w:tcPr>
            <w:tcW w:type="dxa" w:w="1500"/>
            <w:tcMar>
              <w:top w:type="dxa" w:w="90"/>
              <w:left w:type="dxa" w:w="110"/>
              <w:bottom w:type="dxa" w:w="90"/>
              <w:right w:type="dxa" w:w="110"/>
            </w:tcMar>
            <w:vAlign w:val="center"/>
          </w:tcPr>
          <w:p>
            <w:pPr>
              <w:spacing w:after="40"/>
            </w:pPr>
            <w:r>
              <w:rPr>
                <w:b w:val="false"/>
                <w:bCs w:val="false"/>
                <w:color w:val="222222"/>
                <w:sz w:val="18"/>
                <w:szCs w:val="18"/>
              </w:rPr>
              <w:t xml:space="preserve">&gt;$230M
($2.6B val.)</w:t>
            </w:r>
          </w:p>
        </w:tc>
        <w:tc>
          <w:tcPr>
            <w:tcW w:type="dxa" w:w="2450"/>
            <w:tcMar>
              <w:top w:type="dxa" w:w="90"/>
              <w:left w:type="dxa" w:w="110"/>
              <w:bottom w:type="dxa" w:w="90"/>
              <w:right w:type="dxa" w:w="110"/>
            </w:tcMar>
            <w:vAlign w:val="center"/>
          </w:tcPr>
          <w:p>
            <w:pPr>
              <w:spacing w:after="40"/>
            </w:pPr>
            <w:r>
              <w:rPr>
                <w:b w:val="false"/>
                <w:bCs w:val="false"/>
                <w:color w:val="222222"/>
                <w:sz w:val="17"/>
                <w:szCs w:val="17"/>
              </w:rPr>
              <w:t xml:space="preserve">Khosla Ventures, NEA, Lux Capital, Nvidia</w:t>
            </w:r>
          </w:p>
        </w:tc>
        <w:tc>
          <w:tcPr>
            <w:tcW w:type="dxa" w:w="3300"/>
            <w:tcMar>
              <w:top w:type="dxa" w:w="90"/>
              <w:left w:type="dxa" w:w="110"/>
              <w:bottom w:type="dxa" w:w="90"/>
              <w:right w:type="dxa" w:w="110"/>
            </w:tcMar>
            <w:vAlign w:val="center"/>
          </w:tcPr>
          <w:p>
            <w:pPr>
              <w:spacing w:after="40"/>
            </w:pPr>
            <w:r>
              <w:rPr>
                <w:b w:val="false"/>
                <w:bCs w:val="false"/>
                <w:color w:val="222222"/>
                <w:sz w:val="17"/>
                <w:szCs w:val="17"/>
              </w:rPr>
              <w:t xml:space="preserve">“AI Scientist” (idea→experiment→paper→review, published in Nature) plus a new Recursive Self-Improvement Lab exploring open-ended AI coevolution.</w:t>
            </w:r>
          </w:p>
        </w:tc>
      </w:tr>
    </w:tbl>
    <w:p>
      <w:pPr>
        <w:pStyle w:val="Heading2"/>
        <w:spacing w:after="120" w:before="260"/>
      </w:pPr>
      <w:r>
        <w:rPr>
          <w:b/>
          <w:bCs/>
          <w:color w:val="312E81"/>
          <w:sz w:val="24"/>
          <w:szCs w:val="24"/>
        </w:rPr>
        <w:t xml:space="preserve">Tier 3 — Literature &amp; knowledge synthesis (Sift's real competitive set)</w:t>
      </w:r>
    </w:p>
    <w:p>
      <w:pPr>
        <w:spacing w:after="160" w:line="300"/>
      </w:pPr>
      <w:r>
        <w:rPr>
          <w:b w:val="false"/>
          <w:bCs w:val="false"/>
          <w:i w:val="false"/>
          <w:iCs w:val="false"/>
          <w:color w:val="222222"/>
          <w:sz w:val="21"/>
          <w:szCs w:val="21"/>
        </w:rPr>
        <w:t xml:space="preserve">This is the only tier that does what Sift does: take a research question, read the literature, and return a synthesized, cited answer or review. Two of these are meaningfully dangerous — Edison Scientific's Kosmos, because it's free and backed by serious names; and Google's Gemini for Science, because of raw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1450"/>
        <w:gridCol w:w="3450"/>
        <w:gridCol w:w="2250"/>
      </w:tblGrid>
      <w:tr>
        <w:trPr>
          <w:tblHeader/>
        </w:trPr>
        <w:tc>
          <w:tcPr>
            <w:tcW w:type="dxa" w:w="1750"/>
            <w:shd w:fill="4F46E5" w:val="clear"/>
            <w:tcMar>
              <w:top w:type="dxa" w:w="90"/>
              <w:left w:type="dxa" w:w="110"/>
              <w:bottom w:type="dxa" w:w="90"/>
              <w:right w:type="dxa" w:w="110"/>
            </w:tcMar>
            <w:vAlign w:val="center"/>
          </w:tcPr>
          <w:p>
            <w:pPr>
              <w:spacing w:after="40"/>
            </w:pPr>
            <w:r>
              <w:rPr>
                <w:b/>
                <w:bCs/>
                <w:color w:val="FFFFFF"/>
                <w:sz w:val="18"/>
                <w:szCs w:val="18"/>
              </w:rPr>
              <w:t xml:space="preserve">Product</w:t>
            </w:r>
          </w:p>
        </w:tc>
        <w:tc>
          <w:tcPr>
            <w:tcW w:type="dxa" w:w="1450"/>
            <w:shd w:fill="4F46E5" w:val="clear"/>
            <w:tcMar>
              <w:top w:type="dxa" w:w="90"/>
              <w:left w:type="dxa" w:w="110"/>
              <w:bottom w:type="dxa" w:w="90"/>
              <w:right w:type="dxa" w:w="110"/>
            </w:tcMar>
            <w:vAlign w:val="center"/>
          </w:tcPr>
          <w:p>
            <w:pPr>
              <w:spacing w:after="40"/>
            </w:pPr>
            <w:r>
              <w:rPr>
                <w:b/>
                <w:bCs/>
                <w:color w:val="FFFFFF"/>
                <w:sz w:val="18"/>
                <w:szCs w:val="18"/>
              </w:rPr>
              <w:t xml:space="preserve">Backing</w:t>
            </w:r>
          </w:p>
        </w:tc>
        <w:tc>
          <w:tcPr>
            <w:tcW w:type="dxa" w:w="3450"/>
            <w:shd w:fill="4F46E5" w:val="clear"/>
            <w:tcMar>
              <w:top w:type="dxa" w:w="90"/>
              <w:left w:type="dxa" w:w="110"/>
              <w:bottom w:type="dxa" w:w="90"/>
              <w:right w:type="dxa" w:w="110"/>
            </w:tcMar>
            <w:vAlign w:val="center"/>
          </w:tcPr>
          <w:p>
            <w:pPr>
              <w:spacing w:after="40"/>
            </w:pPr>
            <w:r>
              <w:rPr>
                <w:b/>
                <w:bCs/>
                <w:color w:val="FFFFFF"/>
                <w:sz w:val="18"/>
                <w:szCs w:val="18"/>
              </w:rPr>
              <w:t xml:space="preserve">What it does</w:t>
            </w:r>
          </w:p>
        </w:tc>
        <w:tc>
          <w:tcPr>
            <w:tcW w:type="dxa" w:w="2250"/>
            <w:shd w:fill="4F46E5" w:val="clear"/>
            <w:tcMar>
              <w:top w:type="dxa" w:w="90"/>
              <w:left w:type="dxa" w:w="110"/>
              <w:bottom w:type="dxa" w:w="90"/>
              <w:right w:type="dxa" w:w="110"/>
            </w:tcMar>
            <w:vAlign w:val="center"/>
          </w:tcPr>
          <w:p>
            <w:pPr>
              <w:spacing w:after="40"/>
            </w:pPr>
            <w:r>
              <w:rPr>
                <w:b/>
                <w:bCs/>
                <w:color w:val="FFFFFF"/>
                <w:sz w:val="18"/>
                <w:szCs w:val="18"/>
              </w:rPr>
              <w:t xml:space="preserve">Threat level</w:t>
            </w:r>
          </w:p>
        </w:tc>
      </w:tr>
      <w:tr>
        <w:tc>
          <w:tcPr>
            <w:tcW w:type="dxa" w:w="1750"/>
            <w:tcMar>
              <w:top w:type="dxa" w:w="90"/>
              <w:left w:type="dxa" w:w="110"/>
              <w:bottom w:type="dxa" w:w="90"/>
              <w:right w:type="dxa" w:w="110"/>
            </w:tcMar>
            <w:vAlign w:val="center"/>
          </w:tcPr>
          <w:p>
            <w:pPr>
              <w:spacing w:after="40"/>
            </w:pPr>
            <w:r>
              <w:rPr>
                <w:b w:val="false"/>
                <w:bCs w:val="false"/>
                <w:color w:val="222222"/>
                <w:sz w:val="18"/>
                <w:szCs w:val="18"/>
              </w:rPr>
              <w:t xml:space="preserve">Edison Scientific — Kosmos
(spun out of FutureHouse, 2025)</w:t>
            </w:r>
          </w:p>
        </w:tc>
        <w:tc>
          <w:tcPr>
            <w:tcW w:type="dxa" w:w="1450"/>
            <w:tcMar>
              <w:top w:type="dxa" w:w="90"/>
              <w:left w:type="dxa" w:w="110"/>
              <w:bottom w:type="dxa" w:w="90"/>
              <w:right w:type="dxa" w:w="110"/>
            </w:tcMar>
            <w:vAlign w:val="center"/>
          </w:tcPr>
          <w:p>
            <w:pPr>
              <w:spacing w:after="40"/>
            </w:pPr>
            <w:r>
              <w:rPr>
                <w:b w:val="false"/>
                <w:bCs w:val="false"/>
                <w:color w:val="222222"/>
                <w:sz w:val="17"/>
                <w:szCs w:val="17"/>
              </w:rPr>
              <w:t xml:space="preserve">$70M ($250M val.). Spark Capital, Triatomic; Jeff Dean personally.</w:t>
            </w:r>
          </w:p>
        </w:tc>
        <w:tc>
          <w:tcPr>
            <w:tcW w:type="dxa" w:w="3450"/>
            <w:tcMar>
              <w:top w:type="dxa" w:w="90"/>
              <w:left w:type="dxa" w:w="110"/>
              <w:bottom w:type="dxa" w:w="90"/>
              <w:right w:type="dxa" w:w="110"/>
            </w:tcMar>
            <w:vAlign w:val="center"/>
          </w:tcPr>
          <w:p>
            <w:pPr>
              <w:spacing w:after="40"/>
            </w:pPr>
            <w:r>
              <w:rPr>
                <w:b w:val="false"/>
                <w:bCs w:val="false"/>
                <w:color w:val="222222"/>
                <w:sz w:val="17"/>
                <w:szCs w:val="17"/>
              </w:rPr>
              <w:t xml:space="preserve">Reads thousands of papers, runs analyses, generates fully cited reports in one automated pass. Free for ~75,000 academics today; general-purpose across materials, biology, translational medicine.</w:t>
            </w:r>
          </w:p>
        </w:tc>
        <w:tc>
          <w:tcPr>
            <w:tcW w:type="dxa" w:w="2250"/>
            <w:tcMar>
              <w:top w:type="dxa" w:w="90"/>
              <w:left w:type="dxa" w:w="110"/>
              <w:bottom w:type="dxa" w:w="90"/>
              <w:right w:type="dxa" w:w="110"/>
            </w:tcMar>
            <w:vAlign w:val="center"/>
          </w:tcPr>
          <w:p>
            <w:pPr>
              <w:spacing w:after="40"/>
            </w:pPr>
            <w:r>
              <w:rPr>
                <w:b/>
                <w:bCs/>
                <w:color w:val="B42318"/>
                <w:sz w:val="17"/>
                <w:szCs w:val="17"/>
              </w:rPr>
              <w:t xml:space="preserve">High — closest 1:1 overlap, free, credible backers</w:t>
            </w:r>
          </w:p>
        </w:tc>
      </w:tr>
      <w:tr>
        <w:tc>
          <w:tcPr>
            <w:tcW w:type="dxa" w:w="1750"/>
            <w:tcMar>
              <w:top w:type="dxa" w:w="90"/>
              <w:left w:type="dxa" w:w="110"/>
              <w:bottom w:type="dxa" w:w="90"/>
              <w:right w:type="dxa" w:w="110"/>
            </w:tcMar>
            <w:vAlign w:val="center"/>
          </w:tcPr>
          <w:p>
            <w:pPr>
              <w:spacing w:after="40"/>
            </w:pPr>
            <w:r>
              <w:rPr>
                <w:b w:val="false"/>
                <w:bCs w:val="false"/>
                <w:color w:val="222222"/>
                <w:sz w:val="18"/>
                <w:szCs w:val="18"/>
              </w:rPr>
              <w:t xml:space="preserve">Google — Gemini for Science
(launched I/O 2026)</w:t>
            </w:r>
          </w:p>
        </w:tc>
        <w:tc>
          <w:tcPr>
            <w:tcW w:type="dxa" w:w="1450"/>
            <w:tcMar>
              <w:top w:type="dxa" w:w="90"/>
              <w:left w:type="dxa" w:w="110"/>
              <w:bottom w:type="dxa" w:w="90"/>
              <w:right w:type="dxa" w:w="110"/>
            </w:tcMar>
            <w:vAlign w:val="center"/>
          </w:tcPr>
          <w:p>
            <w:pPr>
              <w:spacing w:after="40"/>
            </w:pPr>
            <w:r>
              <w:rPr>
                <w:b w:val="false"/>
                <w:bCs w:val="false"/>
                <w:color w:val="222222"/>
                <w:sz w:val="17"/>
                <w:szCs w:val="17"/>
              </w:rPr>
              <w:t xml:space="preserve">Google-scale distribution; piloted with BASF, Bayer, Daiichi Sankyo, national labs.</w:t>
            </w:r>
          </w:p>
        </w:tc>
        <w:tc>
          <w:tcPr>
            <w:tcW w:type="dxa" w:w="3450"/>
            <w:tcMar>
              <w:top w:type="dxa" w:w="90"/>
              <w:left w:type="dxa" w:w="110"/>
              <w:bottom w:type="dxa" w:w="90"/>
              <w:right w:type="dxa" w:w="110"/>
            </w:tcMar>
            <w:vAlign w:val="center"/>
          </w:tcPr>
          <w:p>
            <w:pPr>
              <w:spacing w:after="40"/>
            </w:pPr>
            <w:r>
              <w:rPr>
                <w:b w:val="false"/>
                <w:bCs w:val="false"/>
                <w:color w:val="222222"/>
                <w:sz w:val="17"/>
                <w:szCs w:val="17"/>
              </w:rPr>
              <w:t xml:space="preserve">Literature Insights (doc synthesis) + Co-Scientist (6-agent hypothesis generation, Nature-published) + Computational Discovery (AlphaEvolve). A full-stack research suite bundled into Gemini.</w:t>
            </w:r>
          </w:p>
        </w:tc>
        <w:tc>
          <w:tcPr>
            <w:tcW w:type="dxa" w:w="2250"/>
            <w:tcMar>
              <w:top w:type="dxa" w:w="90"/>
              <w:left w:type="dxa" w:w="110"/>
              <w:bottom w:type="dxa" w:w="90"/>
              <w:right w:type="dxa" w:w="110"/>
            </w:tcMar>
            <w:vAlign w:val="center"/>
          </w:tcPr>
          <w:p>
            <w:pPr>
              <w:spacing w:after="40"/>
            </w:pPr>
            <w:r>
              <w:rPr>
                <w:b/>
                <w:bCs/>
                <w:color w:val="B42318"/>
                <w:sz w:val="17"/>
                <w:szCs w:val="17"/>
              </w:rPr>
              <w:t xml:space="preserve">High — not a startup's budget, a platform's</w:t>
            </w:r>
          </w:p>
        </w:tc>
      </w:tr>
      <w:tr>
        <w:tc>
          <w:tcPr>
            <w:tcW w:type="dxa" w:w="1750"/>
            <w:tcMar>
              <w:top w:type="dxa" w:w="90"/>
              <w:left w:type="dxa" w:w="110"/>
              <w:bottom w:type="dxa" w:w="90"/>
              <w:right w:type="dxa" w:w="110"/>
            </w:tcMar>
            <w:vAlign w:val="center"/>
          </w:tcPr>
          <w:p>
            <w:pPr>
              <w:spacing w:after="40"/>
            </w:pPr>
            <w:r>
              <w:rPr>
                <w:b w:val="false"/>
                <w:bCs w:val="false"/>
                <w:color w:val="222222"/>
                <w:sz w:val="18"/>
                <w:szCs w:val="18"/>
              </w:rPr>
              <w:t xml:space="preserve">Elicit
(Ought)</w:t>
            </w:r>
          </w:p>
        </w:tc>
        <w:tc>
          <w:tcPr>
            <w:tcW w:type="dxa" w:w="1450"/>
            <w:tcMar>
              <w:top w:type="dxa" w:w="90"/>
              <w:left w:type="dxa" w:w="110"/>
              <w:bottom w:type="dxa" w:w="90"/>
              <w:right w:type="dxa" w:w="110"/>
            </w:tcMar>
            <w:vAlign w:val="center"/>
          </w:tcPr>
          <w:p>
            <w:pPr>
              <w:spacing w:after="40"/>
            </w:pPr>
            <w:r>
              <w:rPr>
                <w:b w:val="false"/>
                <w:bCs w:val="false"/>
                <w:color w:val="222222"/>
                <w:sz w:val="17"/>
                <w:szCs w:val="17"/>
              </w:rPr>
              <w:t xml:space="preserve">Nonprofit-affiliated, mature product, real pricing tiers.</w:t>
            </w:r>
          </w:p>
        </w:tc>
        <w:tc>
          <w:tcPr>
            <w:tcW w:type="dxa" w:w="3450"/>
            <w:tcMar>
              <w:top w:type="dxa" w:w="90"/>
              <w:left w:type="dxa" w:w="110"/>
              <w:bottom w:type="dxa" w:w="90"/>
              <w:right w:type="dxa" w:w="110"/>
            </w:tcMar>
            <w:vAlign w:val="center"/>
          </w:tcPr>
          <w:p>
            <w:pPr>
              <w:spacing w:after="40"/>
            </w:pPr>
            <w:r>
              <w:rPr>
                <w:b w:val="false"/>
                <w:bCs w:val="false"/>
                <w:color w:val="222222"/>
                <w:sz w:val="17"/>
                <w:szCs w:val="17"/>
              </w:rPr>
              <w:t xml:space="preserve">138M-paper index; Fast/Balanced/Comprehensive report modes (~50/200/500 sources); systematic-review screening up to 40,000 papers on Enterprise.</w:t>
            </w:r>
          </w:p>
        </w:tc>
        <w:tc>
          <w:tcPr>
            <w:tcW w:type="dxa" w:w="2250"/>
            <w:tcMar>
              <w:top w:type="dxa" w:w="90"/>
              <w:left w:type="dxa" w:w="110"/>
              <w:bottom w:type="dxa" w:w="90"/>
              <w:right w:type="dxa" w:w="110"/>
            </w:tcMar>
            <w:vAlign w:val="center"/>
          </w:tcPr>
          <w:p>
            <w:pPr>
              <w:spacing w:after="40"/>
            </w:pPr>
            <w:r>
              <w:rPr>
                <w:b/>
                <w:bCs/>
                <w:color w:val="9A6700"/>
                <w:sz w:val="17"/>
                <w:szCs w:val="17"/>
              </w:rPr>
              <w:t xml:space="preserve">Medium — established, but narrower workflow than Sift</w:t>
            </w:r>
          </w:p>
        </w:tc>
      </w:tr>
      <w:tr>
        <w:tc>
          <w:tcPr>
            <w:tcW w:type="dxa" w:w="1750"/>
            <w:tcMar>
              <w:top w:type="dxa" w:w="90"/>
              <w:left w:type="dxa" w:w="110"/>
              <w:bottom w:type="dxa" w:w="90"/>
              <w:right w:type="dxa" w:w="110"/>
            </w:tcMar>
            <w:vAlign w:val="center"/>
          </w:tcPr>
          <w:p>
            <w:pPr>
              <w:spacing w:after="40"/>
            </w:pPr>
            <w:r>
              <w:rPr>
                <w:b w:val="false"/>
                <w:bCs w:val="false"/>
                <w:color w:val="222222"/>
                <w:sz w:val="18"/>
                <w:szCs w:val="18"/>
              </w:rPr>
              <w:t xml:space="preserve">Consensus</w:t>
            </w:r>
          </w:p>
        </w:tc>
        <w:tc>
          <w:tcPr>
            <w:tcW w:type="dxa" w:w="1450"/>
            <w:tcMar>
              <w:top w:type="dxa" w:w="90"/>
              <w:left w:type="dxa" w:w="110"/>
              <w:bottom w:type="dxa" w:w="90"/>
              <w:right w:type="dxa" w:w="110"/>
            </w:tcMar>
            <w:vAlign w:val="center"/>
          </w:tcPr>
          <w:p>
            <w:pPr>
              <w:spacing w:after="40"/>
            </w:pPr>
            <w:r>
              <w:rPr>
                <w:b w:val="false"/>
                <w:bCs w:val="false"/>
                <w:color w:val="222222"/>
                <w:sz w:val="17"/>
                <w:szCs w:val="17"/>
              </w:rPr>
              <w:t xml:space="preserve">Independent product.</w:t>
            </w:r>
          </w:p>
        </w:tc>
        <w:tc>
          <w:tcPr>
            <w:tcW w:type="dxa" w:w="3450"/>
            <w:tcMar>
              <w:top w:type="dxa" w:w="90"/>
              <w:left w:type="dxa" w:w="110"/>
              <w:bottom w:type="dxa" w:w="90"/>
              <w:right w:type="dxa" w:w="110"/>
            </w:tcMar>
            <w:vAlign w:val="center"/>
          </w:tcPr>
          <w:p>
            <w:pPr>
              <w:spacing w:after="40"/>
            </w:pPr>
            <w:r>
              <w:rPr>
                <w:b w:val="false"/>
                <w:bCs w:val="false"/>
                <w:color w:val="222222"/>
                <w:sz w:val="17"/>
                <w:szCs w:val="17"/>
              </w:rPr>
              <w:t xml:space="preserve">Fast evidence-backed answers, a “consensus meter,” Q1–Q4 journal quality filters, citation-graph exploration.</w:t>
            </w:r>
          </w:p>
        </w:tc>
        <w:tc>
          <w:tcPr>
            <w:tcW w:type="dxa" w:w="2250"/>
            <w:tcMar>
              <w:top w:type="dxa" w:w="90"/>
              <w:left w:type="dxa" w:w="110"/>
              <w:bottom w:type="dxa" w:w="90"/>
              <w:right w:type="dxa" w:w="110"/>
            </w:tcMar>
            <w:vAlign w:val="center"/>
          </w:tcPr>
          <w:p>
            <w:pPr>
              <w:spacing w:after="40"/>
            </w:pPr>
            <w:r>
              <w:rPr>
                <w:b/>
                <w:bCs/>
                <w:color w:val="9A6700"/>
                <w:sz w:val="17"/>
                <w:szCs w:val="17"/>
              </w:rPr>
              <w:t xml:space="preserve">Medium — answer-first, not review-first</w:t>
            </w:r>
          </w:p>
        </w:tc>
      </w:tr>
      <w:tr>
        <w:tc>
          <w:tcPr>
            <w:tcW w:type="dxa" w:w="1750"/>
            <w:tcMar>
              <w:top w:type="dxa" w:w="90"/>
              <w:left w:type="dxa" w:w="110"/>
              <w:bottom w:type="dxa" w:w="90"/>
              <w:right w:type="dxa" w:w="110"/>
            </w:tcMar>
            <w:vAlign w:val="center"/>
          </w:tcPr>
          <w:p>
            <w:pPr>
              <w:spacing w:after="40"/>
            </w:pPr>
            <w:r>
              <w:rPr>
                <w:b w:val="false"/>
                <w:bCs w:val="false"/>
                <w:color w:val="222222"/>
                <w:sz w:val="18"/>
                <w:szCs w:val="18"/>
              </w:rPr>
              <w:t xml:space="preserve">Perplexity — Deep Research</w:t>
            </w:r>
          </w:p>
        </w:tc>
        <w:tc>
          <w:tcPr>
            <w:tcW w:type="dxa" w:w="1450"/>
            <w:tcMar>
              <w:top w:type="dxa" w:w="90"/>
              <w:left w:type="dxa" w:w="110"/>
              <w:bottom w:type="dxa" w:w="90"/>
              <w:right w:type="dxa" w:w="110"/>
            </w:tcMar>
            <w:vAlign w:val="center"/>
          </w:tcPr>
          <w:p>
            <w:pPr>
              <w:spacing w:after="40"/>
            </w:pPr>
            <w:r>
              <w:rPr>
                <w:b w:val="false"/>
                <w:bCs w:val="false"/>
                <w:color w:val="222222"/>
                <w:sz w:val="17"/>
                <w:szCs w:val="17"/>
              </w:rPr>
              <w:t xml:space="preserve">Public company scale.</w:t>
            </w:r>
          </w:p>
        </w:tc>
        <w:tc>
          <w:tcPr>
            <w:tcW w:type="dxa" w:w="3450"/>
            <w:tcMar>
              <w:top w:type="dxa" w:w="90"/>
              <w:left w:type="dxa" w:w="110"/>
              <w:bottom w:type="dxa" w:w="90"/>
              <w:right w:type="dxa" w:w="110"/>
            </w:tcMar>
            <w:vAlign w:val="center"/>
          </w:tcPr>
          <w:p>
            <w:pPr>
              <w:spacing w:after="40"/>
            </w:pPr>
            <w:r>
              <w:rPr>
                <w:b w:val="false"/>
                <w:bCs w:val="false"/>
                <w:color w:val="222222"/>
                <w:sz w:val="17"/>
                <w:szCs w:val="17"/>
              </w:rPr>
              <w:t xml:space="preserve">Decomposes into 10–20 sub-questions, general web search, 2–4 min turnaround; now routed through “Computer” across 20+ models.</w:t>
            </w:r>
          </w:p>
        </w:tc>
        <w:tc>
          <w:tcPr>
            <w:tcW w:type="dxa" w:w="2250"/>
            <w:tcMar>
              <w:top w:type="dxa" w:w="90"/>
              <w:left w:type="dxa" w:w="110"/>
              <w:bottom w:type="dxa" w:w="90"/>
              <w:right w:type="dxa" w:w="110"/>
            </w:tcMar>
            <w:vAlign w:val="center"/>
          </w:tcPr>
          <w:p>
            <w:pPr>
              <w:spacing w:after="40"/>
            </w:pPr>
            <w:r>
              <w:rPr>
                <w:b/>
                <w:bCs/>
                <w:color w:val="1F7A3F"/>
                <w:sz w:val="17"/>
                <w:szCs w:val="17"/>
              </w:rPr>
              <w:t xml:space="preserve">Low–Medium — generalist, not academic-native</w:t>
            </w:r>
          </w:p>
        </w:tc>
      </w:tr>
    </w:tbl>
    <w:p>
      <w:pPr>
        <w:pStyle w:val="Heading1"/>
        <w:pBdr>
          <w:bottom w:val="single" w:color="4F46E5" w:sz="8" w:space="4"/>
        </w:pBdr>
        <w:spacing w:after="160" w:before="420"/>
      </w:pPr>
      <w:r>
        <w:rPr>
          <w:b/>
          <w:bCs/>
          <w:color w:val="312E81"/>
          <w:sz w:val="30"/>
          <w:szCs w:val="30"/>
        </w:rPr>
        <w:t xml:space="preserve">Where That Leaves Sift</w:t>
      </w:r>
    </w:p>
    <w:p>
      <w:pPr>
        <w:spacing w:after="160" w:line="300"/>
      </w:pPr>
      <w:r>
        <w:rPr>
          <w:b w:val="false"/>
          <w:bCs w:val="false"/>
          <w:i w:val="false"/>
          <w:iCs w:val="false"/>
          <w:color w:val="222222"/>
          <w:sz w:val="21"/>
          <w:szCs w:val="21"/>
        </w:rPr>
        <w:t xml:space="preserve">Sift is a multi-agent pipeline (reformulate → search live academic sources → filter → extract → critique &amp; synthesize → write, plus an optional Method &amp; Experiment Designer) wrapped in a workspace: PDF annotation, per-paper and multi-paper chat (Studio), a knowledge graph, projects, and sharing. Against the Tier 3 field above, three things are actually differentiated today:</w:t>
      </w:r>
    </w:p>
    <w:p>
      <w:pPr>
        <w:pStyle w:val="ListParagraph"/>
        <w:numPr>
          <w:ilvl w:val="0"/>
          <w:numId w:val="2"/>
        </w:numPr>
        <w:spacing w:after="100" w:line="290"/>
      </w:pPr>
      <w:r>
        <w:rPr>
          <w:b/>
          <w:bCs/>
          <w:sz w:val="21"/>
          <w:szCs w:val="21"/>
        </w:rPr>
        <w:t xml:space="preserve">Steerability. </w:t>
      </w:r>
      <w:r>
        <w:rPr>
          <w:sz w:val="21"/>
          <w:szCs w:val="21"/>
        </w:rPr>
        <w:t xml:space="preserve"> every stage of the pipeline is visible and interactive — you can see and correct what got searched, what got filtered out, and why — versus Kosmos's or Perplexity's single opaque pass.</w:t>
      </w:r>
    </w:p>
    <w:p>
      <w:pPr>
        <w:pStyle w:val="ListParagraph"/>
        <w:numPr>
          <w:ilvl w:val="0"/>
          <w:numId w:val="2"/>
        </w:numPr>
        <w:spacing w:after="100" w:line="290"/>
      </w:pPr>
      <w:r>
        <w:rPr>
          <w:b/>
          <w:bCs/>
          <w:sz w:val="21"/>
          <w:szCs w:val="21"/>
        </w:rPr>
        <w:t xml:space="preserve">A real workspace, not just a report. </w:t>
      </w:r>
      <w:r>
        <w:rPr>
          <w:sz w:val="21"/>
          <w:szCs w:val="21"/>
        </w:rPr>
        <w:t xml:space="preserve"> no competitor in Tier 3 lets you read the actual PDF, highlight/underline/annotate it, and chat about a specific selection, inside the same tool that produced the review. Elicit and Consensus are search-and-summarize; Kosmos is a report generator; none is a workspace.</w:t>
      </w:r>
    </w:p>
    <w:p>
      <w:pPr>
        <w:pStyle w:val="ListParagraph"/>
        <w:numPr>
          <w:ilvl w:val="0"/>
          <w:numId w:val="2"/>
        </w:numPr>
        <w:spacing w:after="100" w:line="290"/>
      </w:pPr>
      <w:r>
        <w:rPr>
          <w:b/>
          <w:bCs/>
          <w:sz w:val="21"/>
          <w:szCs w:val="21"/>
        </w:rPr>
        <w:t xml:space="preserve">A bridge toward Tier 1. </w:t>
      </w:r>
      <w:r>
        <w:rPr>
          <w:sz w:val="21"/>
          <w:szCs w:val="21"/>
        </w:rPr>
        <w:t xml:space="preserve"> the Method &amp; Experiment Designer is the one feature that starts to bridge into Tier 1's territory — turning “here's what's known” into “here's a testable next experiment” — without needing $300M of lab robots to do it.</w:t>
      </w:r>
    </w:p>
    <w:p>
      <w:pPr>
        <w:spacing w:after="160" w:line="300"/>
      </w:pPr>
      <w:r>
        <w:rPr>
          <w:b w:val="false"/>
          <w:bCs w:val="false"/>
          <w:i w:val="false"/>
          <w:iCs w:val="false"/>
          <w:color w:val="222222"/>
          <w:sz w:val="21"/>
          <w:szCs w:val="21"/>
        </w:rPr>
        <w:t xml:space="preserve">The risk is equally clear: Kosmos is free and Google's offering is bundled into a platform researchers already use. Sift cannot win a price or distribution fight against either. It has to win on depth of workflow for the researcher who is going to spend real time in the tool, not just ask it one question.</w:t>
      </w:r>
    </w:p>
    <w:p>
      <w:pPr>
        <w:pStyle w:val="Heading1"/>
        <w:pBdr>
          <w:bottom w:val="single" w:color="4F46E5" w:sz="8" w:space="4"/>
        </w:pBdr>
        <w:spacing w:after="160" w:before="420"/>
      </w:pPr>
      <w:r>
        <w:rPr>
          <w:b/>
          <w:bCs/>
          <w:color w:val="312E81"/>
          <w:sz w:val="30"/>
          <w:szCs w:val="30"/>
        </w:rPr>
        <w:t xml:space="preserve">Roadmap</w:t>
      </w:r>
    </w:p>
    <w:p>
      <w:pPr>
        <w:spacing w:after="160" w:line="300"/>
      </w:pPr>
      <w:r>
        <w:rPr>
          <w:b w:val="false"/>
          <w:bCs w:val="false"/>
          <w:i w:val="false"/>
          <w:iCs w:val="false"/>
          <w:color w:val="222222"/>
          <w:sz w:val="21"/>
          <w:szCs w:val="21"/>
        </w:rPr>
        <w:t xml:space="preserve">Three horizons, ordered by what defends Sift's actual differentiation first.</w:t>
      </w:r>
    </w:p>
    <w:p>
      <w:pPr>
        <w:pStyle w:val="Heading2"/>
        <w:spacing w:after="120" w:before="260"/>
      </w:pPr>
      <w:r>
        <w:rPr>
          <w:b/>
          <w:bCs/>
          <w:color w:val="312E81"/>
          <w:sz w:val="24"/>
          <w:szCs w:val="24"/>
        </w:rPr>
        <w:t xml:space="preserve">Now (0–3 months) — Defend the workspace advantage</w:t>
      </w:r>
    </w:p>
    <w:p>
      <w:pPr>
        <w:pStyle w:val="ListParagraph"/>
        <w:numPr>
          <w:ilvl w:val="0"/>
          <w:numId w:val="2"/>
        </w:numPr>
        <w:spacing w:after="100" w:line="290"/>
      </w:pPr>
      <w:r>
        <w:rPr>
          <w:sz w:val="21"/>
          <w:szCs w:val="21"/>
        </w:rPr>
        <w:t xml:space="preserve">Push the PDF annotation/Studio experience further than any Tier 3 competitor can easily copy: multi-document annotation comparison, shared annotations inside a Project, and annotation-aware chat (“what did I mark up across these 5 papers?”).</w:t>
      </w:r>
    </w:p>
    <w:p>
      <w:pPr>
        <w:pStyle w:val="ListParagraph"/>
        <w:numPr>
          <w:ilvl w:val="0"/>
          <w:numId w:val="2"/>
        </w:numPr>
        <w:spacing w:after="100" w:line="290"/>
      </w:pPr>
      <w:r>
        <w:rPr>
          <w:sz w:val="21"/>
          <w:szCs w:val="21"/>
        </w:rPr>
        <w:t xml:space="preserve">Make the pipeline's steerability legible in the UI — let users see and edit intermediate outputs (reformulated queries, filter decisions) as first-class, not just a progress log.</w:t>
      </w:r>
    </w:p>
    <w:p>
      <w:pPr>
        <w:pStyle w:val="ListParagraph"/>
        <w:numPr>
          <w:ilvl w:val="0"/>
          <w:numId w:val="2"/>
        </w:numPr>
        <w:spacing w:after="100" w:line="290"/>
      </w:pPr>
      <w:r>
        <w:rPr>
          <w:sz w:val="21"/>
          <w:szCs w:val="21"/>
        </w:rPr>
        <w:t xml:space="preserve">Ship a clear, fast “import your own PDFs” flow (already underway) as the direct answer to Kosmos/Elicit's index-only model — Sift should be equally good on a private/unpublished corpus.</w:t>
      </w:r>
    </w:p>
    <w:p>
      <w:pPr>
        <w:pStyle w:val="Heading2"/>
        <w:spacing w:after="120" w:before="260"/>
      </w:pPr>
      <w:r>
        <w:rPr>
          <w:b/>
          <w:bCs/>
          <w:color w:val="312E81"/>
          <w:sz w:val="24"/>
          <w:szCs w:val="24"/>
        </w:rPr>
        <w:t xml:space="preserve">Next (3–9 months) — Own the literature-to-experiment bridge</w:t>
      </w:r>
    </w:p>
    <w:p>
      <w:pPr>
        <w:pStyle w:val="ListParagraph"/>
        <w:numPr>
          <w:ilvl w:val="0"/>
          <w:numId w:val="2"/>
        </w:numPr>
        <w:spacing w:after="100" w:line="290"/>
      </w:pPr>
      <w:r>
        <w:rPr>
          <w:sz w:val="21"/>
          <w:szCs w:val="21"/>
        </w:rPr>
        <w:t xml:space="preserve">Deepen the Method &amp; Experiment Designer into a real second act: structured, exportable experiment plans (hypothesis, variables, controls, expected signal) that a human lab — or eventually an automated one — can act on.</w:t>
      </w:r>
    </w:p>
    <w:p>
      <w:pPr>
        <w:pStyle w:val="ListParagraph"/>
        <w:numPr>
          <w:ilvl w:val="0"/>
          <w:numId w:val="2"/>
        </w:numPr>
        <w:spacing w:after="100" w:line="290"/>
      </w:pPr>
      <w:r>
        <w:rPr>
          <w:sz w:val="21"/>
          <w:szCs w:val="21"/>
        </w:rPr>
        <w:t xml:space="preserve">Add lightweight critique/refinement loops (already partly built) as a visible “self-improvement” story Sift can point to, without needing Tier 2's infrastructure to do it — this directly answers the “we self-improve” pitch from Mirendil/Sakana at a fraction of the cost, scoped to one paper's worth of experiment design rather than general AI research.</w:t>
      </w:r>
    </w:p>
    <w:p>
      <w:pPr>
        <w:pStyle w:val="ListParagraph"/>
        <w:numPr>
          <w:ilvl w:val="0"/>
          <w:numId w:val="2"/>
        </w:numPr>
        <w:spacing w:after="100" w:line="290"/>
      </w:pPr>
      <w:r>
        <w:rPr>
          <w:sz w:val="21"/>
          <w:szCs w:val="21"/>
        </w:rPr>
        <w:t xml:space="preserve">Explore a narrow, well-scoped integration path (not a partnership commitment) with a Tier 1 player's intake format, so a Sift-designed experiment plan could in principle feed a self-driving lab — positions Sift as the human-facing front end to that stack rather than a competitor to it.</w:t>
      </w:r>
    </w:p>
    <w:p>
      <w:pPr>
        <w:pStyle w:val="Heading2"/>
        <w:spacing w:after="120" w:before="260"/>
      </w:pPr>
      <w:r>
        <w:rPr>
          <w:b/>
          <w:bCs/>
          <w:color w:val="312E81"/>
          <w:sz w:val="24"/>
          <w:szCs w:val="24"/>
        </w:rPr>
        <w:t xml:space="preserve">Later (9+ months) — Distribution and durability</w:t>
      </w:r>
    </w:p>
    <w:p>
      <w:pPr>
        <w:pStyle w:val="ListParagraph"/>
        <w:numPr>
          <w:ilvl w:val="0"/>
          <w:numId w:val="2"/>
        </w:numPr>
        <w:spacing w:after="100" w:line="290"/>
      </w:pPr>
      <w:r>
        <w:rPr>
          <w:sz w:val="21"/>
          <w:szCs w:val="21"/>
        </w:rPr>
        <w:t xml:space="preserve">Decide deliberately whether to compete on free-tier breadth (Kosmos's model) or stay a paid, workflow-first tool (Elicit's model) — trying to match Kosmos's free distribution without its backing is not a winnable fight.</w:t>
      </w:r>
    </w:p>
    <w:p>
      <w:pPr>
        <w:pStyle w:val="ListParagraph"/>
        <w:numPr>
          <w:ilvl w:val="0"/>
          <w:numId w:val="2"/>
        </w:numPr>
        <w:spacing w:after="100" w:line="290"/>
      </w:pPr>
      <w:r>
        <w:rPr>
          <w:sz w:val="21"/>
          <w:szCs w:val="21"/>
        </w:rPr>
        <w:t xml:space="preserve">Watch Google's Gemini for Science pilots (BASF, Bayer, Daiichi Sankyo, national labs) closely — if Literature Insights becomes a default surface inside Gemini for enterprise research teams, Sift's differentiation has to move further into specialized workflow (PDF-native, project-based, human-steered) rather than raw synthesis quality, where Google will eventually win on scale.</w:t>
      </w:r>
    </w:p>
    <w:p>
      <w:pPr>
        <w:pStyle w:val="ListParagraph"/>
        <w:numPr>
          <w:ilvl w:val="0"/>
          <w:numId w:val="2"/>
        </w:numPr>
        <w:spacing w:after="100" w:line="290"/>
      </w:pPr>
      <w:r>
        <w:rPr>
          <w:sz w:val="21"/>
          <w:szCs w:val="21"/>
        </w:rPr>
        <w:t xml:space="preserve">Revisit this landscape quarterly — four of the nine companies in the original snapshot were founded in 2025 or 2026; this list will look different again within two quarters.</w:t>
      </w:r>
    </w:p>
    <w:p>
      <w:pPr>
        <w:pStyle w:val="Heading1"/>
        <w:pBdr>
          <w:bottom w:val="single" w:color="4F46E5" w:sz="8" w:space="4"/>
        </w:pBdr>
        <w:spacing w:after="160" w:before="420"/>
      </w:pPr>
      <w:r>
        <w:rPr>
          <w:b/>
          <w:bCs/>
          <w:color w:val="312E81"/>
          <w:sz w:val="30"/>
          <w:szCs w:val="30"/>
        </w:rPr>
        <w:t xml:space="preserve">Open Questions for the Team</w:t>
      </w:r>
    </w:p>
    <w:p>
      <w:pPr>
        <w:pStyle w:val="ListParagraph"/>
        <w:numPr>
          <w:ilvl w:val="0"/>
          <w:numId w:val="2"/>
        </w:numPr>
        <w:spacing w:after="100" w:line="290"/>
      </w:pPr>
      <w:r>
        <w:rPr>
          <w:sz w:val="21"/>
          <w:szCs w:val="21"/>
        </w:rPr>
        <w:t xml:space="preserve">How much of the Method &amp; Experiment Designer roadmap should explicitly target becoming a front end for Tier 1 labs, versus staying purely advisory?</w:t>
      </w:r>
    </w:p>
    <w:p>
      <w:pPr>
        <w:pStyle w:val="ListParagraph"/>
        <w:numPr>
          <w:ilvl w:val="0"/>
          <w:numId w:val="2"/>
        </w:numPr>
        <w:spacing w:after="100" w:line="290"/>
      </w:pPr>
      <w:r>
        <w:rPr>
          <w:sz w:val="21"/>
          <w:szCs w:val="21"/>
        </w:rPr>
        <w:t xml:space="preserve">Is a free tier (matching Kosmos) worth the margin cost to defend academic mindshare, or does that undercut Sift's paid-workflow positioning?</w:t>
      </w:r>
    </w:p>
    <w:p>
      <w:pPr>
        <w:pStyle w:val="ListParagraph"/>
        <w:numPr>
          <w:ilvl w:val="0"/>
          <w:numId w:val="2"/>
        </w:numPr>
        <w:spacing w:after="100" w:line="290"/>
      </w:pPr>
      <w:r>
        <w:rPr>
          <w:sz w:val="21"/>
          <w:szCs w:val="21"/>
        </w:rPr>
        <w:t xml:space="preserve">Given Google's entry, is there a defensible narrow vertical (a specific field, workflow, or user type) worth specializing in rather than staying general-purpose?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2026-08-22T23:39:23.550Z</dcterms:created>
  <dcterms:modified xsi:type="dcterms:W3CDTF">2026-08-22T23:39:23.562Z</dcterms:modified>
</cp:coreProperties>
</file>

<file path=docProps/custom.xml><?xml version="1.0" encoding="utf-8"?>
<Properties xmlns="http://schemas.openxmlformats.org/officeDocument/2006/custom-properties" xmlns:vt="http://schemas.openxmlformats.org/officeDocument/2006/docPropsVTypes"/>
</file>