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4161C"/>
          <w:sz w:val="40"/>
          <w:szCs w:val="40"/>
        </w:rPr>
        <w:t xml:space="preserve">Sift AI — Competitive Roadmap</w:t>
      </w:r>
    </w:p>
    <w:p>
      <w:pPr>
        <w:spacing w:after="60"/>
      </w:pPr>
      <w:r>
        <w:rPr>
          <w:color w:val="5C6373"/>
          <w:sz w:val="22"/>
          <w:szCs w:val="22"/>
        </w:rPr>
        <w:t xml:space="preserve">What to build to compete with Elicit, FutureHouse, Consensus, ResearchRabbit, NotebookLM and Perplexity — and why</w:t>
      </w:r>
    </w:p>
    <w:p>
      <w:pPr>
        <w:spacing w:after="320"/>
      </w:pPr>
      <w:r>
        <w:rPr>
          <w:color w:val="5C6373"/>
          <w:sz w:val="18"/>
          <w:szCs w:val="18"/>
        </w:rPr>
        <w:t xml:space="preserve">August 2026</w:t>
      </w:r>
    </w:p>
    <w:p>
      <w:pPr>
        <w:pStyle w:val="Heading1"/>
        <w:spacing w:after="160" w:before="300"/>
      </w:pPr>
      <w:r>
        <w:t xml:space="preserve">Where Sift already competes</w:t>
      </w:r>
    </w:p>
    <w:p>
      <w:pPr>
        <w:spacing w:after="140"/>
      </w:pPr>
      <w:r>
        <w:rPr>
          <w:color w:val="14161C"/>
          <w:sz w:val="21"/>
          <w:szCs w:val="21"/>
        </w:rPr>
        <w:t xml:space="preserve">Before adding anything new, it's worth naming what's already built and already on par with — or ahead of — the field: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claim in a review or chat answer is inline-cited to a numbered source, with the model instructed to say plainly when the sources don't cover something rather than guessing.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real in-app PDF viewer with highlighting, underlining and inline comments, persisted per paper across runs.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Studio: multi-paper chat plus one-click report / slide deck / briefing generation from selected sources, exportable to Word, PDF and PowerPoint.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file upload (PDF/DOCX/PPTX) as a source, so users aren't limited to what's indexed publicly.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search modes (Lite/Medium/Deep) trading cost against depth of extraction.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opportunistic paper cache and a built (if not yet fully wired up) incremental sync pipeline for pre-indexing.</w:t>
      </w:r>
    </w:p>
    <w:p>
      <w:pPr>
        <w:spacing w:after="80"/>
      </w:pPr>
    </w:p>
    <w:p>
      <w:pPr>
        <w:pStyle w:val="Heading1"/>
        <w:spacing w:after="160" w:before="300"/>
      </w:pPr>
      <w:r>
        <w:t xml:space="preserve">Task list, by priority tier</w:t>
      </w:r>
    </w:p>
    <w:p>
      <w:pPr>
        <w:spacing w:after="160"/>
      </w:pPr>
      <w:r>
        <w:rPr>
          <w:i/>
          <w:iCs/>
          <w:color w:val="5C6373"/>
          <w:sz w:val="19"/>
          <w:szCs w:val="19"/>
        </w:rPr>
        <w:t xml:space="preserve">Tiers are ordered by impact-per-effort, not by how interesting the feature is to build. Tier 1 items reuse existing infrastructure; Tier 4 is foundational work that unblocks everything after it.</w:t>
      </w:r>
    </w:p>
    <w:p>
      <w:pPr>
        <w:pStyle w:val="Heading2"/>
        <w:spacing w:after="120" w:before="260"/>
      </w:pPr>
      <w:r>
        <w:t xml:space="preserve">Tier 1 — Quick wins (reuse what's already built)</w:t>
      </w:r>
    </w:p>
    <w:tbl>
      <w:tblPr>
        <w:tblW w:type="dxa" w:w="10060"/>
        <w:tblBorders>
          <w:top w:val="single" w:color="E5E7EC" w:sz="2"/>
          <w:left w:val="single" w:color="E5E7EC" w:sz="2"/>
          <w:bottom w:val="single" w:color="E5E7EC" w:sz="2"/>
          <w:right w:val="single" w:color="E5E7EC" w:sz="2"/>
          <w:insideH w:val="single" w:color="E5E7EC" w:sz="2"/>
          <w:insideV w:val="single" w:color="E5E7EC" w:sz="2"/>
        </w:tblBorders>
      </w:tblPr>
      <w:tblGrid>
        <w:gridCol w:w="3400"/>
        <w:gridCol w:w="1800"/>
        <w:gridCol w:w="3700"/>
        <w:gridCol w:w="1160"/>
      </w:tblGrid>
      <w:tr>
        <w:trPr>
          <w:tblHeader/>
        </w:trPr>
        <w:tc>
          <w:tcPr>
            <w:tcW w:type="dxa" w:w="340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Inspired by</w:t>
            </w:r>
          </w:p>
        </w:tc>
        <w:tc>
          <w:tcPr>
            <w:tcW w:type="dxa" w:w="370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16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Consensus-style answer badge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Consensus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For yes/no research questions, show a Yes / No / Mixed badge above the prose answer, built from paper stances — a one-glance trust signal before reading anything.</w:t>
            </w:r>
          </w:p>
        </w:tc>
        <w:tc>
          <w:tcPr>
            <w:tcW w:type="dxa" w:w="1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34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Prompt-driven table export</w:t>
            </w:r>
          </w:p>
        </w:tc>
        <w:tc>
          <w:tcPr>
            <w:tcW w:type="dxa" w:w="18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Perplexity Labs/Create</w:t>
            </w:r>
          </w:p>
        </w:tc>
        <w:tc>
          <w:tcPr>
            <w:tcW w:type="dxa" w:w="37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Extend the existing CSV/XLSX paper-list export so a natural-language ask ("compare sample sizes across these 12 papers") produces a structured table, not just a fixed export.</w:t>
            </w:r>
          </w:p>
        </w:tc>
        <w:tc>
          <w:tcPr>
            <w:tcW w:type="dxa" w:w="116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Context-aware follow-up questions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— (internal)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Studio's suggested follow-ups were a static keyword heuristic that surfaced the same 4 questions regardless of the conversation. Fixed this session — the chat model now proposes 3 follow-ups grounded in what was actually discussed, at no extra API cost.</w:t>
            </w:r>
          </w:p>
        </w:tc>
        <w:tc>
          <w:tcPr>
            <w:tcW w:type="dxa" w:w="1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Done</w:t>
            </w:r>
          </w:p>
        </w:tc>
      </w:tr>
    </w:tbl>
    <w:p>
      <w:pPr>
        <w:pStyle w:val="Heading2"/>
        <w:spacing w:after="120" w:before="260"/>
      </w:pPr>
      <w:r>
        <w:t xml:space="preserve">Tier 2 — Credibility &amp; rigor (what makes a review publishable)</w:t>
      </w:r>
    </w:p>
    <w:tbl>
      <w:tblPr>
        <w:tblW w:type="dxa" w:w="10060"/>
        <w:tblBorders>
          <w:top w:val="single" w:color="E5E7EC" w:sz="2"/>
          <w:left w:val="single" w:color="E5E7EC" w:sz="2"/>
          <w:bottom w:val="single" w:color="E5E7EC" w:sz="2"/>
          <w:right w:val="single" w:color="E5E7EC" w:sz="2"/>
          <w:insideH w:val="single" w:color="E5E7EC" w:sz="2"/>
          <w:insideV w:val="single" w:color="E5E7EC" w:sz="2"/>
        </w:tblBorders>
      </w:tblPr>
      <w:tblGrid>
        <w:gridCol w:w="3400"/>
        <w:gridCol w:w="1800"/>
        <w:gridCol w:w="3700"/>
        <w:gridCol w:w="1160"/>
      </w:tblGrid>
      <w:tr>
        <w:trPr>
          <w:tblHeader/>
        </w:trPr>
        <w:tc>
          <w:tcPr>
            <w:tcW w:type="dxa" w:w="340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Inspired by</w:t>
            </w:r>
          </w:p>
        </w:tc>
        <w:tc>
          <w:tcPr>
            <w:tcW w:type="dxa" w:w="370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16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Citation-stance tags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Scite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Tag each cross-paper comparison as supporting, contrasting, or merely mentioning a claim, surfaced in the Critique/synthesis stage — turns "themes &amp; gaps" into something with a visible evidence trail.</w:t>
            </w:r>
          </w:p>
        </w:tc>
        <w:tc>
          <w:tcPr>
            <w:tcW w:type="dxa" w:w="1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4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Systematic review mode</w:t>
            </w:r>
          </w:p>
        </w:tc>
        <w:tc>
          <w:tcPr>
            <w:tcW w:type="dxa" w:w="18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Elicit</w:t>
            </w:r>
          </w:p>
        </w:tc>
        <w:tc>
          <w:tcPr>
            <w:tcW w:type="dxa" w:w="37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Explicit inclusion/exclusion criteria set upfront, a screening log showing why each paper was kept or dropped, and extraction at real scale (Sift currently caps ~100 papers; Elicit does 1,000). This is the single highest-credibility feature for the rigor-focused end of the user base.</w:t>
            </w:r>
          </w:p>
        </w:tc>
        <w:tc>
          <w:tcPr>
            <w:tcW w:type="dxa" w:w="116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Large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Held-out accuracy benchmark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— (internal)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A fixed set of papers with known-correct extracted facts, run periodically to measure hallucination rate against a baseline — needed to make any "grounded, no invented facts" claim defensible rather than just asserted.</w:t>
            </w:r>
          </w:p>
        </w:tc>
        <w:tc>
          <w:tcPr>
            <w:tcW w:type="dxa" w:w="1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4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Claim-to-source verification pass</w:t>
            </w:r>
          </w:p>
        </w:tc>
        <w:tc>
          <w:tcPr>
            <w:tcW w:type="dxa" w:w="18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— (internal)</w:t>
            </w:r>
          </w:p>
        </w:tc>
        <w:tc>
          <w:tcPr>
            <w:tcW w:type="dxa" w:w="37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A cheap second pass that checks each inline [n] citation actually supports the sentence it's attached to, flagging mismatches before the user sees them.</w:t>
            </w:r>
          </w:p>
        </w:tc>
        <w:tc>
          <w:tcPr>
            <w:tcW w:type="dxa" w:w="116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Figure/table-aware Deep extraction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— (internal)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Deep mode currently reads text; extending it to read figures and tables (already possible since PDFs are attached directly to some model calls) closes a real gap against tools that summarize prose only.</w:t>
            </w:r>
          </w:p>
        </w:tc>
        <w:tc>
          <w:tcPr>
            <w:tcW w:type="dxa" w:w="1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Large</w:t>
            </w:r>
          </w:p>
        </w:tc>
      </w:tr>
    </w:tbl>
    <w:p>
      <w:pPr>
        <w:pStyle w:val="Heading2"/>
        <w:spacing w:after="120" w:before="260"/>
      </w:pPr>
      <w:r>
        <w:t xml:space="preserve">Tier 3 — Engagement &amp; stickiness (reasons to come back)</w:t>
      </w:r>
    </w:p>
    <w:tbl>
      <w:tblPr>
        <w:tblW w:type="dxa" w:w="10060"/>
        <w:tblBorders>
          <w:top w:val="single" w:color="E5E7EC" w:sz="2"/>
          <w:left w:val="single" w:color="E5E7EC" w:sz="2"/>
          <w:bottom w:val="single" w:color="E5E7EC" w:sz="2"/>
          <w:right w:val="single" w:color="E5E7EC" w:sz="2"/>
          <w:insideH w:val="single" w:color="E5E7EC" w:sz="2"/>
          <w:insideV w:val="single" w:color="E5E7EC" w:sz="2"/>
        </w:tblBorders>
      </w:tblPr>
      <w:tblGrid>
        <w:gridCol w:w="3400"/>
        <w:gridCol w:w="1800"/>
        <w:gridCol w:w="3700"/>
        <w:gridCol w:w="1160"/>
      </w:tblGrid>
      <w:tr>
        <w:trPr>
          <w:tblHeader/>
        </w:trPr>
        <w:tc>
          <w:tcPr>
            <w:tcW w:type="dxa" w:w="340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Inspired by</w:t>
            </w:r>
          </w:p>
        </w:tc>
        <w:tc>
          <w:tcPr>
            <w:tcW w:type="dxa" w:w="370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16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Citation alerts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ResearchRabbit, Litmaps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Notify the user when a new paper cites a source already in their review. The backend sync pipeline for this (Phase 3) is already built but has never been scheduled or surfaced to users — this is the highest-leverage way to finally use it.</w:t>
            </w:r>
          </w:p>
        </w:tc>
        <w:tc>
          <w:tcPr>
            <w:tcW w:type="dxa" w:w="1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4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Pre-indexing Phase 5 (corpus-first search)</w:t>
            </w:r>
          </w:p>
        </w:tc>
        <w:tc>
          <w:tcPr>
            <w:tcW w:type="dxa" w:w="18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— (internal)</w:t>
            </w:r>
          </w:p>
        </w:tc>
        <w:tc>
          <w:tcPr>
            <w:tcW w:type="dxa" w:w="37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Check the local corpus before hitting live search APIs, so repeat and overlapping searches return near-instantly instead of re-fetching every time.</w:t>
            </w:r>
          </w:p>
        </w:tc>
        <w:tc>
          <w:tcPr>
            <w:tcW w:type="dxa" w:w="116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Audio digest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NotebookLM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Turn a Studio report or briefing into a short podcast-style audio summary — same artifact pipeline that already exists, plus a text-to-speech step. A genuinely different "consume this on a walk" format nothing else in Sift offers.</w:t>
            </w:r>
          </w:p>
        </w:tc>
        <w:tc>
          <w:tcPr>
            <w:tcW w:type="dxa" w:w="1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2"/>
        <w:spacing w:after="120" w:before="260"/>
      </w:pPr>
      <w:r>
        <w:t xml:space="preserve">Tier 4 — Foundations (unblocks everything above)</w:t>
      </w:r>
    </w:p>
    <w:tbl>
      <w:tblPr>
        <w:tblW w:type="dxa" w:w="10060"/>
        <w:tblBorders>
          <w:top w:val="single" w:color="E5E7EC" w:sz="2"/>
          <w:left w:val="single" w:color="E5E7EC" w:sz="2"/>
          <w:bottom w:val="single" w:color="E5E7EC" w:sz="2"/>
          <w:right w:val="single" w:color="E5E7EC" w:sz="2"/>
          <w:insideH w:val="single" w:color="E5E7EC" w:sz="2"/>
          <w:insideV w:val="single" w:color="E5E7EC" w:sz="2"/>
        </w:tblBorders>
      </w:tblPr>
      <w:tblGrid>
        <w:gridCol w:w="3400"/>
        <w:gridCol w:w="1800"/>
        <w:gridCol w:w="3700"/>
        <w:gridCol w:w="1160"/>
      </w:tblGrid>
      <w:tr>
        <w:trPr>
          <w:tblHeader/>
        </w:trPr>
        <w:tc>
          <w:tcPr>
            <w:tcW w:type="dxa" w:w="340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Inspired by</w:t>
            </w:r>
          </w:p>
        </w:tc>
        <w:tc>
          <w:tcPr>
            <w:tcW w:type="dxa" w:w="370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160"/>
            <w:shd w:fill="5B4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CI pipeline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— (internal)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No automated tests run on push today; every feature above increases the cost of a silent regression.</w:t>
            </w:r>
          </w:p>
        </w:tc>
        <w:tc>
          <w:tcPr>
            <w:tcW w:type="dxa" w:w="1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4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Remove committed secrets from .env.example</w:t>
            </w:r>
          </w:p>
        </w:tc>
        <w:tc>
          <w:tcPr>
            <w:tcW w:type="dxa" w:w="18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— (internal)</w:t>
            </w:r>
          </w:p>
        </w:tc>
        <w:tc>
          <w:tcPr>
            <w:tcW w:type="dxa" w:w="37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A basic hygiene fix that should happen before any external code review or fundraising diligence.</w:t>
            </w:r>
          </w:p>
        </w:tc>
        <w:tc>
          <w:tcPr>
            <w:tcW w:type="dxa" w:w="116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Decide on one monetization model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— (internal)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Pricing tiers exist on the landing page but the underlying business model (seat-based vs usage-based vs institutional licensing) hasn't been settled — affects how several Tier 2/3 features should be gated.</w:t>
            </w:r>
          </w:p>
        </w:tc>
        <w:tc>
          <w:tcPr>
            <w:tcW w:type="dxa" w:w="1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34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Semantic embeddings for the corpus (Phase 4)</w:t>
            </w:r>
          </w:p>
        </w:tc>
        <w:tc>
          <w:tcPr>
            <w:tcW w:type="dxa" w:w="18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Elicit, Consensus</w:t>
            </w:r>
          </w:p>
        </w:tc>
        <w:tc>
          <w:tcPr>
            <w:tcW w:type="dxa" w:w="370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Enables "find papers like this one" and much better relevance ranking than keyword search alone; a prerequisite for several of the tools above matching what Elicit/Consensus already do at the search layer.</w:t>
            </w:r>
          </w:p>
        </w:tc>
        <w:tc>
          <w:tcPr>
            <w:tcW w:type="dxa" w:w="1160"/>
            <w:shd w:fill="FAFB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4161C"/>
                <w:sz w:val="18"/>
                <w:szCs w:val="18"/>
              </w:rPr>
              <w:t xml:space="preserve">Large</w:t>
            </w:r>
          </w:p>
        </w:tc>
      </w:tr>
    </w:tbl>
    <w:p>
      <w:pPr>
        <w:spacing w:after="100"/>
      </w:pPr>
    </w:p>
    <w:p>
      <w:pPr>
        <w:pStyle w:val="Heading1"/>
        <w:spacing w:after="160" w:before="300"/>
      </w:pPr>
      <w:r>
        <w:t xml:space="preserve">Suggested next step</w:t>
      </w:r>
    </w:p>
    <w:p>
      <w:pPr>
        <w:spacing w:after="140"/>
      </w:pPr>
      <w:r>
        <w:rPr>
          <w:color w:val="14161C"/>
          <w:sz w:val="21"/>
          <w:szCs w:val="21"/>
        </w:rPr>
        <w:t xml:space="preserve">Start with Tier 1 (mostly shippable in days, reuses existing infrastructure), then pick one Tier 2 item — citation-stance tags is the best next move since it directly strengthens the "every claim cited" positioning already on the landing page — before starting on Tier 4's larger foundational work.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2026-08-15T23:22:45.819Z</dcterms:created>
  <dcterms:modified xsi:type="dcterms:W3CDTF">2026-08-15T23:22:45.832Z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