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pPr>
    </w:p>
    <w:p>
      <w:pPr>
        <w:jc w:val="center"/>
      </w:pPr>
      <w:r>
        <w:rPr>
          <w:b/>
          <w:color w:val="123B36"/>
          <w:sz w:val="52"/>
        </w:rPr>
        <w:t>St George Hospital Management System</w:t>
      </w:r>
    </w:p>
    <w:p>
      <w:pPr>
        <w:jc w:val="center"/>
      </w:pPr>
      <w:r>
        <w:rPr>
          <w:color w:val="5B6B67"/>
          <w:sz w:val="36"/>
        </w:rPr>
        <w:t>Full Project Status Report</w:t>
      </w:r>
    </w:p>
    <w:p>
      <w:pPr>
        <w:spacing w:after="400"/>
      </w:pPr>
    </w:p>
    <w:p>
      <w:pPr>
        <w:jc w:val="center"/>
      </w:pPr>
      <w:r>
        <w:rPr>
          <w:color w:val="5B6B67"/>
          <w:sz w:val="22"/>
        </w:rPr>
        <w:t>CPRO306 Capstone Project — Project 20, Group G3</w:t>
      </w:r>
    </w:p>
    <w:p>
      <w:pPr>
        <w:jc w:val="center"/>
      </w:pPr>
      <w:r>
        <w:rPr>
          <w:color w:val="5B6B67"/>
          <w:sz w:val="22"/>
        </w:rPr>
        <w:t>Prepared by: Priya Paneru • Usha Tamang • Manish Das • Oyndrila Oyshi Saha • Krishala Niroula</w:t>
      </w:r>
    </w:p>
    <w:p>
      <w:pPr>
        <w:jc w:val="center"/>
      </w:pPr>
      <w:r>
        <w:rPr>
          <w:color w:val="5B6B67"/>
          <w:sz w:val="22"/>
        </w:rPr>
        <w:t>Report date: 23 August 2026</w:t>
      </w:r>
    </w:p>
    <w:p>
      <w:pPr>
        <w:jc w:val="center"/>
      </w:pPr>
      <w:r>
        <w:rPr>
          <w:color w:val="5B6B67"/>
          <w:sz w:val="22"/>
        </w:rPr>
        <w:t>Scope: entire build to date — Task 1 (multi-branch restoration) and all FR1–FR64 / NFR1–NFR20</w:t>
      </w:r>
    </w:p>
    <w:p>
      <w:pPr>
        <w:spacing w:after="600"/>
      </w:pPr>
    </w:p>
    <w:p>
      <w:pPr>
        <w:jc w:val="center"/>
      </w:pPr>
      <w:r>
        <w:rPr>
          <w:i/>
          <w:color w:val="5B6B67"/>
          <w:sz w:val="19"/>
        </w:rPr>
        <w:t>This report is cross-checked against the live codebase (routes, controllers, migrations, models), FR_PROGRESS.md, git history, and the Final SRS. Status is reported conservatively: “Partial” is used wherever a requirement is only structurally supported, manually tested rather than automated, or has a documented gap in the code itself.</w:t>
      </w:r>
    </w:p>
    <w:p>
      <w:r>
        <w:br w:type="page"/>
      </w:r>
    </w:p>
    <w:p>
      <w:pPr>
        <w:pStyle w:val="Heading1"/>
        <w:spacing w:before="240" w:after="120"/>
      </w:pPr>
      <w:r>
        <w:t>Table of Contents</w:t>
      </w:r>
    </w:p>
    <w:p>
      <w:r>
        <w:fldChar w:fldCharType="begin"/>
        <w:instrText xml:space="preserve">TOC \o "1-2" \h \z \u</w:instrText>
        <w:fldChar w:fldCharType="separate"/>
        <w:t>Right-click and choose “Update Field” (or press F9) to generate the table of contents.</w:t>
        <w:fldChar w:fldCharType="end"/>
      </w:r>
    </w:p>
    <w:p>
      <w:r>
        <w:br w:type="page"/>
      </w:r>
    </w:p>
    <w:p>
      <w:pPr>
        <w:pStyle w:val="Heading1"/>
        <w:spacing w:before="240" w:after="120"/>
      </w:pPr>
      <w:r>
        <w:t>1. Executive Summary</w:t>
      </w:r>
    </w:p>
    <w:p>
      <w:pPr>
        <w:spacing w:after="160"/>
      </w:pPr>
      <w:r>
        <w:rPr>
          <w:b w:val="0"/>
          <w:i w:val="0"/>
          <w:sz w:val="21"/>
        </w:rPr>
        <w:t>The St George Hospital Management System (SGH HMS) is a centralised, multi-branch hospital management platform being built for the CPRO306 capstone brief. It replaces the client's email/paper/phone-based process with a single web application covering patient registration, appointment booking, staff/doctor scheduling, pharmacy and laboratory operations, billing, reporting, and audit logging, plus sixteen additional “proposed enhancement” requirements (FR49–FR64) the client asked the team to research and bring back for approval.</w:t>
      </w:r>
    </w:p>
    <w:p>
      <w:pPr>
        <w:spacing w:after="160"/>
      </w:pPr>
      <w:r>
        <w:rPr>
          <w:b w:val="0"/>
          <w:i w:val="0"/>
          <w:sz w:val="21"/>
        </w:rPr>
        <w:t>This report is a factual status snapshot of the whole build, not a plan. Every row in the requirement tables below was checked against the live code (routes, controllers, migrations, models) rather than assumed from an earlier plan. Where a requirement is only partly built, untested, or has a known gap, it is marked “Partial” or “Not implemented” with the specific gap named — the intent is to give the lecturer and team an accurate picture, not a favourable one.</w:t>
      </w:r>
    </w:p>
    <w:p>
      <w:pPr>
        <w:spacing w:before="200" w:after="80"/>
      </w:pPr>
      <w:r>
        <w:rPr>
          <w:b/>
          <w:color w:val="123B36"/>
          <w:sz w:val="23"/>
        </w:rPr>
        <w:t>Headline numbers</w:t>
      </w:r>
    </w:p>
    <w:tbl>
      <w:tblPr>
        <w:tblStyle w:val="TableGrid"/>
        <w:tblW w:type="auto" w:w="0"/>
        <w:jc w:val="center"/>
        <w:tblLayout w:type="fixed"/>
        <w:tblLook w:firstColumn="1" w:firstRow="1" w:lastColumn="0" w:lastRow="0" w:noHBand="0" w:noVBand="1" w:val="04A0"/>
      </w:tblPr>
      <w:tblGrid>
        <w:gridCol w:w="4252"/>
        <w:gridCol w:w="2268"/>
        <w:gridCol w:w="3402"/>
      </w:tblGrid>
      <w:tr>
        <w:tc>
          <w:tcPr>
            <w:tcW w:type="dxa" w:w="4252"/>
            <w:shd w:val="clear" w:color="auto" w:fill="123B36"/>
          </w:tcPr>
          <w:p>
            <w:r/>
            <w:r>
              <w:rPr>
                <w:rFonts w:ascii="Calibri" w:hAnsi="Calibri"/>
                <w:b/>
                <w:color w:val="FFFFFF"/>
                <w:sz w:val="19"/>
              </w:rPr>
              <w:t>Area</w:t>
            </w:r>
          </w:p>
        </w:tc>
        <w:tc>
          <w:tcPr>
            <w:tcW w:type="dxa" w:w="2268"/>
            <w:shd w:val="clear" w:color="auto" w:fill="123B36"/>
          </w:tcPr>
          <w:p>
            <w:r/>
            <w:r>
              <w:rPr>
                <w:rFonts w:ascii="Calibri" w:hAnsi="Calibri"/>
                <w:b/>
                <w:color w:val="FFFFFF"/>
                <w:sz w:val="19"/>
              </w:rPr>
              <w:t>Result</w:t>
            </w:r>
          </w:p>
        </w:tc>
        <w:tc>
          <w:tcPr>
            <w:tcW w:type="dxa" w:w="3402"/>
            <w:shd w:val="clear" w:color="auto" w:fill="123B36"/>
          </w:tcPr>
          <w:p>
            <w:r/>
            <w:r>
              <w:rPr>
                <w:rFonts w:ascii="Calibri" w:hAnsi="Calibri"/>
                <w:b/>
                <w:color w:val="FFFFFF"/>
                <w:sz w:val="19"/>
              </w:rPr>
              <w:t>Notes</w:t>
            </w:r>
          </w:p>
        </w:tc>
      </w:tr>
      <w:tr>
        <w:tc>
          <w:tcPr>
            <w:tcW w:type="dxa" w:w="4252"/>
          </w:tcPr>
          <w:p>
            <w:r/>
            <w:r>
              <w:rPr>
                <w:rFonts w:ascii="Calibri" w:hAnsi="Calibri"/>
                <w:b w:val="0"/>
                <w:sz w:val="18"/>
              </w:rPr>
              <w:t>Client baseline functional requirements (FR1–FR45)</w:t>
            </w:r>
          </w:p>
        </w:tc>
        <w:tc>
          <w:tcPr>
            <w:tcW w:type="dxa" w:w="2268"/>
          </w:tcPr>
          <w:p>
            <w:r/>
            <w:r>
              <w:rPr>
                <w:rFonts w:ascii="Calibri" w:hAnsi="Calibri"/>
                <w:b w:val="0"/>
                <w:sz w:val="18"/>
              </w:rPr>
              <w:t>37 / 45 Done</w:t>
            </w:r>
          </w:p>
        </w:tc>
        <w:tc>
          <w:tcPr>
            <w:tcW w:type="dxa" w:w="3402"/>
          </w:tcPr>
          <w:p>
            <w:r/>
            <w:r>
              <w:rPr>
                <w:rFonts w:ascii="Calibri" w:hAnsi="Calibri"/>
                <w:b w:val="0"/>
                <w:sz w:val="18"/>
              </w:rPr>
              <w:t>8 Partial, 0 Not implemented</w:t>
            </w:r>
          </w:p>
        </w:tc>
      </w:tr>
      <w:tr>
        <w:tc>
          <w:tcPr>
            <w:tcW w:type="dxa" w:w="4252"/>
          </w:tcPr>
          <w:p>
            <w:r/>
            <w:r>
              <w:rPr>
                <w:rFonts w:ascii="Calibri" w:hAnsi="Calibri"/>
                <w:b w:val="0"/>
                <w:sz w:val="18"/>
              </w:rPr>
              <w:t>AI functional requirements (FR46–FR48)</w:t>
            </w:r>
          </w:p>
        </w:tc>
        <w:tc>
          <w:tcPr>
            <w:tcW w:type="dxa" w:w="2268"/>
          </w:tcPr>
          <w:p>
            <w:r/>
            <w:r>
              <w:rPr>
                <w:rFonts w:ascii="Calibri" w:hAnsi="Calibri"/>
                <w:b w:val="0"/>
                <w:sz w:val="18"/>
              </w:rPr>
              <w:t>0 / 3 Done</w:t>
            </w:r>
          </w:p>
        </w:tc>
        <w:tc>
          <w:tcPr>
            <w:tcW w:type="dxa" w:w="3402"/>
          </w:tcPr>
          <w:p>
            <w:r/>
            <w:r>
              <w:rPr>
                <w:rFonts w:ascii="Calibri" w:hAnsi="Calibri"/>
                <w:b w:val="0"/>
                <w:sz w:val="18"/>
              </w:rPr>
              <w:t>Deferred by design — explicitly excluded in code comments</w:t>
            </w:r>
          </w:p>
        </w:tc>
      </w:tr>
      <w:tr>
        <w:tc>
          <w:tcPr>
            <w:tcW w:type="dxa" w:w="4252"/>
          </w:tcPr>
          <w:p>
            <w:r/>
            <w:r>
              <w:rPr>
                <w:rFonts w:ascii="Calibri" w:hAnsi="Calibri"/>
                <w:b w:val="0"/>
                <w:sz w:val="18"/>
              </w:rPr>
              <w:t>Proposed enhancement requirements (FR49–FR64)</w:t>
            </w:r>
          </w:p>
        </w:tc>
        <w:tc>
          <w:tcPr>
            <w:tcW w:type="dxa" w:w="2268"/>
          </w:tcPr>
          <w:p>
            <w:r/>
            <w:r>
              <w:rPr>
                <w:rFonts w:ascii="Calibri" w:hAnsi="Calibri"/>
                <w:b w:val="0"/>
                <w:sz w:val="18"/>
              </w:rPr>
              <w:t>16 / 16 Done (prototype level)</w:t>
            </w:r>
          </w:p>
        </w:tc>
        <w:tc>
          <w:tcPr>
            <w:tcW w:type="dxa" w:w="3402"/>
          </w:tcPr>
          <w:p>
            <w:r/>
            <w:r>
              <w:rPr>
                <w:rFonts w:ascii="Calibri" w:hAnsi="Calibri"/>
                <w:b w:val="0"/>
                <w:sz w:val="18"/>
              </w:rPr>
              <w:t>Backend + frontend built and tested this session; still “Pending approval” per SRS governance</w:t>
            </w:r>
          </w:p>
        </w:tc>
      </w:tr>
      <w:tr>
        <w:tc>
          <w:tcPr>
            <w:tcW w:type="dxa" w:w="4252"/>
          </w:tcPr>
          <w:p>
            <w:r/>
            <w:r>
              <w:rPr>
                <w:rFonts w:ascii="Calibri" w:hAnsi="Calibri"/>
                <w:b w:val="0"/>
                <w:sz w:val="18"/>
              </w:rPr>
              <w:t>Non-functional requirements (NFR1–NFR20)</w:t>
            </w:r>
          </w:p>
        </w:tc>
        <w:tc>
          <w:tcPr>
            <w:tcW w:type="dxa" w:w="2268"/>
          </w:tcPr>
          <w:p>
            <w:r/>
            <w:r>
              <w:rPr>
                <w:rFonts w:ascii="Calibri" w:hAnsi="Calibri"/>
                <w:b w:val="0"/>
                <w:sz w:val="18"/>
              </w:rPr>
              <w:t>6 / 20 verifiably met</w:t>
            </w:r>
          </w:p>
        </w:tc>
        <w:tc>
          <w:tcPr>
            <w:tcW w:type="dxa" w:w="3402"/>
          </w:tcPr>
          <w:p>
            <w:r/>
            <w:r>
              <w:rPr>
                <w:rFonts w:ascii="Calibri" w:hAnsi="Calibri"/>
                <w:b w:val="0"/>
                <w:sz w:val="18"/>
              </w:rPr>
              <w:t>6 Partial, 6 Not yet tested, 2 Not implemented</w:t>
            </w:r>
          </w:p>
        </w:tc>
      </w:tr>
    </w:tbl>
    <w:p>
      <w:pPr>
        <w:spacing w:after="80"/>
      </w:pPr>
    </w:p>
    <w:p>
      <w:pPr>
        <w:spacing w:before="200" w:after="80"/>
      </w:pPr>
      <w:r>
        <w:rPr>
          <w:b/>
          <w:color w:val="123B36"/>
          <w:sz w:val="23"/>
        </w:rPr>
        <w:t>What this means in plain terms</w:t>
      </w:r>
    </w:p>
    <w:p>
      <w:pPr>
        <w:pStyle w:val="ListBullet"/>
        <w:spacing w:after="60"/>
      </w:pPr>
      <w:r>
        <w:rPr>
          <w:sz w:val="21"/>
        </w:rPr>
        <w:t>The core clinical/operational workflow — register a patient, book an appointment with conflict prevention, prescribe and dispense medicine, order and release a lab result, raise and pay an invoice, view a branch dashboard — is built and has been exercised end-to-end via the API.</w:t>
      </w:r>
    </w:p>
    <w:p>
      <w:pPr>
        <w:pStyle w:val="ListBullet"/>
        <w:spacing w:after="60"/>
      </w:pPr>
      <w:r>
        <w:rPr>
          <w:sz w:val="21"/>
        </w:rPr>
        <w:t>All sixteen proposed enhancements (MFA, break-glass access, admissions/wards, audit search, encrypted backups, branch configuration, consent, data-subject requests, duplicate detection, allergy/expiry dispensing safety, idempotent payments) are built and API-tested, but remain governance-“Pending approval” per the SRS until the supervisor signs off — this report is evidence for that approval step, not a claim that they are already baseline.</w:t>
      </w:r>
    </w:p>
    <w:p>
      <w:pPr>
        <w:pStyle w:val="ListBullet"/>
        <w:spacing w:after="60"/>
      </w:pPr>
      <w:r>
        <w:rPr>
          <w:sz w:val="21"/>
        </w:rPr>
        <w:t>The three AI requirements (chatbot, feedback sentiment, AI report summaries) were deliberately not built — the codebase leaves explicit “AI insights intentionally excluded” comments in place of them.</w:t>
      </w:r>
    </w:p>
    <w:p>
      <w:pPr>
        <w:pStyle w:val="ListBullet"/>
        <w:spacing w:after="60"/>
      </w:pPr>
      <w:r>
        <w:rPr>
          <w:sz w:val="21"/>
        </w:rPr>
        <w:t>Automated testing is the biggest gap: there are no working unit, integration, or end-to-end test suites. All verification to date has been manual — curl-based API testing, code review, and successful production builds. No browser/UI click-through has been performed on the FR49–FR64 screens.</w:t>
      </w:r>
    </w:p>
    <w:p>
      <w:pPr>
        <w:pStyle w:val="ListBullet"/>
        <w:spacing w:after="60"/>
      </w:pPr>
      <w:r>
        <w:rPr>
          <w:sz w:val="21"/>
        </w:rPr>
        <w:t>Several NFRs that need dedicated test tooling — 200-concurrent-user load (NFR2), WCAG accessibility (NFR15), timed 30-minute recovery (NFR18), 99.5% uptime (NFR16) — have not been tested at all and should not be assumed to pass.</w:t>
      </w:r>
    </w:p>
    <w:p>
      <w:pPr>
        <w:pStyle w:val="ListBullet"/>
        <w:spacing w:after="60"/>
      </w:pPr>
      <w:r>
        <w:rPr>
          <w:sz w:val="21"/>
        </w:rPr>
        <w:t>Git history does not yet reflect the work: the repository has 3 commits, all from the initial scaffold, and the entire backend plus the FR1–45 rewire and all of FR49–64 exist only as uncommitted working-directory changes. This needs to change before commit history can serve as individual contribution evidence (Appendix G of the SRS).</w:t>
      </w:r>
    </w:p>
    <w:p>
      <w:r>
        <w:br w:type="page"/>
      </w:r>
    </w:p>
    <w:p>
      <w:pPr>
        <w:pStyle w:val="Heading1"/>
        <w:spacing w:before="240" w:after="120"/>
      </w:pPr>
      <w:r>
        <w:t>2. System Overview</w:t>
      </w:r>
    </w:p>
    <w:p>
      <w:pPr>
        <w:spacing w:before="200" w:after="80"/>
      </w:pPr>
      <w:r>
        <w:rPr>
          <w:b/>
          <w:color w:val="123B36"/>
          <w:sz w:val="23"/>
        </w:rPr>
        <w:t>2.1 Architecture actually built</w:t>
      </w:r>
    </w:p>
    <w:tbl>
      <w:tblPr>
        <w:tblStyle w:val="TableGrid"/>
        <w:tblW w:type="auto" w:w="0"/>
        <w:jc w:val="center"/>
        <w:tblLayout w:type="fixed"/>
        <w:tblLook w:firstColumn="1" w:firstRow="1" w:lastColumn="0" w:lastRow="0" w:noHBand="0" w:noVBand="1" w:val="04A0"/>
      </w:tblPr>
      <w:tblGrid>
        <w:gridCol w:w="1587"/>
        <w:gridCol w:w="3515"/>
        <w:gridCol w:w="4819"/>
      </w:tblGrid>
      <w:tr>
        <w:tc>
          <w:tcPr>
            <w:tcW w:type="dxa" w:w="1587"/>
            <w:shd w:val="clear" w:color="auto" w:fill="123B36"/>
          </w:tcPr>
          <w:p>
            <w:r/>
            <w:r>
              <w:rPr>
                <w:rFonts w:ascii="Calibri" w:hAnsi="Calibri"/>
                <w:b/>
                <w:color w:val="FFFFFF"/>
                <w:sz w:val="19"/>
              </w:rPr>
              <w:t>Layer</w:t>
            </w:r>
          </w:p>
        </w:tc>
        <w:tc>
          <w:tcPr>
            <w:tcW w:type="dxa" w:w="3515"/>
            <w:shd w:val="clear" w:color="auto" w:fill="123B36"/>
          </w:tcPr>
          <w:p>
            <w:r/>
            <w:r>
              <w:rPr>
                <w:rFonts w:ascii="Calibri" w:hAnsi="Calibri"/>
                <w:b/>
                <w:color w:val="FFFFFF"/>
                <w:sz w:val="19"/>
              </w:rPr>
              <w:t>What was actually built</w:t>
            </w:r>
          </w:p>
        </w:tc>
        <w:tc>
          <w:tcPr>
            <w:tcW w:type="dxa" w:w="4819"/>
            <w:shd w:val="clear" w:color="auto" w:fill="123B36"/>
          </w:tcPr>
          <w:p>
            <w:r/>
            <w:r>
              <w:rPr>
                <w:rFonts w:ascii="Calibri" w:hAnsi="Calibri"/>
                <w:b/>
                <w:color w:val="FFFFFF"/>
                <w:sz w:val="19"/>
              </w:rPr>
              <w:t>Notes / difference from SRS baseline</w:t>
            </w:r>
          </w:p>
        </w:tc>
      </w:tr>
      <w:tr>
        <w:tc>
          <w:tcPr>
            <w:tcW w:type="dxa" w:w="1587"/>
          </w:tcPr>
          <w:p>
            <w:r/>
            <w:r>
              <w:rPr>
                <w:rFonts w:ascii="Calibri" w:hAnsi="Calibri"/>
                <w:b w:val="0"/>
                <w:sz w:val="18"/>
              </w:rPr>
              <w:t>Backend</w:t>
            </w:r>
          </w:p>
        </w:tc>
        <w:tc>
          <w:tcPr>
            <w:tcW w:type="dxa" w:w="3515"/>
          </w:tcPr>
          <w:p>
            <w:r/>
            <w:r>
              <w:rPr>
                <w:rFonts w:ascii="Calibri" w:hAnsi="Calibri"/>
                <w:b w:val="0"/>
                <w:sz w:val="18"/>
              </w:rPr>
              <w:t>PHP 8.2, Laravel 11, Sanctum (bearer-token API auth)</w:t>
            </w:r>
          </w:p>
        </w:tc>
        <w:tc>
          <w:tcPr>
            <w:tcW w:type="dxa" w:w="4819"/>
          </w:tcPr>
          <w:p>
            <w:r/>
            <w:r>
              <w:rPr>
                <w:rFonts w:ascii="Calibri" w:hAnsi="Calibri"/>
                <w:b w:val="0"/>
                <w:sz w:val="18"/>
              </w:rPr>
              <w:t>Matches SRS 2.2 recommended baseline (“Supported PHP 8.x; Composer; Laravel or equivalent”).</w:t>
            </w:r>
          </w:p>
        </w:tc>
      </w:tr>
      <w:tr>
        <w:tc>
          <w:tcPr>
            <w:tcW w:type="dxa" w:w="1587"/>
          </w:tcPr>
          <w:p>
            <w:r/>
            <w:r>
              <w:rPr>
                <w:rFonts w:ascii="Calibri" w:hAnsi="Calibri"/>
                <w:b w:val="0"/>
                <w:sz w:val="18"/>
              </w:rPr>
              <w:t>Database</w:t>
            </w:r>
          </w:p>
        </w:tc>
        <w:tc>
          <w:tcPr>
            <w:tcW w:type="dxa" w:w="3515"/>
          </w:tcPr>
          <w:p>
            <w:r/>
            <w:r>
              <w:rPr>
                <w:rFonts w:ascii="Calibri" w:hAnsi="Calibri"/>
                <w:b w:val="0"/>
                <w:sz w:val="18"/>
              </w:rPr>
              <w:t>MySQL 8.x (via XAMPP in the dev environment), versioned migrations + seeders</w:t>
            </w:r>
          </w:p>
        </w:tc>
        <w:tc>
          <w:tcPr>
            <w:tcW w:type="dxa" w:w="4819"/>
          </w:tcPr>
          <w:p>
            <w:r/>
            <w:r>
              <w:rPr>
                <w:rFonts w:ascii="Calibri" w:hAnsi="Calibri"/>
                <w:b w:val="0"/>
                <w:sz w:val="18"/>
              </w:rPr>
              <w:t>Matches SRS 2.2 baseline (“MySQL 8.x… versioned migrations and seeders”).</w:t>
            </w:r>
          </w:p>
        </w:tc>
      </w:tr>
      <w:tr>
        <w:tc>
          <w:tcPr>
            <w:tcW w:type="dxa" w:w="1587"/>
          </w:tcPr>
          <w:p>
            <w:r/>
            <w:r>
              <w:rPr>
                <w:rFonts w:ascii="Calibri" w:hAnsi="Calibri"/>
                <w:b w:val="0"/>
                <w:sz w:val="18"/>
              </w:rPr>
              <w:t>Frontend</w:t>
            </w:r>
          </w:p>
        </w:tc>
        <w:tc>
          <w:tcPr>
            <w:tcW w:type="dxa" w:w="3515"/>
          </w:tcPr>
          <w:p>
            <w:r/>
            <w:r>
              <w:rPr>
                <w:rFonts w:ascii="Calibri" w:hAnsi="Calibri"/>
                <w:b w:val="0"/>
                <w:sz w:val="18"/>
              </w:rPr>
              <w:t>React 18 + Vite, installable PWA (manifest.json + service worker)</w:t>
            </w:r>
          </w:p>
        </w:tc>
        <w:tc>
          <w:tcPr>
            <w:tcW w:type="dxa" w:w="4819"/>
          </w:tcPr>
          <w:p>
            <w:r/>
            <w:r>
              <w:rPr>
                <w:rFonts w:ascii="Calibri" w:hAnsi="Calibri"/>
                <w:b w:val="0"/>
                <w:sz w:val="18"/>
              </w:rPr>
              <w:t>DIFFERS from the SRS’s recommended cross-platform native app (Flutter/React Native, SRS 4.3.1). The team built the “installable responsive PWA” interpretation named in the SRS’s own document-control table and Executive Summary, not a native mobile app. The SRS’s own Section 10 feedback table flags this exact “platform conflict: installable mobile vs responsive web” as “pending confirmation” — it has not been formally resolved with the supervisor.</w:t>
            </w:r>
          </w:p>
        </w:tc>
      </w:tr>
      <w:tr>
        <w:tc>
          <w:tcPr>
            <w:tcW w:type="dxa" w:w="1587"/>
          </w:tcPr>
          <w:p>
            <w:r/>
            <w:r>
              <w:rPr>
                <w:rFonts w:ascii="Calibri" w:hAnsi="Calibri"/>
                <w:b w:val="0"/>
                <w:sz w:val="18"/>
              </w:rPr>
              <w:t>API style</w:t>
            </w:r>
          </w:p>
        </w:tc>
        <w:tc>
          <w:tcPr>
            <w:tcW w:type="dxa" w:w="3515"/>
          </w:tcPr>
          <w:p>
            <w:r/>
            <w:r>
              <w:rPr>
                <w:rFonts w:ascii="Calibri" w:hAnsi="Calibri"/>
                <w:b w:val="0"/>
                <w:sz w:val="18"/>
              </w:rPr>
              <w:t>RESTful JSON over HTTP (Bearer token), one Laravel resource controller per module</w:t>
            </w:r>
          </w:p>
        </w:tc>
        <w:tc>
          <w:tcPr>
            <w:tcW w:type="dxa" w:w="4819"/>
          </w:tcPr>
          <w:p>
            <w:r/>
            <w:r>
              <w:rPr>
                <w:rFonts w:ascii="Calibri" w:hAnsi="Calibri"/>
                <w:b w:val="0"/>
                <w:sz w:val="18"/>
              </w:rPr>
              <w:t>Matches SRS 4.4 (“RESTful APIs exchanging JSON payloads”).</w:t>
            </w:r>
          </w:p>
        </w:tc>
      </w:tr>
      <w:tr>
        <w:tc>
          <w:tcPr>
            <w:tcW w:type="dxa" w:w="1587"/>
          </w:tcPr>
          <w:p>
            <w:r/>
            <w:r>
              <w:rPr>
                <w:rFonts w:ascii="Calibri" w:hAnsi="Calibri"/>
                <w:b w:val="0"/>
                <w:sz w:val="18"/>
              </w:rPr>
              <w:t>File storage</w:t>
            </w:r>
          </w:p>
        </w:tc>
        <w:tc>
          <w:tcPr>
            <w:tcW w:type="dxa" w:w="3515"/>
          </w:tcPr>
          <w:p>
            <w:r/>
            <w:r>
              <w:rPr>
                <w:rFonts w:ascii="Calibri" w:hAnsi="Calibri"/>
                <w:b w:val="0"/>
                <w:sz w:val="18"/>
              </w:rPr>
              <w:t>Laravel private local disk (storage/app/private) for lab results and encrypted backups</w:t>
            </w:r>
          </w:p>
        </w:tc>
        <w:tc>
          <w:tcPr>
            <w:tcW w:type="dxa" w:w="4819"/>
          </w:tcPr>
          <w:p>
            <w:r/>
            <w:r>
              <w:rPr>
                <w:rFonts w:ascii="Calibri" w:hAnsi="Calibri"/>
                <w:b w:val="0"/>
                <w:sz w:val="18"/>
              </w:rPr>
              <w:t>Matches SRS “private reports are kept out of the public webroot.”</w:t>
            </w:r>
          </w:p>
        </w:tc>
      </w:tr>
      <w:tr>
        <w:tc>
          <w:tcPr>
            <w:tcW w:type="dxa" w:w="1587"/>
          </w:tcPr>
          <w:p>
            <w:r/>
            <w:r>
              <w:rPr>
                <w:rFonts w:ascii="Calibri" w:hAnsi="Calibri"/>
                <w:b w:val="0"/>
                <w:sz w:val="18"/>
              </w:rPr>
              <w:t>Encryption at rest</w:t>
            </w:r>
          </w:p>
        </w:tc>
        <w:tc>
          <w:tcPr>
            <w:tcW w:type="dxa" w:w="3515"/>
          </w:tcPr>
          <w:p>
            <w:r/>
            <w:r>
              <w:rPr>
                <w:rFonts w:ascii="Calibri" w:hAnsi="Calibri"/>
                <w:b w:val="0"/>
                <w:sz w:val="18"/>
              </w:rPr>
              <w:t>Laravel encrypted casts (AES-256-GCM via the app key) on sensitive fields (allergies, clinical content, MFA secrets, backup files)</w:t>
            </w:r>
          </w:p>
        </w:tc>
        <w:tc>
          <w:tcPr>
            <w:tcW w:type="dxa" w:w="4819"/>
          </w:tcPr>
          <w:p>
            <w:r/>
            <w:r>
              <w:rPr>
                <w:rFonts w:ascii="Calibri" w:hAnsi="Calibri"/>
                <w:b w:val="0"/>
                <w:sz w:val="18"/>
              </w:rPr>
              <w:t>Matches SRS 6.1 AES-256-GCM intent. Public-key wrapping of the AES key is not implemented — the app relies on Laravel’s single application key, not a separate key-management/rotation service.</w:t>
            </w:r>
          </w:p>
        </w:tc>
      </w:tr>
      <w:tr>
        <w:tc>
          <w:tcPr>
            <w:tcW w:type="dxa" w:w="1587"/>
          </w:tcPr>
          <w:p>
            <w:r/>
            <w:r>
              <w:rPr>
                <w:rFonts w:ascii="Calibri" w:hAnsi="Calibri"/>
                <w:b w:val="0"/>
                <w:sz w:val="18"/>
              </w:rPr>
              <w:t>Transport security</w:t>
            </w:r>
          </w:p>
        </w:tc>
        <w:tc>
          <w:tcPr>
            <w:tcW w:type="dxa" w:w="3515"/>
          </w:tcPr>
          <w:p>
            <w:r/>
            <w:r>
              <w:rPr>
                <w:rFonts w:ascii="Calibri" w:hAnsi="Calibri"/>
                <w:b w:val="0"/>
                <w:sz w:val="18"/>
              </w:rPr>
              <w:t>Plain HTTP in the current local development environment; no TLS certificate, no forced-HTTPS middleware found</w:t>
            </w:r>
          </w:p>
        </w:tc>
        <w:tc>
          <w:tcPr>
            <w:tcW w:type="dxa" w:w="4819"/>
          </w:tcPr>
          <w:p>
            <w:r/>
            <w:r>
              <w:rPr>
                <w:rFonts w:ascii="Calibri" w:hAnsi="Calibri"/>
                <w:b w:val="0"/>
                <w:sz w:val="18"/>
              </w:rPr>
              <w:t>DOES NOT yet meet SRS 4.4/NFR9 (“all communication… secured using SSL/TLS”). This is expected for a XAMPP dev environment but is a real, unresolved gap before any deployment.</w:t>
            </w:r>
          </w:p>
        </w:tc>
      </w:tr>
    </w:tbl>
    <w:p>
      <w:pPr>
        <w:spacing w:after="80"/>
      </w:pPr>
    </w:p>
    <w:p>
      <w:pPr>
        <w:spacing w:before="200" w:after="80"/>
      </w:pPr>
      <w:r>
        <w:rPr>
          <w:b/>
          <w:color w:val="123B36"/>
          <w:sz w:val="23"/>
        </w:rPr>
        <w:t>2.2 Codebase size (for scale)</w:t>
      </w:r>
    </w:p>
    <w:p>
      <w:pPr>
        <w:pStyle w:val="ListBullet"/>
        <w:spacing w:after="60"/>
      </w:pPr>
      <w:r>
        <w:rPr>
          <w:sz w:val="21"/>
        </w:rPr>
        <w:t>Backend: 41 migrations, 34 Eloquent models, 26 API controllers, 16 database seeders.</w:t>
      </w:r>
    </w:p>
    <w:p>
      <w:pPr>
        <w:pStyle w:val="ListBullet"/>
        <w:spacing w:after="60"/>
      </w:pPr>
      <w:r>
        <w:rPr>
          <w:sz w:val="21"/>
        </w:rPr>
        <w:t>Frontend: 30 page components, 23 service modules (one per backend module, snake_case→camelCase adapters).</w:t>
      </w:r>
    </w:p>
    <w:p>
      <w:pPr>
        <w:pStyle w:val="ListBullet"/>
        <w:spacing w:after="60"/>
      </w:pPr>
      <w:r>
        <w:rPr>
          <w:sz w:val="21"/>
        </w:rPr>
        <w:t>105 registered API routes (confirmed via `php artisan route:list`).</w:t>
      </w:r>
    </w:p>
    <w:p>
      <w:pPr>
        <w:spacing w:before="200" w:after="80"/>
      </w:pPr>
      <w:r>
        <w:rPr>
          <w:b/>
          <w:color w:val="123B36"/>
          <w:sz w:val="23"/>
        </w:rPr>
        <w:t>2.3 Environment and configuration notes</w:t>
      </w:r>
    </w:p>
    <w:p>
      <w:pPr>
        <w:pStyle w:val="ListBullet"/>
        <w:spacing w:after="60"/>
      </w:pPr>
      <w:r>
        <w:rPr>
          <w:sz w:val="21"/>
        </w:rPr>
        <w:t>APP_ENV=local and APP_DEBUG=true in the current .env — error responses currently return full PHP stack traces (file paths, line numbers) to the API caller. This must be turned off before any deployment; it is a concrete instance of the NFR14 “no sensitive error disclosure” gap noted below.</w:t>
      </w:r>
    </w:p>
    <w:p>
      <w:pPr>
        <w:pStyle w:val="ListBullet"/>
        <w:spacing w:after="60"/>
      </w:pPr>
      <w:r>
        <w:rPr>
          <w:sz w:val="21"/>
        </w:rPr>
        <w:t>SESSION_DRIVER, QUEUE_CONNECTION and CACHE_STORE are all set to “database” (not file-based), which is compatible with a future multi-server deployment (NFR6), but no queue worker is running and no code dispatches a queued job — the queue table is configured but unused.</w:t>
      </w:r>
    </w:p>
    <w:p>
      <w:pPr>
        <w:pStyle w:val="ListBullet"/>
        <w:spacing w:after="60"/>
      </w:pPr>
      <w:r>
        <w:rPr>
          <w:sz w:val="21"/>
        </w:rPr>
        <w:t>Root README.md is stale: it still describes the original frontend-only mock prototype (“No backend, no database, no real login”) and does not reflect the current Laravel + MySQL system. backend/README.md is the untouched default Laravel scaffold. There is no installation, schema, or administrator guide (NFR20 gap — see Section 6).</w:t>
      </w:r>
    </w:p>
    <w:p>
      <w:r>
        <w:br w:type="page"/>
      </w:r>
    </w:p>
    <w:p>
      <w:pPr>
        <w:pStyle w:val="Heading1"/>
        <w:spacing w:before="240" w:after="120"/>
      </w:pPr>
      <w:r>
        <w:t>3. Functional Requirements Traceability — FR1 to FR45 (Client Baseline)</w:t>
      </w:r>
    </w:p>
    <w:p>
      <w:pPr>
        <w:spacing w:after="160"/>
      </w:pPr>
      <w:r>
        <w:rPr>
          <w:b w:val="0"/>
          <w:i/>
          <w:color w:val="5B6B67"/>
          <w:sz w:val="19"/>
        </w:rPr>
        <w:t>Table columns: FR # | Requirement (short) | Status | Where implemented | How verified. Full requirement wording is in SRS Appendix A; only a short paraphrase is given here for space.</w:t>
      </w:r>
    </w:p>
    <w:p>
      <w:pPr>
        <w:spacing w:before="200" w:after="80"/>
      </w:pPr>
      <w:r>
        <w:rPr>
          <w:b/>
          <w:color w:val="123B36"/>
          <w:sz w:val="23"/>
        </w:rPr>
        <w:t>Authentication (FR1–FR5)</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FR1</w:t>
            </w:r>
          </w:p>
        </w:tc>
        <w:tc>
          <w:tcPr>
            <w:tcW w:type="dxa" w:w="2665"/>
          </w:tcPr>
          <w:p>
            <w:r/>
            <w:r>
              <w:rPr>
                <w:rFonts w:ascii="Calibri" w:hAnsi="Calibri"/>
                <w:b w:val="0"/>
                <w:sz w:val="18"/>
              </w:rPr>
              <w:t>Register users only after validating email, unique username and password</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AuthController::register; RegisterPatientRequest (email unique+valid, password min 8 + confirmed); username auto-generated with a collision-checked loop</w:t>
            </w:r>
          </w:p>
        </w:tc>
        <w:tc>
          <w:tcPr>
            <w:tcW w:type="dxa" w:w="2551"/>
          </w:tcPr>
          <w:p>
            <w:r/>
            <w:r>
              <w:rPr>
                <w:rFonts w:ascii="Calibri" w:hAnsi="Calibri"/>
                <w:b w:val="0"/>
                <w:sz w:val="18"/>
              </w:rPr>
              <w:t>Manual API testing (registration flow exercised repeatedly this and prior sessions)</w:t>
            </w:r>
          </w:p>
        </w:tc>
      </w:tr>
      <w:tr>
        <w:tc>
          <w:tcPr>
            <w:tcW w:type="dxa" w:w="737"/>
          </w:tcPr>
          <w:p>
            <w:r/>
            <w:r>
              <w:rPr>
                <w:rFonts w:ascii="Calibri" w:hAnsi="Calibri"/>
                <w:b w:val="0"/>
                <w:sz w:val="18"/>
              </w:rPr>
              <w:t>FR2</w:t>
            </w:r>
          </w:p>
        </w:tc>
        <w:tc>
          <w:tcPr>
            <w:tcW w:type="dxa" w:w="2665"/>
          </w:tcPr>
          <w:p>
            <w:r/>
            <w:r>
              <w:rPr>
                <w:rFonts w:ascii="Calibri" w:hAnsi="Calibri"/>
                <w:b w:val="0"/>
                <w:sz w:val="18"/>
              </w:rPr>
              <w:t>Verify login credentials; reject invalid/unauthorised access with a generic error</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AuthController::login — returns a single generic “These credentials do not match our records.” for any failure case</w:t>
            </w:r>
          </w:p>
        </w:tc>
        <w:tc>
          <w:tcPr>
            <w:tcW w:type="dxa" w:w="2551"/>
          </w:tcPr>
          <w:p>
            <w:r/>
            <w:r>
              <w:rPr>
                <w:rFonts w:ascii="Calibri" w:hAnsi="Calibri"/>
                <w:b w:val="0"/>
                <w:sz w:val="18"/>
              </w:rPr>
              <w:t>Manual API testing, incl. wrong-password and MFA-challenge flows</w:t>
            </w:r>
          </w:p>
        </w:tc>
      </w:tr>
      <w:tr>
        <w:tc>
          <w:tcPr>
            <w:tcW w:type="dxa" w:w="737"/>
          </w:tcPr>
          <w:p>
            <w:r/>
            <w:r>
              <w:rPr>
                <w:rFonts w:ascii="Calibri" w:hAnsi="Calibri"/>
                <w:b w:val="0"/>
                <w:sz w:val="18"/>
              </w:rPr>
              <w:t>FR3</w:t>
            </w:r>
          </w:p>
        </w:tc>
        <w:tc>
          <w:tcPr>
            <w:tcW w:type="dxa" w:w="2665"/>
          </w:tcPr>
          <w:p>
            <w:r/>
            <w:r>
              <w:rPr>
                <w:rFonts w:ascii="Calibri" w:hAnsi="Calibri"/>
                <w:b w:val="0"/>
                <w:sz w:val="18"/>
              </w:rPr>
              <w:t>Hash passwords with bcrypt/Argon2id or approved equivalent</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User model 'password' =&gt; 'hashed' cast; Laravel's default Hash driver is bcrypt (no config/hashing.php override present)</w:t>
            </w:r>
          </w:p>
        </w:tc>
        <w:tc>
          <w:tcPr>
            <w:tcW w:type="dxa" w:w="2551"/>
          </w:tcPr>
          <w:p>
            <w:r/>
            <w:r>
              <w:rPr>
                <w:rFonts w:ascii="Calibri" w:hAnsi="Calibri"/>
                <w:b w:val="0"/>
                <w:sz w:val="18"/>
              </w:rPr>
              <w:t>Code review; no plaintext password ever persisted in any controller</w:t>
            </w:r>
          </w:p>
        </w:tc>
      </w:tr>
      <w:tr>
        <w:tc>
          <w:tcPr>
            <w:tcW w:type="dxa" w:w="737"/>
          </w:tcPr>
          <w:p>
            <w:r/>
            <w:r>
              <w:rPr>
                <w:rFonts w:ascii="Calibri" w:hAnsi="Calibri"/>
                <w:b w:val="0"/>
                <w:sz w:val="18"/>
              </w:rPr>
              <w:t>FR4</w:t>
            </w:r>
          </w:p>
        </w:tc>
        <w:tc>
          <w:tcPr>
            <w:tcW w:type="dxa" w:w="2665"/>
          </w:tcPr>
          <w:p>
            <w:r/>
            <w:r>
              <w:rPr>
                <w:rFonts w:ascii="Calibri" w:hAnsi="Calibri"/>
                <w:b w:val="0"/>
                <w:sz w:val="18"/>
              </w:rPr>
              <w:t>Present a dashboard authorised for the user's role</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src/App.jsx role-based rendering (roleBucket() → patient/doctor/staff/admin dashboards)</w:t>
            </w:r>
          </w:p>
        </w:tc>
        <w:tc>
          <w:tcPr>
            <w:tcW w:type="dxa" w:w="2551"/>
          </w:tcPr>
          <w:p>
            <w:r/>
            <w:r>
              <w:rPr>
                <w:rFonts w:ascii="Calibri" w:hAnsi="Calibri"/>
                <w:b w:val="0"/>
                <w:sz w:val="18"/>
              </w:rPr>
              <w:t>Manual login-as-each-role walkthrough (prior sessions)</w:t>
            </w:r>
          </w:p>
        </w:tc>
      </w:tr>
      <w:tr>
        <w:tc>
          <w:tcPr>
            <w:tcW w:type="dxa" w:w="737"/>
          </w:tcPr>
          <w:p>
            <w:r/>
            <w:r>
              <w:rPr>
                <w:rFonts w:ascii="Calibri" w:hAnsi="Calibri"/>
                <w:b w:val="0"/>
                <w:sz w:val="18"/>
              </w:rPr>
              <w:t>FR5</w:t>
            </w:r>
          </w:p>
        </w:tc>
        <w:tc>
          <w:tcPr>
            <w:tcW w:type="dxa" w:w="2665"/>
          </w:tcPr>
          <w:p>
            <w:r/>
            <w:r>
              <w:rPr>
                <w:rFonts w:ascii="Calibri" w:hAnsi="Calibri"/>
                <w:b w:val="0"/>
                <w:sz w:val="18"/>
              </w:rPr>
              <w:t>Admins add, modify and deactivate accounts, actions audited</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StaffController::store/update (covers every staff_type incl. admin/branch_manager); 'audit' middleware on mutating routes</w:t>
            </w:r>
          </w:p>
        </w:tc>
        <w:tc>
          <w:tcPr>
            <w:tcW w:type="dxa" w:w="2551"/>
          </w:tcPr>
          <w:p>
            <w:r/>
            <w:r>
              <w:rPr>
                <w:rFonts w:ascii="Calibri" w:hAnsi="Calibri"/>
                <w:b w:val="0"/>
                <w:sz w:val="18"/>
              </w:rPr>
              <w:t>Manual API testing + audit_logs row inspection</w:t>
            </w:r>
          </w:p>
        </w:tc>
      </w:tr>
    </w:tbl>
    <w:p>
      <w:pPr>
        <w:spacing w:after="80"/>
      </w:pPr>
    </w:p>
    <w:p>
      <w:pPr>
        <w:spacing w:before="200" w:after="80"/>
      </w:pPr>
      <w:r>
        <w:rPr>
          <w:b/>
          <w:color w:val="123B36"/>
          <w:sz w:val="23"/>
        </w:rPr>
        <w:t>Branch (FR6–FR10)</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FR6</w:t>
            </w:r>
          </w:p>
        </w:tc>
        <w:tc>
          <w:tcPr>
            <w:tcW w:type="dxa" w:w="2665"/>
          </w:tcPr>
          <w:p>
            <w:r/>
            <w:r>
              <w:rPr>
                <w:rFonts w:ascii="Calibri" w:hAnsi="Calibri"/>
                <w:b w:val="0"/>
                <w:sz w:val="18"/>
              </w:rPr>
              <w:t>Admins create, update and deactivate branches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BranchController::store/update/destroy — destroy() soft-deactivates (status='inactive'), never hard-deletes</w:t>
            </w:r>
          </w:p>
        </w:tc>
        <w:tc>
          <w:tcPr>
            <w:tcW w:type="dxa" w:w="2551"/>
          </w:tcPr>
          <w:p>
            <w:r/>
            <w:r>
              <w:rPr>
                <w:rFonts w:ascii="Calibri" w:hAnsi="Calibri"/>
                <w:b w:val="0"/>
                <w:sz w:val="18"/>
              </w:rPr>
              <w:t>curl CRUD test this session (Task 1): create, update, deactivate, reactivate all confirmed</w:t>
            </w:r>
          </w:p>
        </w:tc>
      </w:tr>
      <w:tr>
        <w:tc>
          <w:tcPr>
            <w:tcW w:type="dxa" w:w="737"/>
          </w:tcPr>
          <w:p>
            <w:r/>
            <w:r>
              <w:rPr>
                <w:rFonts w:ascii="Calibri" w:hAnsi="Calibri"/>
                <w:b w:val="0"/>
                <w:sz w:val="18"/>
              </w:rPr>
              <w:t>FR7</w:t>
            </w:r>
          </w:p>
        </w:tc>
        <w:tc>
          <w:tcPr>
            <w:tcW w:type="dxa" w:w="2665"/>
          </w:tcPr>
          <w:p>
            <w:r/>
            <w:r>
              <w:rPr>
                <w:rFonts w:ascii="Calibri" w:hAnsi="Calibri"/>
                <w:b w:val="0"/>
                <w:sz w:val="18"/>
              </w:rPr>
              <w:t>Unique branch ID, name, location and contact stored per branch</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branches migration/model: id PK, name, state, address, contact_number, email, capacity, status</w:t>
            </w:r>
          </w:p>
        </w:tc>
        <w:tc>
          <w:tcPr>
            <w:tcW w:type="dxa" w:w="2551"/>
          </w:tcPr>
          <w:p>
            <w:r/>
            <w:r>
              <w:rPr>
                <w:rFonts w:ascii="Calibri" w:hAnsi="Calibri"/>
                <w:b w:val="0"/>
                <w:sz w:val="18"/>
              </w:rPr>
              <w:t>Schema review + CRUD test above</w:t>
            </w:r>
          </w:p>
        </w:tc>
      </w:tr>
      <w:tr>
        <w:tc>
          <w:tcPr>
            <w:tcW w:type="dxa" w:w="737"/>
          </w:tcPr>
          <w:p>
            <w:r/>
            <w:r>
              <w:rPr>
                <w:rFonts w:ascii="Calibri" w:hAnsi="Calibri"/>
                <w:b w:val="0"/>
                <w:sz w:val="18"/>
              </w:rPr>
              <w:t>FR8</w:t>
            </w:r>
          </w:p>
        </w:tc>
        <w:tc>
          <w:tcPr>
            <w:tcW w:type="dxa" w:w="2665"/>
          </w:tcPr>
          <w:p>
            <w:r/>
            <w:r>
              <w:rPr>
                <w:rFonts w:ascii="Calibri" w:hAnsi="Calibri"/>
                <w:b w:val="0"/>
                <w:sz w:val="18"/>
              </w:rPr>
              <w:t>Admins assign staff to branches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BranchController::assignStaff (POST /branches/{branch}/assign-staff)</w:t>
            </w:r>
          </w:p>
        </w:tc>
        <w:tc>
          <w:tcPr>
            <w:tcW w:type="dxa" w:w="2551"/>
          </w:tcPr>
          <w:p>
            <w:r/>
            <w:r>
              <w:rPr>
                <w:rFonts w:ascii="Calibri" w:hAnsi="Calibri"/>
                <w:b w:val="0"/>
                <w:sz w:val="18"/>
              </w:rPr>
              <w:t>Code review; exercised in earlier session per FR_PROGRESS.md</w:t>
            </w:r>
          </w:p>
        </w:tc>
      </w:tr>
      <w:tr>
        <w:tc>
          <w:tcPr>
            <w:tcW w:type="dxa" w:w="737"/>
          </w:tcPr>
          <w:p>
            <w:r/>
            <w:r>
              <w:rPr>
                <w:rFonts w:ascii="Calibri" w:hAnsi="Calibri"/>
                <w:b w:val="0"/>
                <w:sz w:val="18"/>
              </w:rPr>
              <w:t>FR9</w:t>
            </w:r>
          </w:p>
        </w:tc>
        <w:tc>
          <w:tcPr>
            <w:tcW w:type="dxa" w:w="2665"/>
          </w:tcPr>
          <w:p>
            <w:r/>
            <w:r>
              <w:rPr>
                <w:rFonts w:ascii="Calibri" w:hAnsi="Calibri"/>
                <w:b w:val="0"/>
                <w:sz w:val="18"/>
              </w:rPr>
              <w:t>Statistics/reports filterable by branch</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branch_id query-param filtering present across Report/Patient/Appointment/Pharmacy/Lab/Audit controllers</w:t>
            </w:r>
          </w:p>
        </w:tc>
        <w:tc>
          <w:tcPr>
            <w:tcW w:type="dxa" w:w="2551"/>
          </w:tcPr>
          <w:p>
            <w:r/>
            <w:r>
              <w:rPr>
                <w:rFonts w:ascii="Calibri" w:hAnsi="Calibri"/>
                <w:b w:val="0"/>
                <w:sz w:val="18"/>
              </w:rPr>
              <w:t>curl tests across multiple controllers this session</w:t>
            </w:r>
          </w:p>
        </w:tc>
      </w:tr>
      <w:tr>
        <w:tc>
          <w:tcPr>
            <w:tcW w:type="dxa" w:w="737"/>
          </w:tcPr>
          <w:p>
            <w:r/>
            <w:r>
              <w:rPr>
                <w:rFonts w:ascii="Calibri" w:hAnsi="Calibri"/>
                <w:b w:val="0"/>
                <w:sz w:val="18"/>
              </w:rPr>
              <w:t>FR10</w:t>
            </w:r>
          </w:p>
        </w:tc>
        <w:tc>
          <w:tcPr>
            <w:tcW w:type="dxa" w:w="2665"/>
          </w:tcPr>
          <w:p>
            <w:r/>
            <w:r>
              <w:rPr>
                <w:rFonts w:ascii="Calibri" w:hAnsi="Calibri"/>
                <w:b w:val="0"/>
                <w:sz w:val="18"/>
              </w:rPr>
              <w:t>Branch managers monitor admissions/discharges/resources for their branch ONLY</w:t>
            </w:r>
          </w:p>
        </w:tc>
        <w:tc>
          <w:tcPr>
            <w:tcW w:type="dxa" w:w="1134"/>
            <w:shd w:val="clear" w:color="auto" w:fill="FDF2E0"/>
          </w:tcPr>
          <w:p>
            <w:r/>
            <w:r>
              <w:rPr>
                <w:rFonts w:ascii="Calibri" w:hAnsi="Calibri"/>
                <w:b/>
                <w:color w:val="8A5A00"/>
                <w:sz w:val="18"/>
              </w:rPr>
              <w:t>Partial</w:t>
            </w:r>
          </w:p>
        </w:tc>
        <w:tc>
          <w:tcPr>
            <w:tcW w:type="dxa" w:w="2551"/>
          </w:tcPr>
          <w:p>
            <w:r/>
            <w:r>
              <w:rPr>
                <w:rFonts w:ascii="Calibri" w:hAnsi="Calibri"/>
                <w:b w:val="0"/>
                <w:sz w:val="18"/>
              </w:rPr>
              <w:t>BranchController::statistics/index accept any branch_id</w:t>
            </w:r>
          </w:p>
        </w:tc>
        <w:tc>
          <w:tcPr>
            <w:tcW w:type="dxa" w:w="2551"/>
          </w:tcPr>
          <w:p>
            <w:r/>
            <w:r>
              <w:rPr>
                <w:rFonts w:ascii="Calibri" w:hAnsi="Calibri"/>
                <w:b w:val="0"/>
                <w:sz w:val="18"/>
              </w:rPr>
              <w:t>Code review: a repo-wide search for any controller comparing the acting user's own branch_id against the requested branch_id returned zero matches — the “their branch only” restriction is not enforced server-side anywhere in the API. A Branch Manager's UI defaults to their own branch, but the endpoint itself does not block a request for a different branch_id.</w:t>
            </w:r>
          </w:p>
        </w:tc>
      </w:tr>
    </w:tbl>
    <w:p>
      <w:pPr>
        <w:spacing w:after="80"/>
      </w:pPr>
    </w:p>
    <w:p>
      <w:pPr>
        <w:spacing w:before="200" w:after="80"/>
      </w:pPr>
      <w:r>
        <w:rPr>
          <w:b/>
          <w:color w:val="123B36"/>
          <w:sz w:val="23"/>
        </w:rPr>
        <w:t>Patient (FR11–FR15)</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FR11</w:t>
            </w:r>
          </w:p>
        </w:tc>
        <w:tc>
          <w:tcPr>
            <w:tcW w:type="dxa" w:w="2665"/>
          </w:tcPr>
          <w:p>
            <w:r/>
            <w:r>
              <w:rPr>
                <w:rFonts w:ascii="Calibri" w:hAnsi="Calibri"/>
                <w:b w:val="0"/>
                <w:sz w:val="18"/>
              </w:rPr>
              <w:t>Receptionists register patients with validated demographic details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PatientController::store, role:admin,receptionist; server-side validation on all demographic fields</w:t>
            </w:r>
          </w:p>
        </w:tc>
        <w:tc>
          <w:tcPr>
            <w:tcW w:type="dxa" w:w="2551"/>
          </w:tcPr>
          <w:p>
            <w:r/>
            <w:r>
              <w:rPr>
                <w:rFonts w:ascii="Calibri" w:hAnsi="Calibri"/>
                <w:b w:val="0"/>
                <w:sz w:val="18"/>
              </w:rPr>
              <w:t>curl test; also exercised via FR62 duplicate-detection testing this session</w:t>
            </w:r>
          </w:p>
        </w:tc>
      </w:tr>
      <w:tr>
        <w:tc>
          <w:tcPr>
            <w:tcW w:type="dxa" w:w="737"/>
          </w:tcPr>
          <w:p>
            <w:r/>
            <w:r>
              <w:rPr>
                <w:rFonts w:ascii="Calibri" w:hAnsi="Calibri"/>
                <w:b w:val="0"/>
                <w:sz w:val="18"/>
              </w:rPr>
              <w:t>FR12</w:t>
            </w:r>
          </w:p>
        </w:tc>
        <w:tc>
          <w:tcPr>
            <w:tcW w:type="dxa" w:w="2665"/>
          </w:tcPr>
          <w:p>
            <w:r/>
            <w:r>
              <w:rPr>
                <w:rFonts w:ascii="Calibri" w:hAnsi="Calibri"/>
                <w:b w:val="0"/>
                <w:sz w:val="18"/>
              </w:rPr>
              <w:t>One globally unique patient ID across all branches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sprintf('SGH-PT-%06d', patient-&gt;id) pattern in both AuthController::register and PatientController::store</w:t>
            </w:r>
          </w:p>
        </w:tc>
        <w:tc>
          <w:tcPr>
            <w:tcW w:type="dxa" w:w="2551"/>
          </w:tcPr>
          <w:p>
            <w:r/>
            <w:r>
              <w:rPr>
                <w:rFonts w:ascii="Calibri" w:hAnsi="Calibri"/>
                <w:b w:val="0"/>
                <w:sz w:val="18"/>
              </w:rPr>
              <w:t>curl test — global_patient_id format confirmed on every created patient</w:t>
            </w:r>
          </w:p>
        </w:tc>
      </w:tr>
      <w:tr>
        <w:tc>
          <w:tcPr>
            <w:tcW w:type="dxa" w:w="737"/>
          </w:tcPr>
          <w:p>
            <w:r/>
            <w:r>
              <w:rPr>
                <w:rFonts w:ascii="Calibri" w:hAnsi="Calibri"/>
                <w:b w:val="0"/>
                <w:sz w:val="18"/>
              </w:rPr>
              <w:t>FR13</w:t>
            </w:r>
          </w:p>
        </w:tc>
        <w:tc>
          <w:tcPr>
            <w:tcW w:type="dxa" w:w="2665"/>
          </w:tcPr>
          <w:p>
            <w:r/>
            <w:r>
              <w:rPr>
                <w:rFonts w:ascii="Calibri" w:hAnsi="Calibri"/>
                <w:b w:val="0"/>
                <w:sz w:val="18"/>
              </w:rPr>
              <w:t>Authorised staff update only the fields permitted for their role</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PatientController::update — distinct validation rule sets for patient-self vs staff. Note: all non-patient staff roles (doctor, nurse, receptionist, admin) currently share one rule set — the split is patient-vs-staff, not per individual staff role.</w:t>
            </w:r>
          </w:p>
        </w:tc>
        <w:tc>
          <w:tcPr>
            <w:tcW w:type="dxa" w:w="2551"/>
          </w:tcPr>
          <w:p>
            <w:r/>
            <w:r>
              <w:rPr>
                <w:rFonts w:ascii="Calibri" w:hAnsi="Calibri"/>
                <w:b w:val="0"/>
                <w:sz w:val="18"/>
              </w:rPr>
              <w:t>Code review of PatientController::update</w:t>
            </w:r>
          </w:p>
        </w:tc>
      </w:tr>
      <w:tr>
        <w:tc>
          <w:tcPr>
            <w:tcW w:type="dxa" w:w="737"/>
          </w:tcPr>
          <w:p>
            <w:r/>
            <w:r>
              <w:rPr>
                <w:rFonts w:ascii="Calibri" w:hAnsi="Calibri"/>
                <w:b w:val="0"/>
                <w:sz w:val="18"/>
              </w:rPr>
              <w:t>FR14</w:t>
            </w:r>
          </w:p>
        </w:tc>
        <w:tc>
          <w:tcPr>
            <w:tcW w:type="dxa" w:w="2665"/>
          </w:tcPr>
          <w:p>
            <w:r/>
            <w:r>
              <w:rPr>
                <w:rFonts w:ascii="Calibri" w:hAnsi="Calibri"/>
                <w:b w:val="0"/>
                <w:sz w:val="18"/>
              </w:rPr>
              <w:t>Preserve complete medical history (diagnoses, allergies, prescriptions, treatment history)</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medical_records table (versioned, append-only — no update/delete route exists for a medical record); Patient.allergies field; Prescription/PrescriptionItem tables</w:t>
            </w:r>
          </w:p>
        </w:tc>
        <w:tc>
          <w:tcPr>
            <w:tcW w:type="dxa" w:w="2551"/>
          </w:tcPr>
          <w:p>
            <w:r/>
            <w:r>
              <w:rPr>
                <w:rFonts w:ascii="Calibri" w:hAnsi="Calibri"/>
                <w:b w:val="0"/>
                <w:sz w:val="18"/>
              </w:rPr>
              <w:t>Code review — no destructive route found for medical_records</w:t>
            </w:r>
          </w:p>
        </w:tc>
      </w:tr>
      <w:tr>
        <w:tc>
          <w:tcPr>
            <w:tcW w:type="dxa" w:w="737"/>
          </w:tcPr>
          <w:p>
            <w:r/>
            <w:r>
              <w:rPr>
                <w:rFonts w:ascii="Calibri" w:hAnsi="Calibri"/>
                <w:b w:val="0"/>
                <w:sz w:val="18"/>
              </w:rPr>
              <w:t>FR15</w:t>
            </w:r>
          </w:p>
        </w:tc>
        <w:tc>
          <w:tcPr>
            <w:tcW w:type="dxa" w:w="2665"/>
          </w:tcPr>
          <w:p>
            <w:r/>
            <w:r>
              <w:rPr>
                <w:rFonts w:ascii="Calibri" w:hAnsi="Calibri"/>
                <w:b w:val="0"/>
                <w:sz w:val="18"/>
              </w:rPr>
              <w:t>Authenticated patients securely view the permitted portion of their own records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PatientController::ensureAccess() — aborts 403 if a Patient-role user's own patient_id does not match the requested record</w:t>
            </w:r>
          </w:p>
        </w:tc>
        <w:tc>
          <w:tcPr>
            <w:tcW w:type="dxa" w:w="2551"/>
          </w:tcPr>
          <w:p>
            <w:r/>
            <w:r>
              <w:rPr>
                <w:rFonts w:ascii="Calibri" w:hAnsi="Calibri"/>
                <w:b w:val="0"/>
                <w:sz w:val="18"/>
              </w:rPr>
              <w:t>curl test: patient blocked from viewing another patient's record (403)</w:t>
            </w:r>
          </w:p>
        </w:tc>
      </w:tr>
    </w:tbl>
    <w:p>
      <w:pPr>
        <w:spacing w:after="80"/>
      </w:pPr>
    </w:p>
    <w:p>
      <w:pPr>
        <w:spacing w:before="200" w:after="80"/>
      </w:pPr>
      <w:r>
        <w:rPr>
          <w:b/>
          <w:color w:val="123B36"/>
          <w:sz w:val="23"/>
        </w:rPr>
        <w:t>Appointment (FR16–FR20)</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FR16</w:t>
            </w:r>
          </w:p>
        </w:tc>
        <w:tc>
          <w:tcPr>
            <w:tcW w:type="dxa" w:w="2665"/>
          </w:tcPr>
          <w:p>
            <w:r/>
            <w:r>
              <w:rPr>
                <w:rFonts w:ascii="Calibri" w:hAnsi="Calibri"/>
                <w:b w:val="0"/>
                <w:sz w:val="18"/>
              </w:rPr>
              <w:t>Patients request appointments with available doctors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AppointmentController::store, role:patient</w:t>
            </w:r>
          </w:p>
        </w:tc>
        <w:tc>
          <w:tcPr>
            <w:tcW w:type="dxa" w:w="2551"/>
          </w:tcPr>
          <w:p>
            <w:r/>
            <w:r>
              <w:rPr>
                <w:rFonts w:ascii="Calibri" w:hAnsi="Calibri"/>
                <w:b w:val="0"/>
                <w:sz w:val="18"/>
              </w:rPr>
              <w:t>curl test; conflict-prevention test below also exercises this path</w:t>
            </w:r>
          </w:p>
        </w:tc>
      </w:tr>
      <w:tr>
        <w:tc>
          <w:tcPr>
            <w:tcW w:type="dxa" w:w="737"/>
          </w:tcPr>
          <w:p>
            <w:r/>
            <w:r>
              <w:rPr>
                <w:rFonts w:ascii="Calibri" w:hAnsi="Calibri"/>
                <w:b w:val="0"/>
                <w:sz w:val="18"/>
              </w:rPr>
              <w:t>FR17</w:t>
            </w:r>
          </w:p>
        </w:tc>
        <w:tc>
          <w:tcPr>
            <w:tcW w:type="dxa" w:w="2665"/>
          </w:tcPr>
          <w:p>
            <w:r/>
            <w:r>
              <w:rPr>
                <w:rFonts w:ascii="Calibri" w:hAnsi="Calibri"/>
                <w:b w:val="0"/>
                <w:sz w:val="18"/>
              </w:rPr>
              <w:t>Display current doctor availability by date and time</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AppointmentController::availability — schedules minus already-booked slots for a given date</w:t>
            </w:r>
          </w:p>
        </w:tc>
        <w:tc>
          <w:tcPr>
            <w:tcW w:type="dxa" w:w="2551"/>
          </w:tcPr>
          <w:p>
            <w:r/>
            <w:r>
              <w:rPr>
                <w:rFonts w:ascii="Calibri" w:hAnsi="Calibri"/>
                <w:b w:val="0"/>
                <w:sz w:val="18"/>
              </w:rPr>
              <w:t>Code review + curl test</w:t>
            </w:r>
          </w:p>
        </w:tc>
      </w:tr>
      <w:tr>
        <w:tc>
          <w:tcPr>
            <w:tcW w:type="dxa" w:w="737"/>
          </w:tcPr>
          <w:p>
            <w:r/>
            <w:r>
              <w:rPr>
                <w:rFonts w:ascii="Calibri" w:hAnsi="Calibri"/>
                <w:b w:val="0"/>
                <w:sz w:val="18"/>
              </w:rPr>
              <w:t>FR18</w:t>
            </w:r>
          </w:p>
        </w:tc>
        <w:tc>
          <w:tcPr>
            <w:tcW w:type="dxa" w:w="2665"/>
          </w:tcPr>
          <w:p>
            <w:r/>
            <w:r>
              <w:rPr>
                <w:rFonts w:ascii="Calibri" w:hAnsi="Calibri"/>
                <w:b w:val="0"/>
                <w:sz w:val="18"/>
              </w:rPr>
              <w:t>Receptionists approve/modify/cancel appointments, recording actor and reason</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AppointmentController::updateStatus — status + cancellation_reason column. Actor is captured in the audit_logs table (via AuditMiddleware) rather than as a dedicated column on the appointment itself.</w:t>
            </w:r>
          </w:p>
        </w:tc>
        <w:tc>
          <w:tcPr>
            <w:tcW w:type="dxa" w:w="2551"/>
          </w:tcPr>
          <w:p>
            <w:r/>
            <w:r>
              <w:rPr>
                <w:rFonts w:ascii="Calibri" w:hAnsi="Calibri"/>
                <w:b w:val="0"/>
                <w:sz w:val="18"/>
              </w:rPr>
              <w:t>curl test of confirm/reject/cancel flow; audit_logs row inspected for actor</w:t>
            </w:r>
          </w:p>
        </w:tc>
      </w:tr>
      <w:tr>
        <w:tc>
          <w:tcPr>
            <w:tcW w:type="dxa" w:w="737"/>
          </w:tcPr>
          <w:p>
            <w:r/>
            <w:r>
              <w:rPr>
                <w:rFonts w:ascii="Calibri" w:hAnsi="Calibri"/>
                <w:b w:val="0"/>
                <w:sz w:val="18"/>
              </w:rPr>
              <w:t>FR19</w:t>
            </w:r>
          </w:p>
        </w:tc>
        <w:tc>
          <w:tcPr>
            <w:tcW w:type="dxa" w:w="2665"/>
          </w:tcPr>
          <w:p>
            <w:r/>
            <w:r>
              <w:rPr>
                <w:rFonts w:ascii="Calibri" w:hAnsi="Calibri"/>
                <w:b w:val="0"/>
                <w:sz w:val="18"/>
              </w:rPr>
              <w:t>Prevent overlapping appointments for the same doctor via a transactional check</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AppointmentController::store — row-locked overlap query inside DB::transaction(), PLUS a unique DB index (doctor_staff_id, appointment_date, start_time) as a hard backstop against races; catches QueryException and suggests alternative slots</w:t>
            </w:r>
          </w:p>
        </w:tc>
        <w:tc>
          <w:tcPr>
            <w:tcW w:type="dxa" w:w="2551"/>
          </w:tcPr>
          <w:p>
            <w:r/>
            <w:r>
              <w:rPr>
                <w:rFonts w:ascii="Calibri" w:hAnsi="Calibri"/>
                <w:b w:val="0"/>
                <w:sz w:val="18"/>
              </w:rPr>
              <w:t>This is the most rigorously built FR in the baseline — double-layered (application check + DB constraint)</w:t>
            </w:r>
          </w:p>
        </w:tc>
      </w:tr>
      <w:tr>
        <w:tc>
          <w:tcPr>
            <w:tcW w:type="dxa" w:w="737"/>
          </w:tcPr>
          <w:p>
            <w:r/>
            <w:r>
              <w:rPr>
                <w:rFonts w:ascii="Calibri" w:hAnsi="Calibri"/>
                <w:b w:val="0"/>
                <w:sz w:val="18"/>
              </w:rPr>
              <w:t>FR20</w:t>
            </w:r>
          </w:p>
        </w:tc>
        <w:tc>
          <w:tcPr>
            <w:tcW w:type="dxa" w:w="2665"/>
          </w:tcPr>
          <w:p>
            <w:r/>
            <w:r>
              <w:rPr>
                <w:rFonts w:ascii="Calibri" w:hAnsi="Calibri"/>
                <w:b w:val="0"/>
                <w:sz w:val="18"/>
              </w:rPr>
              <w:t>Queue a confirmation/reminder notification on a valid appointment state change</w:t>
            </w:r>
          </w:p>
        </w:tc>
        <w:tc>
          <w:tcPr>
            <w:tcW w:type="dxa" w:w="1134"/>
            <w:shd w:val="clear" w:color="auto" w:fill="FDF2E0"/>
          </w:tcPr>
          <w:p>
            <w:r/>
            <w:r>
              <w:rPr>
                <w:rFonts w:ascii="Calibri" w:hAnsi="Calibri"/>
                <w:b/>
                <w:color w:val="8A5A00"/>
                <w:sz w:val="18"/>
              </w:rPr>
              <w:t>Partial</w:t>
            </w:r>
          </w:p>
        </w:tc>
        <w:tc>
          <w:tcPr>
            <w:tcW w:type="dxa" w:w="2551"/>
          </w:tcPr>
          <w:p>
            <w:r/>
            <w:r>
              <w:rPr>
                <w:rFonts w:ascii="Calibri" w:hAnsi="Calibri"/>
                <w:b w:val="0"/>
                <w:sz w:val="18"/>
              </w:rPr>
              <w:t>AppointmentController::updateStatus creates a Notification row (status='queued') on every status change</w:t>
            </w:r>
          </w:p>
        </w:tc>
        <w:tc>
          <w:tcPr>
            <w:tcW w:type="dxa" w:w="2551"/>
          </w:tcPr>
          <w:p>
            <w:r/>
            <w:r>
              <w:rPr>
                <w:rFonts w:ascii="Calibri" w:hAnsi="Calibri"/>
                <w:b w:val="0"/>
                <w:sz w:val="18"/>
              </w:rPr>
              <w:t>Code review found: (1) nothing in the codebase ever dispatches/sends a queued notification — no Mail class, no Job, no queue worker call; status never advances past 'queued'. (2) The SRS's specific “2-hour pre-appointment notification” needs a scheduled check against upcoming appointments — routes/console.php only schedules the FR57 backup job, no reminder command exists. Notifications are logged, not sent.</w:t>
            </w:r>
          </w:p>
        </w:tc>
      </w:tr>
    </w:tbl>
    <w:p>
      <w:pPr>
        <w:spacing w:after="80"/>
      </w:pPr>
    </w:p>
    <w:p>
      <w:pPr>
        <w:spacing w:before="200" w:after="80"/>
      </w:pPr>
      <w:r>
        <w:rPr>
          <w:b/>
          <w:color w:val="123B36"/>
          <w:sz w:val="23"/>
        </w:rPr>
        <w:t>Staff (FR21–FR25)</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FR21</w:t>
            </w:r>
          </w:p>
        </w:tc>
        <w:tc>
          <w:tcPr>
            <w:tcW w:type="dxa" w:w="2665"/>
          </w:tcPr>
          <w:p>
            <w:r/>
            <w:r>
              <w:rPr>
                <w:rFonts w:ascii="Calibri" w:hAnsi="Calibri"/>
                <w:b w:val="0"/>
                <w:sz w:val="18"/>
              </w:rPr>
              <w:t>Admins add/update doctor and staff profiles and specialisations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StaffController::store/update; Doctor sub-profile (specialization, qualification, consultation_fee)</w:t>
            </w:r>
          </w:p>
        </w:tc>
        <w:tc>
          <w:tcPr>
            <w:tcW w:type="dxa" w:w="2551"/>
          </w:tcPr>
          <w:p>
            <w:r/>
            <w:r>
              <w:rPr>
                <w:rFonts w:ascii="Calibri" w:hAnsi="Calibri"/>
                <w:b w:val="0"/>
                <w:sz w:val="18"/>
              </w:rPr>
              <w:t>curl test (earlier session, per FR_PROGRESS.md)</w:t>
            </w:r>
          </w:p>
        </w:tc>
      </w:tr>
      <w:tr>
        <w:tc>
          <w:tcPr>
            <w:tcW w:type="dxa" w:w="737"/>
          </w:tcPr>
          <w:p>
            <w:r/>
            <w:r>
              <w:rPr>
                <w:rFonts w:ascii="Calibri" w:hAnsi="Calibri"/>
                <w:b w:val="0"/>
                <w:sz w:val="18"/>
              </w:rPr>
              <w:t>FR22</w:t>
            </w:r>
          </w:p>
        </w:tc>
        <w:tc>
          <w:tcPr>
            <w:tcW w:type="dxa" w:w="2665"/>
          </w:tcPr>
          <w:p>
            <w:r/>
            <w:r>
              <w:rPr>
                <w:rFonts w:ascii="Calibri" w:hAnsi="Calibri"/>
                <w:b w:val="0"/>
                <w:sz w:val="18"/>
              </w:rPr>
              <w:t>Store doctor schedules, visiting hours, shifts, leave dates and availability</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Schedule model — type enum(availability, shift, leave); StaffController::storeSchedule</w:t>
            </w:r>
          </w:p>
        </w:tc>
        <w:tc>
          <w:tcPr>
            <w:tcW w:type="dxa" w:w="2551"/>
          </w:tcPr>
          <w:p>
            <w:r/>
            <w:r>
              <w:rPr>
                <w:rFonts w:ascii="Calibri" w:hAnsi="Calibri"/>
                <w:b w:val="0"/>
                <w:sz w:val="18"/>
              </w:rPr>
              <w:t>Code review + availability query used by FR17</w:t>
            </w:r>
          </w:p>
        </w:tc>
      </w:tr>
      <w:tr>
        <w:tc>
          <w:tcPr>
            <w:tcW w:type="dxa" w:w="737"/>
          </w:tcPr>
          <w:p>
            <w:r/>
            <w:r>
              <w:rPr>
                <w:rFonts w:ascii="Calibri" w:hAnsi="Calibri"/>
                <w:b w:val="0"/>
                <w:sz w:val="18"/>
              </w:rPr>
              <w:t>FR23</w:t>
            </w:r>
          </w:p>
        </w:tc>
        <w:tc>
          <w:tcPr>
            <w:tcW w:type="dxa" w:w="2665"/>
          </w:tcPr>
          <w:p>
            <w:r/>
            <w:r>
              <w:rPr>
                <w:rFonts w:ascii="Calibri" w:hAnsi="Calibri"/>
                <w:b w:val="0"/>
                <w:sz w:val="18"/>
              </w:rPr>
              <w:t>Doctors access assigned patient files and append treatment notes</w:t>
            </w:r>
          </w:p>
        </w:tc>
        <w:tc>
          <w:tcPr>
            <w:tcW w:type="dxa" w:w="1134"/>
            <w:shd w:val="clear" w:color="auto" w:fill="FDF2E0"/>
          </w:tcPr>
          <w:p>
            <w:r/>
            <w:r>
              <w:rPr>
                <w:rFonts w:ascii="Calibri" w:hAnsi="Calibri"/>
                <w:b/>
                <w:color w:val="8A5A00"/>
                <w:sz w:val="18"/>
              </w:rPr>
              <w:t>Partial</w:t>
            </w:r>
          </w:p>
        </w:tc>
        <w:tc>
          <w:tcPr>
            <w:tcW w:type="dxa" w:w="2551"/>
          </w:tcPr>
          <w:p>
            <w:r/>
            <w:r>
              <w:rPr>
                <w:rFonts w:ascii="Calibri" w:hAnsi="Calibri"/>
                <w:b w:val="0"/>
                <w:sz w:val="18"/>
              </w:rPr>
              <w:t>StaffController::storeMedicalRecord (role:doctor,nurse)</w:t>
            </w:r>
          </w:p>
        </w:tc>
        <w:tc>
          <w:tcPr>
            <w:tcW w:type="dxa" w:w="2551"/>
          </w:tcPr>
          <w:p>
            <w:r/>
            <w:r>
              <w:rPr>
                <w:rFonts w:ascii="Calibri" w:hAnsi="Calibri"/>
                <w:b w:val="0"/>
                <w:sz w:val="18"/>
              </w:rPr>
              <w:t>Code review: PatientController's own doc comment states this explicitly — “full ‘assigned-patient’ clinical scoping (SRS 6.2) is deferred; any authenticated staff role may access any patient record.” Any doctor can currently read or write a note against any patient, not only their assigned ones.</w:t>
            </w:r>
          </w:p>
        </w:tc>
      </w:tr>
      <w:tr>
        <w:tc>
          <w:tcPr>
            <w:tcW w:type="dxa" w:w="737"/>
          </w:tcPr>
          <w:p>
            <w:r/>
            <w:r>
              <w:rPr>
                <w:rFonts w:ascii="Calibri" w:hAnsi="Calibri"/>
                <w:b w:val="0"/>
                <w:sz w:val="18"/>
              </w:rPr>
              <w:t>FR24</w:t>
            </w:r>
          </w:p>
        </w:tc>
        <w:tc>
          <w:tcPr>
            <w:tcW w:type="dxa" w:w="2665"/>
          </w:tcPr>
          <w:p>
            <w:r/>
            <w:r>
              <w:rPr>
                <w:rFonts w:ascii="Calibri" w:hAnsi="Calibri"/>
                <w:b w:val="0"/>
                <w:sz w:val="18"/>
              </w:rPr>
              <w:t>Nurses record authorised vitals and care observations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StaffController::storeMedicalRecord with record_type='vitals'; also the new FR54 ward_observations table for admission-specific structured vitals</w:t>
            </w:r>
          </w:p>
        </w:tc>
        <w:tc>
          <w:tcPr>
            <w:tcW w:type="dxa" w:w="2551"/>
          </w:tcPr>
          <w:p>
            <w:r/>
            <w:r>
              <w:rPr>
                <w:rFonts w:ascii="Calibri" w:hAnsi="Calibri"/>
                <w:b w:val="0"/>
                <w:sz w:val="18"/>
              </w:rPr>
              <w:t>Code review</w:t>
            </w:r>
          </w:p>
        </w:tc>
      </w:tr>
      <w:tr>
        <w:tc>
          <w:tcPr>
            <w:tcW w:type="dxa" w:w="737"/>
          </w:tcPr>
          <w:p>
            <w:r/>
            <w:r>
              <w:rPr>
                <w:rFonts w:ascii="Calibri" w:hAnsi="Calibri"/>
                <w:b w:val="0"/>
                <w:sz w:val="18"/>
              </w:rPr>
              <w:t>FR25</w:t>
            </w:r>
          </w:p>
        </w:tc>
        <w:tc>
          <w:tcPr>
            <w:tcW w:type="dxa" w:w="2665"/>
          </w:tcPr>
          <w:p>
            <w:r/>
            <w:r>
              <w:rPr>
                <w:rFonts w:ascii="Calibri" w:hAnsi="Calibri"/>
                <w:b w:val="0"/>
                <w:sz w:val="18"/>
              </w:rPr>
              <w:t>Maintain staff attendance and shift-allocation records</w:t>
            </w:r>
          </w:p>
        </w:tc>
        <w:tc>
          <w:tcPr>
            <w:tcW w:type="dxa" w:w="1134"/>
            <w:shd w:val="clear" w:color="auto" w:fill="FDF2E0"/>
          </w:tcPr>
          <w:p>
            <w:r/>
            <w:r>
              <w:rPr>
                <w:rFonts w:ascii="Calibri" w:hAnsi="Calibri"/>
                <w:b/>
                <w:color w:val="8A5A00"/>
                <w:sz w:val="18"/>
              </w:rPr>
              <w:t>Partial</w:t>
            </w:r>
          </w:p>
        </w:tc>
        <w:tc>
          <w:tcPr>
            <w:tcW w:type="dxa" w:w="2551"/>
          </w:tcPr>
          <w:p>
            <w:r/>
            <w:r>
              <w:rPr>
                <w:rFonts w:ascii="Calibri" w:hAnsi="Calibri"/>
                <w:b w:val="0"/>
                <w:sz w:val="18"/>
              </w:rPr>
              <w:t>Schedule model type='shift' records planned shift allocation</w:t>
            </w:r>
          </w:p>
        </w:tc>
        <w:tc>
          <w:tcPr>
            <w:tcW w:type="dxa" w:w="2551"/>
          </w:tcPr>
          <w:p>
            <w:r/>
            <w:r>
              <w:rPr>
                <w:rFonts w:ascii="Calibri" w:hAnsi="Calibri"/>
                <w:b w:val="0"/>
                <w:sz w:val="18"/>
              </w:rPr>
              <w:t>Code review found no attendance concept (clock-in/out, presence confirmation) anywhere in the schema — only planned schedules exist, not a record of who actually attended.</w:t>
            </w:r>
          </w:p>
        </w:tc>
      </w:tr>
    </w:tbl>
    <w:p>
      <w:pPr>
        <w:spacing w:after="80"/>
      </w:pPr>
    </w:p>
    <w:p>
      <w:pPr>
        <w:spacing w:before="200" w:after="80"/>
      </w:pPr>
      <w:r>
        <w:rPr>
          <w:b/>
          <w:color w:val="123B36"/>
          <w:sz w:val="23"/>
        </w:rPr>
        <w:t>Pharmacy (FR26–FR30)</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FR26</w:t>
            </w:r>
          </w:p>
        </w:tc>
        <w:tc>
          <w:tcPr>
            <w:tcW w:type="dxa" w:w="2665"/>
          </w:tcPr>
          <w:p>
            <w:r/>
            <w:r>
              <w:rPr>
                <w:rFonts w:ascii="Calibri" w:hAnsi="Calibri"/>
                <w:b w:val="0"/>
                <w:sz w:val="18"/>
              </w:rPr>
              <w:t>Store medicines, quantities, expiry dates, minimum thresholds and suppliers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Medicine model/migration — all fields present; PharmacyController::store</w:t>
            </w:r>
          </w:p>
        </w:tc>
        <w:tc>
          <w:tcPr>
            <w:tcW w:type="dxa" w:w="2551"/>
          </w:tcPr>
          <w:p>
            <w:r/>
            <w:r>
              <w:rPr>
                <w:rFonts w:ascii="Calibri" w:hAnsi="Calibri"/>
                <w:b w:val="0"/>
                <w:sz w:val="18"/>
              </w:rPr>
              <w:t>curl test</w:t>
            </w:r>
          </w:p>
        </w:tc>
      </w:tr>
      <w:tr>
        <w:tc>
          <w:tcPr>
            <w:tcW w:type="dxa" w:w="737"/>
          </w:tcPr>
          <w:p>
            <w:r/>
            <w:r>
              <w:rPr>
                <w:rFonts w:ascii="Calibri" w:hAnsi="Calibri"/>
                <w:b w:val="0"/>
                <w:sz w:val="18"/>
              </w:rPr>
              <w:t>FR27</w:t>
            </w:r>
          </w:p>
        </w:tc>
        <w:tc>
          <w:tcPr>
            <w:tcW w:type="dxa" w:w="2665"/>
          </w:tcPr>
          <w:p>
            <w:r/>
            <w:r>
              <w:rPr>
                <w:rFonts w:ascii="Calibri" w:hAnsi="Calibri"/>
                <w:b w:val="0"/>
                <w:sz w:val="18"/>
              </w:rPr>
              <w:t>Notify pharmacists when stock falls below its minimum threshold</w:t>
            </w:r>
          </w:p>
        </w:tc>
        <w:tc>
          <w:tcPr>
            <w:tcW w:type="dxa" w:w="1134"/>
            <w:shd w:val="clear" w:color="auto" w:fill="FDF2E0"/>
          </w:tcPr>
          <w:p>
            <w:r/>
            <w:r>
              <w:rPr>
                <w:rFonts w:ascii="Calibri" w:hAnsi="Calibri"/>
                <w:b/>
                <w:color w:val="8A5A00"/>
                <w:sz w:val="18"/>
              </w:rPr>
              <w:t>Partial</w:t>
            </w:r>
          </w:p>
        </w:tc>
        <w:tc>
          <w:tcPr>
            <w:tcW w:type="dxa" w:w="2551"/>
          </w:tcPr>
          <w:p>
            <w:r/>
            <w:r>
              <w:rPr>
                <w:rFonts w:ascii="Calibri" w:hAnsi="Calibri"/>
                <w:b w:val="0"/>
                <w:sz w:val="18"/>
              </w:rPr>
              <w:t>PharmacyController::lowStock — GET endpoint returning medicines below threshold</w:t>
            </w:r>
          </w:p>
        </w:tc>
        <w:tc>
          <w:tcPr>
            <w:tcW w:type="dxa" w:w="2551"/>
          </w:tcPr>
          <w:p>
            <w:r/>
            <w:r>
              <w:rPr>
                <w:rFonts w:ascii="Calibri" w:hAnsi="Calibri"/>
                <w:b w:val="0"/>
                <w:sz w:val="18"/>
              </w:rPr>
              <w:t>Code review: this is pull-based (a pharmacist has to open the screen and check) — there is no push/proactive Notification row created and no scheduled check when stock crosses the threshold.</w:t>
            </w:r>
          </w:p>
        </w:tc>
      </w:tr>
      <w:tr>
        <w:tc>
          <w:tcPr>
            <w:tcW w:type="dxa" w:w="737"/>
          </w:tcPr>
          <w:p>
            <w:r/>
            <w:r>
              <w:rPr>
                <w:rFonts w:ascii="Calibri" w:hAnsi="Calibri"/>
                <w:b w:val="0"/>
                <w:sz w:val="18"/>
              </w:rPr>
              <w:t>FR28</w:t>
            </w:r>
          </w:p>
        </w:tc>
        <w:tc>
          <w:tcPr>
            <w:tcW w:type="dxa" w:w="2665"/>
          </w:tcPr>
          <w:p>
            <w:r/>
            <w:r>
              <w:rPr>
                <w:rFonts w:ascii="Calibri" w:hAnsi="Calibri"/>
                <w:b w:val="0"/>
                <w:sz w:val="18"/>
              </w:rPr>
              <w:t>Record every dispensed medicine, reduce stock, link to a valid prescription and patient</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PharmacyController::dispense — row-locked stock decrement inside a DB transaction, InventoryTransaction audit row created</w:t>
            </w:r>
          </w:p>
        </w:tc>
        <w:tc>
          <w:tcPr>
            <w:tcW w:type="dxa" w:w="2551"/>
          </w:tcPr>
          <w:p>
            <w:r/>
            <w:r>
              <w:rPr>
                <w:rFonts w:ascii="Calibri" w:hAnsi="Calibri"/>
                <w:b w:val="0"/>
                <w:sz w:val="18"/>
              </w:rPr>
              <w:t>curl test this session (exercised heavily while building FR63 allergy-conflict logic on top of it)</w:t>
            </w:r>
          </w:p>
        </w:tc>
      </w:tr>
      <w:tr>
        <w:tc>
          <w:tcPr>
            <w:tcW w:type="dxa" w:w="737"/>
          </w:tcPr>
          <w:p>
            <w:r/>
            <w:r>
              <w:rPr>
                <w:rFonts w:ascii="Calibri" w:hAnsi="Calibri"/>
                <w:b w:val="0"/>
                <w:sz w:val="18"/>
              </w:rPr>
              <w:t>FR29</w:t>
            </w:r>
          </w:p>
        </w:tc>
        <w:tc>
          <w:tcPr>
            <w:tcW w:type="dxa" w:w="2665"/>
          </w:tcPr>
          <w:p>
            <w:r/>
            <w:r>
              <w:rPr>
                <w:rFonts w:ascii="Calibri" w:hAnsi="Calibri"/>
                <w:b w:val="0"/>
                <w:sz w:val="18"/>
              </w:rPr>
              <w:t>Authorised users generate purchase orders for restocking</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PharmacyController::purchaseOrder</w:t>
            </w:r>
          </w:p>
        </w:tc>
        <w:tc>
          <w:tcPr>
            <w:tcW w:type="dxa" w:w="2551"/>
          </w:tcPr>
          <w:p>
            <w:r/>
            <w:r>
              <w:rPr>
                <w:rFonts w:ascii="Calibri" w:hAnsi="Calibri"/>
                <w:b w:val="0"/>
                <w:sz w:val="18"/>
              </w:rPr>
              <w:t>Code review</w:t>
            </w:r>
          </w:p>
        </w:tc>
      </w:tr>
      <w:tr>
        <w:tc>
          <w:tcPr>
            <w:tcW w:type="dxa" w:w="737"/>
          </w:tcPr>
          <w:p>
            <w:r/>
            <w:r>
              <w:rPr>
                <w:rFonts w:ascii="Calibri" w:hAnsi="Calibri"/>
                <w:b w:val="0"/>
                <w:sz w:val="18"/>
              </w:rPr>
              <w:t>FR30</w:t>
            </w:r>
          </w:p>
        </w:tc>
        <w:tc>
          <w:tcPr>
            <w:tcW w:type="dxa" w:w="2665"/>
          </w:tcPr>
          <w:p>
            <w:r/>
            <w:r>
              <w:rPr>
                <w:rFonts w:ascii="Calibri" w:hAnsi="Calibri"/>
                <w:b w:val="0"/>
                <w:sz w:val="18"/>
              </w:rPr>
              <w:t>Block dispensing when medicine is expired or stock is insufficient</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PharmacyController::dispense — hard abort(422) on expiry_date-&gt;isPast(); hard abort(422) on quantity &lt; requested, checked under a row lock</w:t>
            </w:r>
          </w:p>
        </w:tc>
        <w:tc>
          <w:tcPr>
            <w:tcW w:type="dxa" w:w="2551"/>
          </w:tcPr>
          <w:p>
            <w:r/>
            <w:r>
              <w:rPr>
                <w:rFonts w:ascii="Calibri" w:hAnsi="Calibri"/>
                <w:b w:val="0"/>
                <w:sz w:val="18"/>
              </w:rPr>
              <w:t>curl test this session: dispensing a deliberately-expired batch confirmed still blocked after all FR63 changes</w:t>
            </w:r>
          </w:p>
        </w:tc>
      </w:tr>
    </w:tbl>
    <w:p>
      <w:pPr>
        <w:spacing w:after="80"/>
      </w:pPr>
    </w:p>
    <w:p>
      <w:pPr>
        <w:spacing w:before="200" w:after="80"/>
      </w:pPr>
      <w:r>
        <w:rPr>
          <w:b/>
          <w:color w:val="123B36"/>
          <w:sz w:val="23"/>
        </w:rPr>
        <w:t>Laboratory (FR31–FR35)</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FR31</w:t>
            </w:r>
          </w:p>
        </w:tc>
        <w:tc>
          <w:tcPr>
            <w:tcW w:type="dxa" w:w="2665"/>
          </w:tcPr>
          <w:p>
            <w:r/>
            <w:r>
              <w:rPr>
                <w:rFonts w:ascii="Calibri" w:hAnsi="Calibri"/>
                <w:b w:val="0"/>
                <w:sz w:val="18"/>
              </w:rPr>
              <w:t>Doctors create laboratory or imaging test requests for patients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LabController::store, role:doctor</w:t>
            </w:r>
          </w:p>
        </w:tc>
        <w:tc>
          <w:tcPr>
            <w:tcW w:type="dxa" w:w="2551"/>
          </w:tcPr>
          <w:p>
            <w:r/>
            <w:r>
              <w:rPr>
                <w:rFonts w:ascii="Calibri" w:hAnsi="Calibri"/>
                <w:b w:val="0"/>
                <w:sz w:val="18"/>
              </w:rPr>
              <w:t>Code review</w:t>
            </w:r>
          </w:p>
        </w:tc>
      </w:tr>
      <w:tr>
        <w:tc>
          <w:tcPr>
            <w:tcW w:type="dxa" w:w="737"/>
          </w:tcPr>
          <w:p>
            <w:r/>
            <w:r>
              <w:rPr>
                <w:rFonts w:ascii="Calibri" w:hAnsi="Calibri"/>
                <w:b w:val="0"/>
                <w:sz w:val="18"/>
              </w:rPr>
              <w:t>FR32</w:t>
            </w:r>
          </w:p>
        </w:tc>
        <w:tc>
          <w:tcPr>
            <w:tcW w:type="dxa" w:w="2665"/>
          </w:tcPr>
          <w:p>
            <w:r/>
            <w:r>
              <w:rPr>
                <w:rFonts w:ascii="Calibri" w:hAnsi="Calibri"/>
                <w:b w:val="0"/>
                <w:sz w:val="18"/>
              </w:rPr>
              <w:t>Lab technicians record results and upload authorised reports to the order</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LabController::uploadResult — file stored on the private disk (storage/app/private), never the public webroot</w:t>
            </w:r>
          </w:p>
        </w:tc>
        <w:tc>
          <w:tcPr>
            <w:tcW w:type="dxa" w:w="2551"/>
          </w:tcPr>
          <w:p>
            <w:r/>
            <w:r>
              <w:rPr>
                <w:rFonts w:ascii="Calibri" w:hAnsi="Calibri"/>
                <w:b w:val="0"/>
                <w:sz w:val="18"/>
              </w:rPr>
              <w:t>Code review</w:t>
            </w:r>
          </w:p>
        </w:tc>
      </w:tr>
      <w:tr>
        <w:tc>
          <w:tcPr>
            <w:tcW w:type="dxa" w:w="737"/>
          </w:tcPr>
          <w:p>
            <w:r/>
            <w:r>
              <w:rPr>
                <w:rFonts w:ascii="Calibri" w:hAnsi="Calibri"/>
                <w:b w:val="0"/>
                <w:sz w:val="18"/>
              </w:rPr>
              <w:t>FR33</w:t>
            </w:r>
          </w:p>
        </w:tc>
        <w:tc>
          <w:tcPr>
            <w:tcW w:type="dxa" w:w="2665"/>
          </w:tcPr>
          <w:p>
            <w:r/>
            <w:r>
              <w:rPr>
                <w:rFonts w:ascii="Calibri" w:hAnsi="Calibri"/>
                <w:b w:val="0"/>
                <w:sz w:val="18"/>
              </w:rPr>
              <w:t>Notify the doctor and patient when a verified result is released</w:t>
            </w:r>
          </w:p>
        </w:tc>
        <w:tc>
          <w:tcPr>
            <w:tcW w:type="dxa" w:w="1134"/>
            <w:shd w:val="clear" w:color="auto" w:fill="FDF2E0"/>
          </w:tcPr>
          <w:p>
            <w:r/>
            <w:r>
              <w:rPr>
                <w:rFonts w:ascii="Calibri" w:hAnsi="Calibri"/>
                <w:b/>
                <w:color w:val="8A5A00"/>
                <w:sz w:val="18"/>
              </w:rPr>
              <w:t>Partial</w:t>
            </w:r>
          </w:p>
        </w:tc>
        <w:tc>
          <w:tcPr>
            <w:tcW w:type="dxa" w:w="2551"/>
          </w:tcPr>
          <w:p>
            <w:r/>
            <w:r>
              <w:rPr>
                <w:rFonts w:ascii="Calibri" w:hAnsi="Calibri"/>
                <w:b w:val="0"/>
                <w:sz w:val="18"/>
              </w:rPr>
              <w:t>LabController::release — creates Notification rows for both patient and requesting doctor</w:t>
            </w:r>
          </w:p>
        </w:tc>
        <w:tc>
          <w:tcPr>
            <w:tcW w:type="dxa" w:w="2551"/>
          </w:tcPr>
          <w:p>
            <w:r/>
            <w:r>
              <w:rPr>
                <w:rFonts w:ascii="Calibri" w:hAnsi="Calibri"/>
                <w:b w:val="0"/>
                <w:sz w:val="18"/>
              </w:rPr>
              <w:t>Same gap as FR20/FR45: the Notification row is created and logged but never actually dispatched/sent — status stays 'queued'.</w:t>
            </w:r>
          </w:p>
        </w:tc>
      </w:tr>
      <w:tr>
        <w:tc>
          <w:tcPr>
            <w:tcW w:type="dxa" w:w="737"/>
          </w:tcPr>
          <w:p>
            <w:r/>
            <w:r>
              <w:rPr>
                <w:rFonts w:ascii="Calibri" w:hAnsi="Calibri"/>
                <w:b w:val="0"/>
                <w:sz w:val="18"/>
              </w:rPr>
              <w:t>FR34</w:t>
            </w:r>
          </w:p>
        </w:tc>
        <w:tc>
          <w:tcPr>
            <w:tcW w:type="dxa" w:w="2665"/>
          </w:tcPr>
          <w:p>
            <w:r/>
            <w:r>
              <w:rPr>
                <w:rFonts w:ascii="Calibri" w:hAnsi="Calibri"/>
                <w:b w:val="0"/>
                <w:sz w:val="18"/>
              </w:rPr>
              <w:t>Patients securely view, download or print their released reports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LabController::download — blocks a patient from downloading before released_at is set; blocks non-owners entirely</w:t>
            </w:r>
          </w:p>
        </w:tc>
        <w:tc>
          <w:tcPr>
            <w:tcW w:type="dxa" w:w="2551"/>
          </w:tcPr>
          <w:p>
            <w:r/>
            <w:r>
              <w:rPr>
                <w:rFonts w:ascii="Calibri" w:hAnsi="Calibri"/>
                <w:b w:val="0"/>
                <w:sz w:val="18"/>
              </w:rPr>
              <w:t>Code review of the three-way access check (owner+released / staff / else 403)</w:t>
            </w:r>
          </w:p>
        </w:tc>
      </w:tr>
      <w:tr>
        <w:tc>
          <w:tcPr>
            <w:tcW w:type="dxa" w:w="737"/>
          </w:tcPr>
          <w:p>
            <w:r/>
            <w:r>
              <w:rPr>
                <w:rFonts w:ascii="Calibri" w:hAnsi="Calibri"/>
                <w:b w:val="0"/>
                <w:sz w:val="18"/>
              </w:rPr>
              <w:t>FR35</w:t>
            </w:r>
          </w:p>
        </w:tc>
        <w:tc>
          <w:tcPr>
            <w:tcW w:type="dxa" w:w="2665"/>
          </w:tcPr>
          <w:p>
            <w:r/>
            <w:r>
              <w:rPr>
                <w:rFonts w:ascii="Calibri" w:hAnsi="Calibri"/>
                <w:b w:val="0"/>
                <w:sz w:val="18"/>
              </w:rPr>
              <w:t>Authorised search of test history by patient, branch, type, date and status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LabController::index — all five filters present as query params</w:t>
            </w:r>
          </w:p>
        </w:tc>
        <w:tc>
          <w:tcPr>
            <w:tcW w:type="dxa" w:w="2551"/>
          </w:tcPr>
          <w:p>
            <w:r/>
            <w:r>
              <w:rPr>
                <w:rFonts w:ascii="Calibri" w:hAnsi="Calibri"/>
                <w:b w:val="0"/>
                <w:sz w:val="18"/>
              </w:rPr>
              <w:t>Code review</w:t>
            </w:r>
          </w:p>
        </w:tc>
      </w:tr>
    </w:tbl>
    <w:p>
      <w:pPr>
        <w:spacing w:after="80"/>
      </w:pPr>
    </w:p>
    <w:p>
      <w:pPr>
        <w:spacing w:before="200" w:after="80"/>
      </w:pPr>
      <w:r>
        <w:rPr>
          <w:b/>
          <w:color w:val="123B36"/>
          <w:sz w:val="23"/>
        </w:rPr>
        <w:t>Billing (FR36–FR40)</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FR36</w:t>
            </w:r>
          </w:p>
        </w:tc>
        <w:tc>
          <w:tcPr>
            <w:tcW w:type="dxa" w:w="2665"/>
          </w:tcPr>
          <w:p>
            <w:r/>
            <w:r>
              <w:rPr>
                <w:rFonts w:ascii="Calibri" w:hAnsi="Calibri"/>
                <w:b w:val="0"/>
                <w:sz w:val="18"/>
              </w:rPr>
              <w:t>Calculate configured consultation, test and medication charges</w:t>
            </w:r>
          </w:p>
        </w:tc>
        <w:tc>
          <w:tcPr>
            <w:tcW w:type="dxa" w:w="1134"/>
            <w:shd w:val="clear" w:color="auto" w:fill="FDF2E0"/>
          </w:tcPr>
          <w:p>
            <w:r/>
            <w:r>
              <w:rPr>
                <w:rFonts w:ascii="Calibri" w:hAnsi="Calibri"/>
                <w:b/>
                <w:color w:val="8A5A00"/>
                <w:sz w:val="18"/>
              </w:rPr>
              <w:t>Partial</w:t>
            </w:r>
          </w:p>
        </w:tc>
        <w:tc>
          <w:tcPr>
            <w:tcW w:type="dxa" w:w="2551"/>
          </w:tcPr>
          <w:p>
            <w:r/>
            <w:r>
              <w:rPr>
                <w:rFonts w:ascii="Calibri" w:hAnsi="Calibri"/>
                <w:b w:val="0"/>
                <w:sz w:val="18"/>
              </w:rPr>
              <w:t>BillingController::store — amount = quantity × unit_price, total = sum of items</w:t>
            </w:r>
          </w:p>
        </w:tc>
        <w:tc>
          <w:tcPr>
            <w:tcW w:type="dxa" w:w="2551"/>
          </w:tcPr>
          <w:p>
            <w:r/>
            <w:r>
              <w:rPr>
                <w:rFonts w:ascii="Calibri" w:hAnsi="Calibri"/>
                <w:b w:val="0"/>
                <w:sz w:val="18"/>
              </w:rPr>
              <w:t>Code review: the arithmetic is correct, but unit_price is supplied ad-hoc in the request body, not pulled from any configured/fixed price source. The FR60 branch-scoped Service price catalogue (built this session) exists as a standalone reference but is not wired into invoice creation — any staff member can currently enter an arbitrary price.</w:t>
            </w:r>
          </w:p>
        </w:tc>
      </w:tr>
      <w:tr>
        <w:tc>
          <w:tcPr>
            <w:tcW w:type="dxa" w:w="737"/>
          </w:tcPr>
          <w:p>
            <w:r/>
            <w:r>
              <w:rPr>
                <w:rFonts w:ascii="Calibri" w:hAnsi="Calibri"/>
                <w:b w:val="0"/>
                <w:sz w:val="18"/>
              </w:rPr>
              <w:t>FR37</w:t>
            </w:r>
          </w:p>
        </w:tc>
        <w:tc>
          <w:tcPr>
            <w:tcW w:type="dxa" w:w="2665"/>
          </w:tcPr>
          <w:p>
            <w:r/>
            <w:r>
              <w:rPr>
                <w:rFonts w:ascii="Calibri" w:hAnsi="Calibri"/>
                <w:b w:val="0"/>
                <w:sz w:val="18"/>
              </w:rPr>
              <w:t>Generate an itemised invoice for each relevant visit or admission</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BillingController::store; invoice_items table (description, item_type, quantity, unit_price, amount)</w:t>
            </w:r>
          </w:p>
        </w:tc>
        <w:tc>
          <w:tcPr>
            <w:tcW w:type="dxa" w:w="2551"/>
          </w:tcPr>
          <w:p>
            <w:r/>
            <w:r>
              <w:rPr>
                <w:rFonts w:ascii="Calibri" w:hAnsi="Calibri"/>
                <w:b w:val="0"/>
                <w:sz w:val="18"/>
              </w:rPr>
              <w:t>curl test this session (FR64 payment testing built on top of this)</w:t>
            </w:r>
          </w:p>
        </w:tc>
      </w:tr>
      <w:tr>
        <w:tc>
          <w:tcPr>
            <w:tcW w:type="dxa" w:w="737"/>
          </w:tcPr>
          <w:p>
            <w:r/>
            <w:r>
              <w:rPr>
                <w:rFonts w:ascii="Calibri" w:hAnsi="Calibri"/>
                <w:b w:val="0"/>
                <w:sz w:val="18"/>
              </w:rPr>
              <w:t>FR38</w:t>
            </w:r>
          </w:p>
        </w:tc>
        <w:tc>
          <w:tcPr>
            <w:tcW w:type="dxa" w:w="2665"/>
          </w:tcPr>
          <w:p>
            <w:r/>
            <w:r>
              <w:rPr>
                <w:rFonts w:ascii="Calibri" w:hAnsi="Calibri"/>
                <w:b w:val="0"/>
                <w:sz w:val="18"/>
              </w:rPr>
              <w:t>Patients securely download or print their own invoices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BillingController::downloadPdf — ownership check (403 if not the invoice's own patient)</w:t>
            </w:r>
          </w:p>
        </w:tc>
        <w:tc>
          <w:tcPr>
            <w:tcW w:type="dxa" w:w="2551"/>
          </w:tcPr>
          <w:p>
            <w:r/>
            <w:r>
              <w:rPr>
                <w:rFonts w:ascii="Calibri" w:hAnsi="Calibri"/>
                <w:b w:val="0"/>
                <w:sz w:val="18"/>
              </w:rPr>
              <w:t>Code review</w:t>
            </w:r>
          </w:p>
        </w:tc>
      </w:tr>
      <w:tr>
        <w:tc>
          <w:tcPr>
            <w:tcW w:type="dxa" w:w="737"/>
          </w:tcPr>
          <w:p>
            <w:r/>
            <w:r>
              <w:rPr>
                <w:rFonts w:ascii="Calibri" w:hAnsi="Calibri"/>
                <w:b w:val="0"/>
                <w:sz w:val="18"/>
              </w:rPr>
              <w:t>FR39</w:t>
            </w:r>
          </w:p>
        </w:tc>
        <w:tc>
          <w:tcPr>
            <w:tcW w:type="dxa" w:w="2665"/>
          </w:tcPr>
          <w:p>
            <w:r/>
            <w:r>
              <w:rPr>
                <w:rFonts w:ascii="Calibri" w:hAnsi="Calibri"/>
                <w:b w:val="0"/>
                <w:sz w:val="18"/>
              </w:rPr>
              <w:t>Record valid paid/pending/cancelled status and audit its history</w:t>
            </w:r>
          </w:p>
        </w:tc>
        <w:tc>
          <w:tcPr>
            <w:tcW w:type="dxa" w:w="1134"/>
            <w:shd w:val="clear" w:color="auto" w:fill="FDF2E0"/>
          </w:tcPr>
          <w:p>
            <w:r/>
            <w:r>
              <w:rPr>
                <w:rFonts w:ascii="Calibri" w:hAnsi="Calibri"/>
                <w:b/>
                <w:color w:val="8A5A00"/>
                <w:sz w:val="18"/>
              </w:rPr>
              <w:t>Partial</w:t>
            </w:r>
          </w:p>
        </w:tc>
        <w:tc>
          <w:tcPr>
            <w:tcW w:type="dxa" w:w="2551"/>
          </w:tcPr>
          <w:p>
            <w:r/>
            <w:r>
              <w:rPr>
                <w:rFonts w:ascii="Calibri" w:hAnsi="Calibri"/>
                <w:b w:val="0"/>
                <w:sz w:val="18"/>
              </w:rPr>
              <w:t>invoices.status enum('pending','paid','cancelled'); BillingController::pay sets 'paid' on success</w:t>
            </w:r>
          </w:p>
        </w:tc>
        <w:tc>
          <w:tcPr>
            <w:tcW w:type="dxa" w:w="2551"/>
          </w:tcPr>
          <w:p>
            <w:r/>
            <w:r>
              <w:rPr>
                <w:rFonts w:ascii="Calibri" w:hAnsi="Calibri"/>
                <w:b w:val="0"/>
                <w:sz w:val="18"/>
              </w:rPr>
              <w:t>Code review: paid/pending are both reachable and tested. No code path anywhere sets an invoice to 'cancelled' — the state is schema-supported but has no endpoint.</w:t>
            </w:r>
          </w:p>
        </w:tc>
      </w:tr>
      <w:tr>
        <w:tc>
          <w:tcPr>
            <w:tcW w:type="dxa" w:w="737"/>
          </w:tcPr>
          <w:p>
            <w:r/>
            <w:r>
              <w:rPr>
                <w:rFonts w:ascii="Calibri" w:hAnsi="Calibri"/>
                <w:b w:val="0"/>
                <w:sz w:val="18"/>
              </w:rPr>
              <w:t>FR40</w:t>
            </w:r>
          </w:p>
        </w:tc>
        <w:tc>
          <w:tcPr>
            <w:tcW w:type="dxa" w:w="2665"/>
          </w:tcPr>
          <w:p>
            <w:r/>
            <w:r>
              <w:rPr>
                <w:rFonts w:ascii="Calibri" w:hAnsi="Calibri"/>
                <w:b w:val="0"/>
                <w:sz w:val="18"/>
              </w:rPr>
              <w:t>Process electronic payment through a sandboxed gateway, no full card details stored</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PaymentGatewayService (simulated charge/refund, sandbox); only a gateway_reference is ever persisted, never card data</w:t>
            </w:r>
          </w:p>
        </w:tc>
        <w:tc>
          <w:tcPr>
            <w:tcW w:type="dxa" w:w="2551"/>
          </w:tcPr>
          <w:p>
            <w:r/>
            <w:r>
              <w:rPr>
                <w:rFonts w:ascii="Calibri" w:hAnsi="Calibri"/>
                <w:b w:val="0"/>
                <w:sz w:val="18"/>
              </w:rPr>
              <w:t>curl test this session, incl. FR64 idempotency/refund extensions on the same service</w:t>
            </w:r>
          </w:p>
        </w:tc>
      </w:tr>
    </w:tbl>
    <w:p>
      <w:pPr>
        <w:spacing w:after="80"/>
      </w:pPr>
    </w:p>
    <w:p>
      <w:pPr>
        <w:spacing w:before="200" w:after="80"/>
      </w:pPr>
      <w:r>
        <w:rPr>
          <w:b/>
          <w:color w:val="123B36"/>
          <w:sz w:val="23"/>
        </w:rPr>
        <w:t>Reporting (FR41–FR44)</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FR41</w:t>
            </w:r>
          </w:p>
        </w:tc>
        <w:tc>
          <w:tcPr>
            <w:tcW w:type="dxa" w:w="2665"/>
          </w:tcPr>
          <w:p>
            <w:r/>
            <w:r>
              <w:rPr>
                <w:rFonts w:ascii="Calibri" w:hAnsi="Calibri"/>
                <w:b w:val="0"/>
                <w:sz w:val="18"/>
              </w:rPr>
              <w:t>Generate daily/weekly/monthly patient, revenue and appointment statistics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ReportController::summary and ::trend — date-ranged aggregates, branch-scoped</w:t>
            </w:r>
          </w:p>
        </w:tc>
        <w:tc>
          <w:tcPr>
            <w:tcW w:type="dxa" w:w="2551"/>
          </w:tcPr>
          <w:p>
            <w:r/>
            <w:r>
              <w:rPr>
                <w:rFonts w:ascii="Calibri" w:hAnsi="Calibri"/>
                <w:b w:val="0"/>
                <w:sz w:val="18"/>
              </w:rPr>
              <w:t>Code review</w:t>
            </w:r>
          </w:p>
        </w:tc>
      </w:tr>
      <w:tr>
        <w:tc>
          <w:tcPr>
            <w:tcW w:type="dxa" w:w="737"/>
          </w:tcPr>
          <w:p>
            <w:r/>
            <w:r>
              <w:rPr>
                <w:rFonts w:ascii="Calibri" w:hAnsi="Calibri"/>
                <w:b w:val="0"/>
                <w:sz w:val="18"/>
              </w:rPr>
              <w:t>FR42</w:t>
            </w:r>
          </w:p>
        </w:tc>
        <w:tc>
          <w:tcPr>
            <w:tcW w:type="dxa" w:w="2665"/>
          </w:tcPr>
          <w:p>
            <w:r/>
            <w:r>
              <w:rPr>
                <w:rFonts w:ascii="Calibri" w:hAnsi="Calibri"/>
                <w:b w:val="0"/>
                <w:sz w:val="18"/>
              </w:rPr>
              <w:t>Admins export authorised reports as PDF and spreadsheet files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ReportController::exportCsv (CSV, spreadsheet-compatible) and ::exportPdf (DomPDF)</w:t>
            </w:r>
          </w:p>
        </w:tc>
        <w:tc>
          <w:tcPr>
            <w:tcW w:type="dxa" w:w="2551"/>
          </w:tcPr>
          <w:p>
            <w:r/>
            <w:r>
              <w:rPr>
                <w:rFonts w:ascii="Calibri" w:hAnsi="Calibri"/>
                <w:b w:val="0"/>
                <w:sz w:val="18"/>
              </w:rPr>
              <w:t>Note: exports as CSV rather than native .xlsx — acceptable spreadsheet-compatible interpretation, but not literally an Excel file</w:t>
            </w:r>
          </w:p>
        </w:tc>
      </w:tr>
      <w:tr>
        <w:tc>
          <w:tcPr>
            <w:tcW w:type="dxa" w:w="737"/>
          </w:tcPr>
          <w:p>
            <w:r/>
            <w:r>
              <w:rPr>
                <w:rFonts w:ascii="Calibri" w:hAnsi="Calibri"/>
                <w:b w:val="0"/>
                <w:sz w:val="18"/>
              </w:rPr>
              <w:t>FR43</w:t>
            </w:r>
          </w:p>
        </w:tc>
        <w:tc>
          <w:tcPr>
            <w:tcW w:type="dxa" w:w="2665"/>
          </w:tcPr>
          <w:p>
            <w:r/>
            <w:r>
              <w:rPr>
                <w:rFonts w:ascii="Calibri" w:hAnsi="Calibri"/>
                <w:b w:val="0"/>
                <w:sz w:val="18"/>
              </w:rPr>
              <w:t>Display role-appropriate graphical dashboards summarising key metrics</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AdminOverview.jsx / AdminReports.jsx use the 'recharts' library against the summary/trend endpoints</w:t>
            </w:r>
          </w:p>
        </w:tc>
        <w:tc>
          <w:tcPr>
            <w:tcW w:type="dxa" w:w="2551"/>
          </w:tcPr>
          <w:p>
            <w:r/>
            <w:r>
              <w:rPr>
                <w:rFonts w:ascii="Calibri" w:hAnsi="Calibri"/>
                <w:b w:val="0"/>
                <w:sz w:val="18"/>
              </w:rPr>
              <w:t>Code review; package.json confirms recharts dependency</w:t>
            </w:r>
          </w:p>
        </w:tc>
      </w:tr>
      <w:tr>
        <w:tc>
          <w:tcPr>
            <w:tcW w:type="dxa" w:w="737"/>
          </w:tcPr>
          <w:p>
            <w:r/>
            <w:r>
              <w:rPr>
                <w:rFonts w:ascii="Calibri" w:hAnsi="Calibri"/>
                <w:b w:val="0"/>
                <w:sz w:val="18"/>
              </w:rPr>
              <w:t>FR44</w:t>
            </w:r>
          </w:p>
        </w:tc>
        <w:tc>
          <w:tcPr>
            <w:tcW w:type="dxa" w:w="2665"/>
          </w:tcPr>
          <w:p>
            <w:r/>
            <w:r>
              <w:rPr>
                <w:rFonts w:ascii="Calibri" w:hAnsi="Calibri"/>
                <w:b w:val="0"/>
                <w:sz w:val="18"/>
              </w:rPr>
              <w:t>Branch managers compare authorised department performance</w:t>
            </w:r>
          </w:p>
        </w:tc>
        <w:tc>
          <w:tcPr>
            <w:tcW w:type="dxa" w:w="1134"/>
            <w:shd w:val="clear" w:color="auto" w:fill="E7F3EB"/>
          </w:tcPr>
          <w:p>
            <w:r/>
            <w:r>
              <w:rPr>
                <w:rFonts w:ascii="Calibri" w:hAnsi="Calibri"/>
                <w:b/>
                <w:color w:val="1F7A4C"/>
                <w:sz w:val="18"/>
              </w:rPr>
              <w:t>Done</w:t>
            </w:r>
          </w:p>
        </w:tc>
        <w:tc>
          <w:tcPr>
            <w:tcW w:type="dxa" w:w="2551"/>
          </w:tcPr>
          <w:p>
            <w:r/>
            <w:r>
              <w:rPr>
                <w:rFonts w:ascii="Calibri" w:hAnsi="Calibri"/>
                <w:b w:val="0"/>
                <w:sz w:val="18"/>
              </w:rPr>
              <w:t>ReportController::departmentComparison — appointment counts grouped by doctor specialization</w:t>
            </w:r>
          </w:p>
        </w:tc>
        <w:tc>
          <w:tcPr>
            <w:tcW w:type="dxa" w:w="2551"/>
          </w:tcPr>
          <w:p>
            <w:r/>
            <w:r>
              <w:rPr>
                <w:rFonts w:ascii="Calibri" w:hAnsi="Calibri"/>
                <w:b w:val="0"/>
                <w:sz w:val="18"/>
              </w:rPr>
              <w:t>Code review</w:t>
            </w:r>
          </w:p>
        </w:tc>
      </w:tr>
    </w:tbl>
    <w:p>
      <w:pPr>
        <w:spacing w:after="80"/>
      </w:pPr>
    </w:p>
    <w:p>
      <w:pPr>
        <w:spacing w:before="200" w:after="80"/>
      </w:pPr>
      <w:r>
        <w:rPr>
          <w:b/>
          <w:color w:val="123B36"/>
          <w:sz w:val="23"/>
        </w:rPr>
        <w:t>Communication (FR45)</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FR45</w:t>
            </w:r>
          </w:p>
        </w:tc>
        <w:tc>
          <w:tcPr>
            <w:tcW w:type="dxa" w:w="2665"/>
          </w:tcPr>
          <w:p>
            <w:r/>
            <w:r>
              <w:rPr>
                <w:rFonts w:ascii="Calibri" w:hAnsi="Calibri"/>
                <w:b w:val="0"/>
                <w:sz w:val="18"/>
              </w:rPr>
              <w:t>Send and log approved appointment, result and billing notifications</w:t>
            </w:r>
          </w:p>
        </w:tc>
        <w:tc>
          <w:tcPr>
            <w:tcW w:type="dxa" w:w="1134"/>
            <w:shd w:val="clear" w:color="auto" w:fill="FDF2E0"/>
          </w:tcPr>
          <w:p>
            <w:r/>
            <w:r>
              <w:rPr>
                <w:rFonts w:ascii="Calibri" w:hAnsi="Calibri"/>
                <w:b/>
                <w:color w:val="8A5A00"/>
                <w:sz w:val="18"/>
              </w:rPr>
              <w:t>Partial</w:t>
            </w:r>
          </w:p>
        </w:tc>
        <w:tc>
          <w:tcPr>
            <w:tcW w:type="dxa" w:w="2551"/>
          </w:tcPr>
          <w:p>
            <w:r/>
            <w:r>
              <w:rPr>
                <w:rFonts w:ascii="Calibri" w:hAnsi="Calibri"/>
                <w:b w:val="0"/>
                <w:sz w:val="18"/>
              </w:rPr>
              <w:t>Notification model/table; rows created by AppointmentController and LabController</w:t>
            </w:r>
          </w:p>
        </w:tc>
        <w:tc>
          <w:tcPr>
            <w:tcW w:type="dxa" w:w="2551"/>
          </w:tcPr>
          <w:p>
            <w:r/>
            <w:r>
              <w:rPr>
                <w:rFonts w:ascii="Calibri" w:hAnsi="Calibri"/>
                <w:b w:val="0"/>
                <w:sz w:val="18"/>
              </w:rPr>
              <w:t>Code review: appointment and lab-result events are logged (queued); billing events are never queued at all (no Notification::create found anywhere in BillingController or PaymentController); and nothing in the whole codebase ever actually sends/delivers a notification — the mail driver defaults to 'log' and is never invoked. This is the single biggest baseline gap found in the review.</w:t>
            </w:r>
          </w:p>
        </w:tc>
      </w:tr>
    </w:tbl>
    <w:p>
      <w:pPr>
        <w:spacing w:after="80"/>
      </w:pPr>
    </w:p>
    <w:p>
      <w:r>
        <w:br w:type="page"/>
      </w:r>
    </w:p>
    <w:p>
      <w:pPr>
        <w:pStyle w:val="Heading1"/>
        <w:spacing w:before="240" w:after="120"/>
      </w:pPr>
      <w:r>
        <w:t>4. Functional Requirements — FR46 to FR48 (AI Features)</w:t>
      </w:r>
    </w:p>
    <w:p>
      <w:pPr>
        <w:spacing w:after="200"/>
      </w:pPr>
      <w:r>
        <w:rPr>
          <w:b w:val="0"/>
          <w:i w:val="0"/>
          <w:sz w:val="21"/>
        </w:rPr>
        <w:t>All three AI requirements were deliberately deferred, not attempted-and-failed. This is a conscious scope decision, documented directly in the code (ReportController's own class docblock reads: “FR46-FR48 (AI insights, sentiment) are explicitly out of scope for this pass”), not an oversight. The SRS itself frames FR46–48 as Should/Could priority (not Must) and requires them to be “non-clinical, human-reviewed” with no identifiable health data sent to an external AI provider without approval — no such approval or vendor integration exists yet, so building them now would have meant either a non-compliant integration or a non-functional placeholder.</w:t>
      </w:r>
    </w:p>
    <w:tbl>
      <w:tblPr>
        <w:tblStyle w:val="TableGrid"/>
        <w:tblW w:type="auto" w:w="0"/>
        <w:jc w:val="center"/>
        <w:tblLayout w:type="fixed"/>
        <w:tblLook w:firstColumn="1" w:firstRow="1" w:lastColumn="0" w:lastRow="0" w:noHBand="0" w:noVBand="1" w:val="04A0"/>
      </w:tblPr>
      <w:tblGrid>
        <w:gridCol w:w="737"/>
        <w:gridCol w:w="2665"/>
        <w:gridCol w:w="1134"/>
        <w:gridCol w:w="2551"/>
        <w:gridCol w:w="2551"/>
      </w:tblGrid>
      <w:tr>
        <w:tc>
          <w:tcPr>
            <w:tcW w:type="dxa" w:w="737"/>
            <w:shd w:val="clear" w:color="auto" w:fill="123B36"/>
          </w:tcPr>
          <w:p>
            <w:r/>
            <w:r>
              <w:rPr>
                <w:rFonts w:ascii="Calibri" w:hAnsi="Calibri"/>
                <w:b/>
                <w:color w:val="FFFFFF"/>
                <w:sz w:val="19"/>
              </w:rPr>
              <w:t>FR#</w:t>
            </w:r>
          </w:p>
        </w:tc>
        <w:tc>
          <w:tcPr>
            <w:tcW w:type="dxa" w:w="2665"/>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551"/>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FR46</w:t>
            </w:r>
          </w:p>
        </w:tc>
        <w:tc>
          <w:tcPr>
            <w:tcW w:type="dxa" w:w="2665"/>
          </w:tcPr>
          <w:p>
            <w:r/>
            <w:r>
              <w:rPr>
                <w:rFonts w:ascii="Calibri" w:hAnsi="Calibri"/>
                <w:b w:val="0"/>
                <w:sz w:val="18"/>
              </w:rPr>
              <w:t>Non-clinical chatbot for booking/result-status/opening-hours/contact questions</w:t>
            </w:r>
          </w:p>
        </w:tc>
        <w:tc>
          <w:tcPr>
            <w:tcW w:type="dxa" w:w="1134"/>
            <w:shd w:val="clear" w:color="auto" w:fill="F8E9EC"/>
          </w:tcPr>
          <w:p>
            <w:r/>
            <w:r>
              <w:rPr>
                <w:rFonts w:ascii="Calibri" w:hAnsi="Calibri"/>
                <w:b/>
                <w:color w:val="A31F34"/>
                <w:sz w:val="18"/>
              </w:rPr>
              <w:t>Not implemented</w:t>
            </w:r>
          </w:p>
        </w:tc>
        <w:tc>
          <w:tcPr>
            <w:tcW w:type="dxa" w:w="2551"/>
          </w:tcPr>
          <w:p>
            <w:r/>
            <w:r>
              <w:rPr>
                <w:rFonts w:ascii="Calibri" w:hAnsi="Calibri"/>
                <w:b w:val="0"/>
                <w:sz w:val="18"/>
              </w:rPr>
              <w:t>None found</w:t>
            </w:r>
          </w:p>
        </w:tc>
        <w:tc>
          <w:tcPr>
            <w:tcW w:type="dxa" w:w="2551"/>
          </w:tcPr>
          <w:p>
            <w:r/>
            <w:r>
              <w:rPr>
                <w:rFonts w:ascii="Calibri" w:hAnsi="Calibri"/>
                <w:b w:val="0"/>
                <w:sz w:val="18"/>
              </w:rPr>
              <w:t>No chatbot code, route, or UI component exists anywhere in the repository</w:t>
            </w:r>
          </w:p>
        </w:tc>
      </w:tr>
      <w:tr>
        <w:tc>
          <w:tcPr>
            <w:tcW w:type="dxa" w:w="737"/>
          </w:tcPr>
          <w:p>
            <w:r/>
            <w:r>
              <w:rPr>
                <w:rFonts w:ascii="Calibri" w:hAnsi="Calibri"/>
                <w:b w:val="0"/>
                <w:sz w:val="18"/>
              </w:rPr>
              <w:t>FR47</w:t>
            </w:r>
          </w:p>
        </w:tc>
        <w:tc>
          <w:tcPr>
            <w:tcW w:type="dxa" w:w="2665"/>
          </w:tcPr>
          <w:p>
            <w:r/>
            <w:r>
              <w:rPr>
                <w:rFonts w:ascii="Calibri" w:hAnsi="Calibri"/>
                <w:b w:val="0"/>
                <w:sz w:val="18"/>
              </w:rPr>
              <w:t>Classify patient feedback as positive/neutral/negative, retain original comment</w:t>
            </w:r>
          </w:p>
        </w:tc>
        <w:tc>
          <w:tcPr>
            <w:tcW w:type="dxa" w:w="1134"/>
            <w:shd w:val="clear" w:color="auto" w:fill="F8E9EC"/>
          </w:tcPr>
          <w:p>
            <w:r/>
            <w:r>
              <w:rPr>
                <w:rFonts w:ascii="Calibri" w:hAnsi="Calibri"/>
                <w:b/>
                <w:color w:val="A31F34"/>
                <w:sz w:val="18"/>
              </w:rPr>
              <w:t>Not implemented</w:t>
            </w:r>
          </w:p>
        </w:tc>
        <w:tc>
          <w:tcPr>
            <w:tcW w:type="dxa" w:w="2551"/>
          </w:tcPr>
          <w:p>
            <w:r/>
            <w:r>
              <w:rPr>
                <w:rFonts w:ascii="Calibri" w:hAnsi="Calibri"/>
                <w:b w:val="0"/>
                <w:sz w:val="18"/>
              </w:rPr>
              <w:t>Feedback model has a 'sentiment' column that is defined but always left null</w:t>
            </w:r>
          </w:p>
        </w:tc>
        <w:tc>
          <w:tcPr>
            <w:tcW w:type="dxa" w:w="2551"/>
          </w:tcPr>
          <w:p>
            <w:r/>
            <w:r>
              <w:rPr>
                <w:rFonts w:ascii="Calibri" w:hAnsi="Calibri"/>
                <w:b w:val="0"/>
                <w:sz w:val="18"/>
              </w:rPr>
              <w:t>FeedbackController's own docblock: “Sentiment classification (FR47) is an excluded AI feature — the sentiment column stays null here”</w:t>
            </w:r>
          </w:p>
        </w:tc>
      </w:tr>
      <w:tr>
        <w:tc>
          <w:tcPr>
            <w:tcW w:type="dxa" w:w="737"/>
          </w:tcPr>
          <w:p>
            <w:r/>
            <w:r>
              <w:rPr>
                <w:rFonts w:ascii="Calibri" w:hAnsi="Calibri"/>
                <w:b w:val="0"/>
                <w:sz w:val="18"/>
              </w:rPr>
              <w:t>FR48</w:t>
            </w:r>
          </w:p>
        </w:tc>
        <w:tc>
          <w:tcPr>
            <w:tcW w:type="dxa" w:w="2665"/>
          </w:tcPr>
          <w:p>
            <w:r/>
            <w:r>
              <w:rPr>
                <w:rFonts w:ascii="Calibri" w:hAnsi="Calibri"/>
                <w:b w:val="0"/>
                <w:sz w:val="18"/>
              </w:rPr>
              <w:t>Generate short summaries from validated monthly aggregates for human review</w:t>
            </w:r>
          </w:p>
        </w:tc>
        <w:tc>
          <w:tcPr>
            <w:tcW w:type="dxa" w:w="1134"/>
            <w:shd w:val="clear" w:color="auto" w:fill="F8E9EC"/>
          </w:tcPr>
          <w:p>
            <w:r/>
            <w:r>
              <w:rPr>
                <w:rFonts w:ascii="Calibri" w:hAnsi="Calibri"/>
                <w:b/>
                <w:color w:val="A31F34"/>
                <w:sz w:val="18"/>
              </w:rPr>
              <w:t>Not implemented</w:t>
            </w:r>
          </w:p>
        </w:tc>
        <w:tc>
          <w:tcPr>
            <w:tcW w:type="dxa" w:w="2551"/>
          </w:tcPr>
          <w:p>
            <w:r/>
            <w:r>
              <w:rPr>
                <w:rFonts w:ascii="Calibri" w:hAnsi="Calibri"/>
                <w:b w:val="0"/>
                <w:sz w:val="18"/>
              </w:rPr>
              <w:t>None found</w:t>
            </w:r>
          </w:p>
        </w:tc>
        <w:tc>
          <w:tcPr>
            <w:tcW w:type="dxa" w:w="2551"/>
          </w:tcPr>
          <w:p>
            <w:r/>
            <w:r>
              <w:rPr>
                <w:rFonts w:ascii="Calibri" w:hAnsi="Calibri"/>
                <w:b w:val="0"/>
                <w:sz w:val="18"/>
              </w:rPr>
              <w:t>No summarisation code exists; ReportController explicitly excludes this scope</w:t>
            </w:r>
          </w:p>
        </w:tc>
      </w:tr>
    </w:tbl>
    <w:p>
      <w:pPr>
        <w:spacing w:after="80"/>
      </w:pPr>
    </w:p>
    <w:p>
      <w:r>
        <w:br w:type="page"/>
      </w:r>
    </w:p>
    <w:p>
      <w:pPr>
        <w:pStyle w:val="Heading1"/>
        <w:spacing w:before="240" w:after="120"/>
      </w:pPr>
      <w:r>
        <w:t>5. Functional Requirements — FR49 to FR64 (Proposed Enhancements)</w:t>
      </w:r>
    </w:p>
    <w:p>
      <w:pPr>
        <w:spacing w:after="200"/>
      </w:pPr>
      <w:r>
        <w:rPr>
          <w:b w:val="0"/>
          <w:i w:val="0"/>
          <w:sz w:val="21"/>
        </w:rPr>
        <w:t>These sixteen requirements are the client's requested “15–20 additional FRs” (SRS Section 4.2). The SRS marks every one of them “Pending approval” in Appendix C and states explicitly that they “will not be adopted as part of the official baseline” without written supervisor/stakeholder evidence (SRS 2.4, 5.5). The table below is evidence that a working prototype implementation exists for all sixteen — it is not a claim that they are approved or baseline. All sixteen were built backend-first, migrated and seeded, tested against the live server with curl (including RBAC-boundary and validation-edge cases), then wired into the frontend, in that order, this session.</w:t>
      </w:r>
    </w:p>
    <w:p>
      <w:pPr>
        <w:spacing w:after="200"/>
      </w:pPr>
      <w:r>
        <w:rPr>
          <w:b w:val="0"/>
          <w:i/>
          <w:color w:val="5B6B67"/>
          <w:sz w:val="19"/>
        </w:rPr>
        <w:t>Testing caveat that applies to every row in this section: verification was via curl against the live Laravel API (request/response, status codes, database state), plus successful `npm run build` after each change. No browser automation tool was available this session, so none of the new frontend screens listed below have been clicked through in an actual browser — that is the single biggest remaining gap for this whole section (see Section 9).</w:t>
      </w:r>
    </w:p>
    <w:p>
      <w:pPr>
        <w:spacing w:before="200" w:after="80"/>
      </w:pPr>
      <w:r>
        <w:rPr>
          <w:b/>
          <w:color w:val="123B36"/>
          <w:sz w:val="23"/>
        </w:rPr>
        <w:t>Consent (FR49)</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FR49</w:t>
            </w:r>
          </w:p>
        </w:tc>
        <w:tc>
          <w:tcPr>
            <w:tcW w:type="dxa" w:w="2551"/>
          </w:tcPr>
          <w:p>
            <w:r/>
            <w:r>
              <w:rPr>
                <w:rFonts w:ascii="Calibri" w:hAnsi="Calibri"/>
                <w:b w:val="0"/>
                <w:sz w:val="18"/>
              </w:rPr>
              <w:t>Record privacy notice/consent version, purpose, grant/withdrawal time and evidence per patient</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consents table (append-only — withdrawal inserts a new row, never mutates); ConsentController; auto-granted on registration; PatientProfile.jsx consent section</w:t>
            </w:r>
          </w:p>
        </w:tc>
        <w:tc>
          <w:tcPr>
            <w:tcW w:type="dxa" w:w="2551"/>
          </w:tcPr>
          <w:p>
            <w:r/>
            <w:r>
              <w:rPr>
                <w:rFonts w:ascii="Calibri" w:hAnsi="Calibri"/>
                <w:b w:val="0"/>
                <w:sz w:val="18"/>
              </w:rPr>
              <w:t>curl: register→auto-consent, grant, withdraw all produced the correct 3-row history</w:t>
            </w:r>
          </w:p>
        </w:tc>
      </w:tr>
    </w:tbl>
    <w:p>
      <w:pPr>
        <w:spacing w:after="80"/>
      </w:pPr>
    </w:p>
    <w:p>
      <w:pPr>
        <w:spacing w:before="200" w:after="80"/>
      </w:pPr>
      <w:r>
        <w:rPr>
          <w:b/>
          <w:color w:val="123B36"/>
          <w:sz w:val="23"/>
        </w:rPr>
        <w:t>Security (FR50–FR51)</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FR50</w:t>
            </w:r>
          </w:p>
        </w:tc>
        <w:tc>
          <w:tcPr>
            <w:tcW w:type="dxa" w:w="2551"/>
          </w:tcPr>
          <w:p>
            <w:r/>
            <w:r>
              <w:rPr>
                <w:rFonts w:ascii="Calibri" w:hAnsi="Calibri"/>
                <w:b w:val="0"/>
                <w:sz w:val="18"/>
              </w:rPr>
              <w:t>Require multi-factor authentication for administrators and other privileged roles</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pragmarx/google2fa TOTP; users.two_factor_* columns (encrypted); MfaController; RequireMfaSetup middleware (hard enforcement, not just a UI hint); two-step login UI in Login.jsx</w:t>
            </w:r>
          </w:p>
        </w:tc>
        <w:tc>
          <w:tcPr>
            <w:tcW w:type="dxa" w:w="2551"/>
          </w:tcPr>
          <w:p>
            <w:r/>
            <w:r>
              <w:rPr>
                <w:rFonts w:ascii="Calibri" w:hAnsi="Calibri"/>
                <w:b w:val="0"/>
                <w:sz w:val="18"/>
              </w:rPr>
              <w:t>curl: setup→enable→enforced-block-until-enrolled→two-step login→recovery-code login (single-use enforced)→disable, all confirmed working end to end</w:t>
            </w:r>
          </w:p>
        </w:tc>
      </w:tr>
      <w:tr>
        <w:tc>
          <w:tcPr>
            <w:tcW w:type="dxa" w:w="737"/>
          </w:tcPr>
          <w:p>
            <w:r/>
            <w:r>
              <w:rPr>
                <w:rFonts w:ascii="Calibri" w:hAnsi="Calibri"/>
                <w:b w:val="0"/>
                <w:sz w:val="18"/>
              </w:rPr>
              <w:t>FR51</w:t>
            </w:r>
          </w:p>
        </w:tc>
        <w:tc>
          <w:tcPr>
            <w:tcW w:type="dxa" w:w="2551"/>
          </w:tcPr>
          <w:p>
            <w:r/>
            <w:r>
              <w:rPr>
                <w:rFonts w:ascii="Calibri" w:hAnsi="Calibri"/>
                <w:b w:val="0"/>
                <w:sz w:val="18"/>
              </w:rPr>
              <w:t>Emergency break-glass access only with a reason, time limit, alert and retrospective review</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break_glass_sessions table (30-min window); BreakGlassController; AuditLog alert on grant; AdminBreakGlass.jsx review screen</w:t>
            </w:r>
          </w:p>
        </w:tc>
        <w:tc>
          <w:tcPr>
            <w:tcW w:type="dxa" w:w="2551"/>
          </w:tcPr>
          <w:p>
            <w:r/>
            <w:r>
              <w:rPr>
                <w:rFonts w:ascii="Calibri" w:hAnsi="Calibri"/>
                <w:b w:val="0"/>
                <w:sz w:val="18"/>
              </w:rPr>
              <w:t>curl: reason-too-short rejected, valid request granted + alert logged, admin review/revoke, double-revoke rejected, non-admin blocked from review</w:t>
            </w:r>
          </w:p>
        </w:tc>
      </w:tr>
    </w:tbl>
    <w:p>
      <w:pPr>
        <w:spacing w:after="80"/>
      </w:pPr>
    </w:p>
    <w:p>
      <w:pPr>
        <w:spacing w:before="200" w:after="80"/>
      </w:pPr>
      <w:r>
        <w:rPr>
          <w:b/>
          <w:color w:val="123B36"/>
          <w:sz w:val="23"/>
        </w:rPr>
        <w:t>In-patient / wards (FR52–FR54)</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FR52</w:t>
            </w:r>
          </w:p>
        </w:tc>
        <w:tc>
          <w:tcPr>
            <w:tcW w:type="dxa" w:w="2551"/>
          </w:tcPr>
          <w:p>
            <w:r/>
            <w:r>
              <w:rPr>
                <w:rFonts w:ascii="Calibri" w:hAnsi="Calibri"/>
                <w:b w:val="0"/>
                <w:sz w:val="18"/>
              </w:rPr>
              <w:t>Admit, transfer and discharge a patient while preserving bed history and responsible staff</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AdmissionController — a transfer closes the current admission row and opens a new one linked by transferred_from_id, never overwrites bed_id in place</w:t>
            </w:r>
          </w:p>
        </w:tc>
        <w:tc>
          <w:tcPr>
            <w:tcW w:type="dxa" w:w="2551"/>
          </w:tcPr>
          <w:p>
            <w:r/>
            <w:r>
              <w:rPr>
                <w:rFonts w:ascii="Calibri" w:hAnsi="Calibri"/>
                <w:b w:val="0"/>
                <w:sz w:val="18"/>
              </w:rPr>
              <w:t>curl: admit→transfer→discharge chain confirmed; transferred_from_id correctly links the two admission legs</w:t>
            </w:r>
          </w:p>
        </w:tc>
      </w:tr>
      <w:tr>
        <w:tc>
          <w:tcPr>
            <w:tcW w:type="dxa" w:w="737"/>
          </w:tcPr>
          <w:p>
            <w:r/>
            <w:r>
              <w:rPr>
                <w:rFonts w:ascii="Calibri" w:hAnsi="Calibri"/>
                <w:b w:val="0"/>
                <w:sz w:val="18"/>
              </w:rPr>
              <w:t>FR53</w:t>
            </w:r>
          </w:p>
        </w:tc>
        <w:tc>
          <w:tcPr>
            <w:tcW w:type="dxa" w:w="2551"/>
          </w:tcPr>
          <w:p>
            <w:r/>
            <w:r>
              <w:rPr>
                <w:rFonts w:ascii="Calibri" w:hAnsi="Calibri"/>
                <w:b w:val="0"/>
                <w:sz w:val="18"/>
              </w:rPr>
              <w:t>Display real-time bed availability and prevent double allocation</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BedController::index (uncached read); AdmissionController uses Bed::lockForUpdate() inside a DB transaction for admit/transfer</w:t>
            </w:r>
          </w:p>
        </w:tc>
        <w:tc>
          <w:tcPr>
            <w:tcW w:type="dxa" w:w="2551"/>
          </w:tcPr>
          <w:p>
            <w:r/>
            <w:r>
              <w:rPr>
                <w:rFonts w:ascii="Calibri" w:hAnsi="Calibri"/>
                <w:b w:val="0"/>
                <w:sz w:val="18"/>
              </w:rPr>
              <w:t>curl: attempting to admit into an already-occupied bed correctly rejected (422) under the row lock</w:t>
            </w:r>
          </w:p>
        </w:tc>
      </w:tr>
      <w:tr>
        <w:tc>
          <w:tcPr>
            <w:tcW w:type="dxa" w:w="737"/>
          </w:tcPr>
          <w:p>
            <w:r/>
            <w:r>
              <w:rPr>
                <w:rFonts w:ascii="Calibri" w:hAnsi="Calibri"/>
                <w:b w:val="0"/>
                <w:sz w:val="18"/>
              </w:rPr>
              <w:t>FR54</w:t>
            </w:r>
          </w:p>
        </w:tc>
        <w:tc>
          <w:tcPr>
            <w:tcW w:type="dxa" w:w="2551"/>
          </w:tcPr>
          <w:p>
            <w:r/>
            <w:r>
              <w:rPr>
                <w:rFonts w:ascii="Calibri" w:hAnsi="Calibri"/>
                <w:b w:val="0"/>
                <w:sz w:val="18"/>
              </w:rPr>
              <w:t>Record daily ward observations and generate an authorised discharge summary</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ward_observations table; WardObservationController (Doctor/Nurse only); AdmissionController::discharge auto-generates the summary text from the admission timeline + latest observation</w:t>
            </w:r>
          </w:p>
        </w:tc>
        <w:tc>
          <w:tcPr>
            <w:tcW w:type="dxa" w:w="2551"/>
          </w:tcPr>
          <w:p>
            <w:r/>
            <w:r>
              <w:rPr>
                <w:rFonts w:ascii="Calibri" w:hAnsi="Calibri"/>
                <w:b w:val="0"/>
                <w:sz w:val="18"/>
              </w:rPr>
              <w:t>curl: generated discharge summary text checked and confirmed correct (bed/ward, staff, observation count, last vitals, discharge time)</w:t>
            </w:r>
          </w:p>
        </w:tc>
      </w:tr>
    </w:tbl>
    <w:p>
      <w:pPr>
        <w:spacing w:after="80"/>
      </w:pPr>
    </w:p>
    <w:p>
      <w:pPr>
        <w:spacing w:before="200" w:after="80"/>
      </w:pPr>
      <w:r>
        <w:rPr>
          <w:b/>
          <w:color w:val="123B36"/>
          <w:sz w:val="23"/>
        </w:rPr>
        <w:t>Audit (FR55–FR56)</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FR55</w:t>
            </w:r>
          </w:p>
        </w:tc>
        <w:tc>
          <w:tcPr>
            <w:tcW w:type="dxa" w:w="2551"/>
          </w:tcPr>
          <w:p>
            <w:r/>
            <w:r>
              <w:rPr>
                <w:rFonts w:ascii="Calibri" w:hAnsi="Calibri"/>
                <w:b w:val="0"/>
                <w:sz w:val="18"/>
              </w:rPr>
              <w:t>Authorised search and export of audit events by actor, branch, object, action and date</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AuditController — filters added for actor/outcome/action/object_type/branch (via actor relation)/date range; new /audit-logs/export.csv</w:t>
            </w:r>
          </w:p>
        </w:tc>
        <w:tc>
          <w:tcPr>
            <w:tcW w:type="dxa" w:w="2551"/>
          </w:tcPr>
          <w:p>
            <w:r/>
            <w:r>
              <w:rPr>
                <w:rFonts w:ascii="Calibri" w:hAnsi="Calibri"/>
                <w:b w:val="0"/>
                <w:sz w:val="18"/>
              </w:rPr>
              <w:t>curl: branch_id/action/date-range filters and CSV export all confirmed working</w:t>
            </w:r>
          </w:p>
        </w:tc>
      </w:tr>
      <w:tr>
        <w:tc>
          <w:tcPr>
            <w:tcW w:type="dxa" w:w="737"/>
          </w:tcPr>
          <w:p>
            <w:r/>
            <w:r>
              <w:rPr>
                <w:rFonts w:ascii="Calibri" w:hAnsi="Calibri"/>
                <w:b w:val="0"/>
                <w:sz w:val="18"/>
              </w:rPr>
              <w:t>FR56</w:t>
            </w:r>
          </w:p>
        </w:tc>
        <w:tc>
          <w:tcPr>
            <w:tcW w:type="dxa" w:w="2551"/>
          </w:tcPr>
          <w:p>
            <w:r/>
            <w:r>
              <w:rPr>
                <w:rFonts w:ascii="Calibri" w:hAnsi="Calibri"/>
                <w:b w:val="0"/>
                <w:sz w:val="18"/>
              </w:rPr>
              <w:t>Alert administrators to repeated failed logins, privileged changes and unusual record access</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SecurityAlertDetector service — computed live from audit_logs (deliberately not a separate table, to avoid a stale copy); GET /security-alerts</w:t>
            </w:r>
          </w:p>
        </w:tc>
        <w:tc>
          <w:tcPr>
            <w:tcW w:type="dxa" w:w="2551"/>
          </w:tcPr>
          <w:p>
            <w:r/>
            <w:r>
              <w:rPr>
                <w:rFonts w:ascii="Calibri" w:hAnsi="Calibri"/>
                <w:b w:val="0"/>
                <w:sz w:val="18"/>
              </w:rPr>
              <w:t>curl: 3 deliberate failed logins correctly flagged with count + timestamp; privileged-change list populated from real admin actions</w:t>
            </w:r>
          </w:p>
        </w:tc>
      </w:tr>
    </w:tbl>
    <w:p>
      <w:pPr>
        <w:spacing w:after="80"/>
      </w:pPr>
    </w:p>
    <w:p>
      <w:pPr>
        <w:spacing w:before="200" w:after="80"/>
      </w:pPr>
      <w:r>
        <w:rPr>
          <w:b/>
          <w:color w:val="123B36"/>
          <w:sz w:val="23"/>
        </w:rPr>
        <w:t>Backup (FR57–FR58)</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FR57</w:t>
            </w:r>
          </w:p>
        </w:tc>
        <w:tc>
          <w:tcPr>
            <w:tcW w:type="dxa" w:w="2551"/>
          </w:tcPr>
          <w:p>
            <w:r/>
            <w:r>
              <w:rPr>
                <w:rFonts w:ascii="Calibri" w:hAnsi="Calibri"/>
                <w:b w:val="0"/>
                <w:sz w:val="18"/>
              </w:rPr>
              <w:t>Run configured encrypted backups, verify completion and alert on failure</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BackupService::run() — real `mysqldump` via Laravel's Process facade, output verified non-empty before trusting it, encrypted with Crypt::encryptString(), stored under storage/app/private/backups/; `php artisan backup:run` scheduled dailyAt('02:00'); AuditLog alert on failure</w:t>
            </w:r>
          </w:p>
        </w:tc>
        <w:tc>
          <w:tcPr>
            <w:tcW w:type="dxa" w:w="2551"/>
          </w:tcPr>
          <w:p>
            <w:r/>
            <w:r>
              <w:rPr>
                <w:rFonts w:ascii="Calibri" w:hAnsi="Calibri"/>
                <w:b w:val="0"/>
                <w:sz w:val="18"/>
              </w:rPr>
              <w:t>Ran for real: produced a genuine ~100KB encrypted dump, confirmed the stored file is ciphertext (no plaintext SQL inside it). One transient Windows socket error was hit when triggering a second run from inside the long-lived dev server process — the scheduled/CLI path (a fresh process each run) was retested and is unaffected; see Section 9.</w:t>
            </w:r>
          </w:p>
        </w:tc>
      </w:tr>
      <w:tr>
        <w:tc>
          <w:tcPr>
            <w:tcW w:type="dxa" w:w="737"/>
          </w:tcPr>
          <w:p>
            <w:r/>
            <w:r>
              <w:rPr>
                <w:rFonts w:ascii="Calibri" w:hAnsi="Calibri"/>
                <w:b w:val="0"/>
                <w:sz w:val="18"/>
              </w:rPr>
              <w:t>FR58</w:t>
            </w:r>
          </w:p>
        </w:tc>
        <w:tc>
          <w:tcPr>
            <w:tcW w:type="dxa" w:w="2551"/>
          </w:tcPr>
          <w:p>
            <w:r/>
            <w:r>
              <w:rPr>
                <w:rFonts w:ascii="Calibri" w:hAnsi="Calibri"/>
                <w:b w:val="0"/>
                <w:sz w:val="18"/>
              </w:rPr>
              <w:t>Authorised admin initiates a controlled restore drill and its result is recorded</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restore_drills table; BackupService::runRestoreDrill() — decrypts and structurally validates the dump (does NOT execute against the live database, which would be destructive)</w:t>
            </w:r>
          </w:p>
        </w:tc>
        <w:tc>
          <w:tcPr>
            <w:tcW w:type="dxa" w:w="2551"/>
          </w:tcPr>
          <w:p>
            <w:r/>
            <w:r>
              <w:rPr>
                <w:rFonts w:ascii="Calibri" w:hAnsi="Calibri"/>
                <w:b w:val="0"/>
                <w:sz w:val="18"/>
              </w:rPr>
              <w:t>curl: drill against a real successful backup → passed with byte count; drill against a failed/incomplete backup → correctly failed with reason</w:t>
            </w:r>
          </w:p>
        </w:tc>
      </w:tr>
    </w:tbl>
    <w:p>
      <w:pPr>
        <w:spacing w:after="80"/>
      </w:pPr>
    </w:p>
    <w:p>
      <w:pPr>
        <w:spacing w:before="200" w:after="80"/>
      </w:pPr>
      <w:r>
        <w:rPr>
          <w:b/>
          <w:color w:val="123B36"/>
          <w:sz w:val="23"/>
        </w:rPr>
        <w:t>Configuration (FR59–FR60)</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FR59</w:t>
            </w:r>
          </w:p>
        </w:tc>
        <w:tc>
          <w:tcPr>
            <w:tcW w:type="dxa" w:w="2551"/>
          </w:tcPr>
          <w:p>
            <w:r/>
            <w:r>
              <w:rPr>
                <w:rFonts w:ascii="Calibri" w:hAnsi="Calibri"/>
                <w:b w:val="0"/>
                <w:sz w:val="18"/>
              </w:rPr>
              <w:t>Manage appointment durations, notification schedules, retention settings and feature flags via audited configuration</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settings table (key/value/label/type); SettingController; audited via the standard 'audit' middleware on the PUT route; AdminConfig.jsx System Variables card</w:t>
            </w:r>
          </w:p>
        </w:tc>
        <w:tc>
          <w:tcPr>
            <w:tcW w:type="dxa" w:w="2551"/>
          </w:tcPr>
          <w:p>
            <w:r/>
            <w:r>
              <w:rPr>
                <w:rFonts w:ascii="Calibri" w:hAnsi="Calibri"/>
                <w:b w:val="0"/>
                <w:sz w:val="18"/>
              </w:rPr>
              <w:t>curl: numeric setting update; non-numeric value against a numeric setting correctly rejected (422)</w:t>
            </w:r>
          </w:p>
        </w:tc>
      </w:tr>
      <w:tr>
        <w:tc>
          <w:tcPr>
            <w:tcW w:type="dxa" w:w="737"/>
          </w:tcPr>
          <w:p>
            <w:r/>
            <w:r>
              <w:rPr>
                <w:rFonts w:ascii="Calibri" w:hAnsi="Calibri"/>
                <w:b w:val="0"/>
                <w:sz w:val="18"/>
              </w:rPr>
              <w:t>FR60</w:t>
            </w:r>
          </w:p>
        </w:tc>
        <w:tc>
          <w:tcPr>
            <w:tcW w:type="dxa" w:w="2551"/>
          </w:tcPr>
          <w:p>
            <w:r/>
            <w:r>
              <w:rPr>
                <w:rFonts w:ascii="Calibri" w:hAnsi="Calibri"/>
                <w:b w:val="0"/>
                <w:sz w:val="18"/>
              </w:rPr>
              <w:t>Maintain departments, wards, rooms, beds, service prices and inventory thresholds by branch</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New departments and services tables (branch-scoped, unique-per-branch names); BedController gained store/update; PharmacyController gained an update endpoint for thresholds/pricing; AdminBranchConfig.jsx (4 tabs)</w:t>
            </w:r>
          </w:p>
        </w:tc>
        <w:tc>
          <w:tcPr>
            <w:tcW w:type="dxa" w:w="2551"/>
          </w:tcPr>
          <w:p>
            <w:r/>
            <w:r>
              <w:rPr>
                <w:rFonts w:ascii="Calibri" w:hAnsi="Calibri"/>
                <w:b w:val="0"/>
                <w:sz w:val="18"/>
              </w:rPr>
              <w:t>curl: duplicate department/service names correctly rejected with a clean 422 (a raw-500 bug was found and fixed here — see Section 7); bed create + occupied-bed guard; medicine threshold update</w:t>
            </w:r>
          </w:p>
        </w:tc>
      </w:tr>
    </w:tbl>
    <w:p>
      <w:pPr>
        <w:spacing w:after="80"/>
      </w:pPr>
    </w:p>
    <w:p>
      <w:pPr>
        <w:spacing w:before="200" w:after="80"/>
      </w:pPr>
      <w:r>
        <w:rPr>
          <w:b/>
          <w:color w:val="123B36"/>
          <w:sz w:val="23"/>
        </w:rPr>
        <w:t>Patient rights (FR61)</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FR61</w:t>
            </w:r>
          </w:p>
        </w:tc>
        <w:tc>
          <w:tcPr>
            <w:tcW w:type="dxa" w:w="2551"/>
          </w:tcPr>
          <w:p>
            <w:r/>
            <w:r>
              <w:rPr>
                <w:rFonts w:ascii="Calibri" w:hAnsi="Calibri"/>
                <w:b w:val="0"/>
                <w:sz w:val="18"/>
              </w:rPr>
              <w:t>Manage patient access/correction requests with identity verification, assignment, decision and audit trail</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data_requests table; DataRequestController (submit→assign+verify→decide); decide() hard-blocks (422) on an unverified identity_verified flag; AdminDataRequests.jsx review queue</w:t>
            </w:r>
          </w:p>
        </w:tc>
        <w:tc>
          <w:tcPr>
            <w:tcW w:type="dxa" w:w="2551"/>
          </w:tcPr>
          <w:p>
            <w:r/>
            <w:r>
              <w:rPr>
                <w:rFonts w:ascii="Calibri" w:hAnsi="Calibri"/>
                <w:b w:val="0"/>
                <w:sz w:val="18"/>
              </w:rPr>
              <w:t>curl: full assign→decide flow confirmed; identity-verification gate confirmed genuinely enforced (422 on an unverified request), not just a UI checkbox</w:t>
            </w:r>
          </w:p>
        </w:tc>
      </w:tr>
    </w:tbl>
    <w:p>
      <w:pPr>
        <w:spacing w:after="80"/>
      </w:pPr>
    </w:p>
    <w:p>
      <w:pPr>
        <w:spacing w:before="200" w:after="80"/>
      </w:pPr>
      <w:r>
        <w:rPr>
          <w:b/>
          <w:color w:val="123B36"/>
          <w:sz w:val="23"/>
        </w:rPr>
        <w:t>Data quality (FR62)</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FR62</w:t>
            </w:r>
          </w:p>
        </w:tc>
        <w:tc>
          <w:tcPr>
            <w:tcW w:type="dxa" w:w="2551"/>
          </w:tcPr>
          <w:p>
            <w:r/>
            <w:r>
              <w:rPr>
                <w:rFonts w:ascii="Calibri" w:hAnsi="Calibri"/>
                <w:b w:val="0"/>
                <w:sz w:val="18"/>
              </w:rPr>
              <w:t>Detect possible duplicate patient records, require authorised review before merge</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patient_duplicate_flags table; DuplicatePatientDetector service (DOB/name-similarity/contact heuristic scoring); PatientDuplicateController::merge reassigns FKs across 9 tables inside one transaction, deactivates (never deletes) the losing record</w:t>
            </w:r>
          </w:p>
        </w:tc>
        <w:tc>
          <w:tcPr>
            <w:tcW w:type="dxa" w:w="2551"/>
          </w:tcPr>
          <w:p>
            <w:r/>
            <w:r>
              <w:rPr>
                <w:rFonts w:ascii="Calibri" w:hAnsi="Calibri"/>
                <w:b w:val="0"/>
                <w:sz w:val="18"/>
              </w:rPr>
              <w:t>curl: seeded a real near-clone (score 100), merged, confirmed the losing record deactivated and the flag marked 'merged'. A seeder bug that made this untestable at first was found and fixed — see Section 7.</w:t>
            </w:r>
          </w:p>
        </w:tc>
      </w:tr>
    </w:tbl>
    <w:p>
      <w:pPr>
        <w:spacing w:after="80"/>
      </w:pPr>
    </w:p>
    <w:p>
      <w:pPr>
        <w:spacing w:before="200" w:after="80"/>
      </w:pPr>
      <w:r>
        <w:rPr>
          <w:b/>
          <w:color w:val="123B36"/>
          <w:sz w:val="23"/>
        </w:rPr>
        <w:t>Safety (FR63)</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FR63</w:t>
            </w:r>
          </w:p>
        </w:tc>
        <w:tc>
          <w:tcPr>
            <w:tcW w:type="dxa" w:w="2551"/>
          </w:tcPr>
          <w:p>
            <w:r/>
            <w:r>
              <w:rPr>
                <w:rFonts w:ascii="Calibri" w:hAnsi="Calibri"/>
                <w:b w:val="0"/>
                <w:sz w:val="18"/>
              </w:rPr>
              <w:t>Block or warn on known allergy and expired-medicine conflicts before a prescription is dispensed</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PharmacyController::detectAllergyConflict() — tokenises Patient.allergies and matches against the medicine's name/category; dispense() blocks with a 422 (allergy_conflict flag) unless a ≥10-character override_reason is supplied, in which case it proceeds and logs an ALLERGY_OVERRIDE_DISPENSE audit entry; StaffPharmacy.jsx shows an override modal</w:t>
            </w:r>
          </w:p>
        </w:tc>
        <w:tc>
          <w:tcPr>
            <w:tcW w:type="dxa" w:w="2551"/>
          </w:tcPr>
          <w:p>
            <w:r/>
            <w:r>
              <w:rPr>
                <w:rFonts w:ascii="Calibri" w:hAnsi="Calibri"/>
                <w:b w:val="0"/>
                <w:sz w:val="18"/>
              </w:rPr>
              <w:t>curl: patient with a Penicillin allergy + Penicillin-named medicine → blocked without a reason, succeeded with one, override logged; the pre-existing FR30 expiry hard-block was re-tested and confirmed unchanged</w:t>
            </w:r>
          </w:p>
        </w:tc>
      </w:tr>
    </w:tbl>
    <w:p>
      <w:pPr>
        <w:spacing w:after="80"/>
      </w:pPr>
    </w:p>
    <w:p>
      <w:pPr>
        <w:spacing w:before="200" w:after="80"/>
      </w:pPr>
      <w:r>
        <w:rPr>
          <w:b/>
          <w:color w:val="123B36"/>
          <w:sz w:val="23"/>
        </w:rPr>
        <w:t>Payments (FR64)</w:t>
      </w:r>
    </w:p>
    <w:tbl>
      <w:tblPr>
        <w:tblStyle w:val="TableGrid"/>
        <w:tblW w:type="auto" w:w="0"/>
        <w:jc w:val="center"/>
        <w:tblLayout w:type="fixed"/>
        <w:tblLook w:firstColumn="1" w:firstRow="1" w:lastColumn="0" w:lastRow="0" w:noHBand="0" w:noVBand="1" w:val="04A0"/>
      </w:tblPr>
      <w:tblGrid>
        <w:gridCol w:w="737"/>
        <w:gridCol w:w="2551"/>
        <w:gridCol w:w="1134"/>
        <w:gridCol w:w="2665"/>
        <w:gridCol w:w="2551"/>
      </w:tblGrid>
      <w:tr>
        <w:tc>
          <w:tcPr>
            <w:tcW w:type="dxa" w:w="737"/>
            <w:shd w:val="clear" w:color="auto" w:fill="123B36"/>
          </w:tcPr>
          <w:p>
            <w:r/>
            <w:r>
              <w:rPr>
                <w:rFonts w:ascii="Calibri" w:hAnsi="Calibri"/>
                <w:b/>
                <w:color w:val="FFFFFF"/>
                <w:sz w:val="19"/>
              </w:rPr>
              <w:t>FR#</w:t>
            </w:r>
          </w:p>
        </w:tc>
        <w:tc>
          <w:tcPr>
            <w:tcW w:type="dxa" w:w="2551"/>
            <w:shd w:val="clear" w:color="auto" w:fill="123B36"/>
          </w:tcPr>
          <w:p>
            <w:r/>
            <w:r>
              <w:rPr>
                <w:rFonts w:ascii="Calibri" w:hAnsi="Calibri"/>
                <w:b/>
                <w:color w:val="FFFFFF"/>
                <w:sz w:val="19"/>
              </w:rPr>
              <w:t>Requirement (short)</w:t>
            </w:r>
          </w:p>
        </w:tc>
        <w:tc>
          <w:tcPr>
            <w:tcW w:type="dxa" w:w="1134"/>
            <w:shd w:val="clear" w:color="auto" w:fill="123B36"/>
          </w:tcPr>
          <w:p>
            <w:r/>
            <w:r>
              <w:rPr>
                <w:rFonts w:ascii="Calibri" w:hAnsi="Calibri"/>
                <w:b/>
                <w:color w:val="FFFFFF"/>
                <w:sz w:val="19"/>
              </w:rPr>
              <w:t>Status</w:t>
            </w:r>
          </w:p>
        </w:tc>
        <w:tc>
          <w:tcPr>
            <w:tcW w:type="dxa" w:w="2665"/>
            <w:shd w:val="clear" w:color="auto" w:fill="123B36"/>
          </w:tcPr>
          <w:p>
            <w:r/>
            <w:r>
              <w:rPr>
                <w:rFonts w:ascii="Calibri" w:hAnsi="Calibri"/>
                <w:b/>
                <w:color w:val="FFFFFF"/>
                <w:sz w:val="19"/>
              </w:rPr>
              <w:t>Where implemented</w:t>
            </w:r>
          </w:p>
        </w:tc>
        <w:tc>
          <w:tcPr>
            <w:tcW w:type="dxa" w:w="2551"/>
            <w:shd w:val="clear" w:color="auto" w:fill="123B36"/>
          </w:tcPr>
          <w:p>
            <w:r/>
            <w:r>
              <w:rPr>
                <w:rFonts w:ascii="Calibri" w:hAnsi="Calibri"/>
                <w:b/>
                <w:color w:val="FFFFFF"/>
                <w:sz w:val="19"/>
              </w:rPr>
              <w:t>How verified</w:t>
            </w:r>
          </w:p>
        </w:tc>
      </w:tr>
      <w:tr>
        <w:tc>
          <w:tcPr>
            <w:tcW w:type="dxa" w:w="737"/>
          </w:tcPr>
          <w:p>
            <w:r/>
            <w:r>
              <w:rPr>
                <w:rFonts w:ascii="Calibri" w:hAnsi="Calibri"/>
                <w:b w:val="0"/>
                <w:sz w:val="18"/>
              </w:rPr>
              <w:t>FR64</w:t>
            </w:r>
          </w:p>
        </w:tc>
        <w:tc>
          <w:tcPr>
            <w:tcW w:type="dxa" w:w="2551"/>
          </w:tcPr>
          <w:p>
            <w:r/>
            <w:r>
              <w:rPr>
                <w:rFonts w:ascii="Calibri" w:hAnsi="Calibri"/>
                <w:b w:val="0"/>
                <w:sz w:val="18"/>
              </w:rPr>
              <w:t>Reconcile idempotent gateway callbacks and approved refunds without duplicate payment records</w:t>
            </w:r>
          </w:p>
        </w:tc>
        <w:tc>
          <w:tcPr>
            <w:tcW w:type="dxa" w:w="1134"/>
            <w:shd w:val="clear" w:color="auto" w:fill="E7F3EB"/>
          </w:tcPr>
          <w:p>
            <w:r/>
            <w:r>
              <w:rPr>
                <w:rFonts w:ascii="Calibri" w:hAnsi="Calibri"/>
                <w:b/>
                <w:color w:val="1F7A4C"/>
                <w:sz w:val="18"/>
              </w:rPr>
              <w:t>Done</w:t>
            </w:r>
          </w:p>
        </w:tc>
        <w:tc>
          <w:tcPr>
            <w:tcW w:type="dxa" w:w="2665"/>
          </w:tcPr>
          <w:p>
            <w:r/>
            <w:r>
              <w:rPr>
                <w:rFonts w:ascii="Calibri" w:hAnsi="Calibri"/>
                <w:b w:val="0"/>
                <w:sz w:val="18"/>
              </w:rPr>
              <w:t>PaymentController::callback (public webhook route, mirrors how real gateways call back without a user session) looks up the existing Payment row by its already-unique gateway_reference and updates it — never inserts, and treats an already-terminal status as a no-op; ::refund is idempotent the same way; AdminPayments.jsx</w:t>
            </w:r>
          </w:p>
        </w:tc>
        <w:tc>
          <w:tcPr>
            <w:tcW w:type="dxa" w:w="2551"/>
          </w:tcPr>
          <w:p>
            <w:r/>
            <w:r>
              <w:rPr>
                <w:rFonts w:ascii="Calibri" w:hAnsi="Calibri"/>
                <w:b w:val="0"/>
                <w:sz w:val="18"/>
              </w:rPr>
              <w:t>curl: redelivering an identical callback confirmed no duplicate row and no double status change; a manually-seeded 'pending' payment correctly transitioned to 'success' + invoice 'paid' on callback; refund→refunded, refund again→idempotent no-op, refund a pending payment→422. A real bug in the shared AuditMiddleware was found and fixed while building this — see Section 7.</w:t>
            </w:r>
          </w:p>
        </w:tc>
      </w:tr>
    </w:tbl>
    <w:p>
      <w:pPr>
        <w:spacing w:after="80"/>
      </w:pPr>
    </w:p>
    <w:p>
      <w:r>
        <w:br w:type="page"/>
      </w:r>
    </w:p>
    <w:p>
      <w:pPr>
        <w:pStyle w:val="Heading1"/>
        <w:spacing w:before="240" w:after="120"/>
      </w:pPr>
      <w:r>
        <w:t>6. Non-Functional Requirements Traceability — NFR1 to NFR20</w:t>
      </w:r>
    </w:p>
    <w:p>
      <w:pPr>
        <w:spacing w:after="200"/>
      </w:pPr>
      <w:r>
        <w:rPr>
          <w:b w:val="0"/>
          <w:i/>
          <w:color w:val="5B6B67"/>
          <w:sz w:val="19"/>
        </w:rPr>
        <w:t>Status here is deliberately conservative. “Not yet tested” means the requirement has no test evidence either way — it is not a claim of failure, only that nobody has measured it. Several of these need dedicated tooling (a load-test harness, an accessibility scanner, a timed restore exercise) that this project has not yet set up.</w:t>
      </w:r>
    </w:p>
    <w:p>
      <w:pPr>
        <w:spacing w:before="200" w:after="80"/>
      </w:pPr>
      <w:r>
        <w:rPr>
          <w:b/>
          <w:color w:val="123B36"/>
          <w:sz w:val="23"/>
        </w:rPr>
        <w:t>Performance (NFR1–NFR4)</w:t>
      </w:r>
    </w:p>
    <w:tbl>
      <w:tblPr>
        <w:tblStyle w:val="TableGrid"/>
        <w:tblW w:type="auto" w:w="0"/>
        <w:jc w:val="center"/>
        <w:tblLayout w:type="fixed"/>
        <w:tblLook w:firstColumn="1" w:firstRow="1" w:lastColumn="0" w:lastRow="0" w:noHBand="0" w:noVBand="1" w:val="04A0"/>
      </w:tblPr>
      <w:tblGrid>
        <w:gridCol w:w="737"/>
        <w:gridCol w:w="1474"/>
        <w:gridCol w:w="2438"/>
        <w:gridCol w:w="1134"/>
        <w:gridCol w:w="3855"/>
      </w:tblGrid>
      <w:tr>
        <w:tc>
          <w:tcPr>
            <w:tcW w:type="dxa" w:w="737"/>
            <w:shd w:val="clear" w:color="auto" w:fill="123B36"/>
          </w:tcPr>
          <w:p>
            <w:r/>
            <w:r>
              <w:rPr>
                <w:rFonts w:ascii="Calibri" w:hAnsi="Calibri"/>
                <w:b/>
                <w:color w:val="FFFFFF"/>
                <w:sz w:val="19"/>
              </w:rPr>
              <w:t>NFR#</w:t>
            </w:r>
          </w:p>
        </w:tc>
        <w:tc>
          <w:tcPr>
            <w:tcW w:type="dxa" w:w="1474"/>
            <w:shd w:val="clear" w:color="auto" w:fill="123B36"/>
          </w:tcPr>
          <w:p>
            <w:r/>
            <w:r>
              <w:rPr>
                <w:rFonts w:ascii="Calibri" w:hAnsi="Calibri"/>
                <w:b/>
                <w:color w:val="FFFFFF"/>
                <w:sz w:val="19"/>
              </w:rPr>
              <w:t>Quality attribute</w:t>
            </w:r>
          </w:p>
        </w:tc>
        <w:tc>
          <w:tcPr>
            <w:tcW w:type="dxa" w:w="2438"/>
            <w:shd w:val="clear" w:color="auto" w:fill="123B36"/>
          </w:tcPr>
          <w:p>
            <w:r/>
            <w:r>
              <w:rPr>
                <w:rFonts w:ascii="Calibri" w:hAnsi="Calibri"/>
                <w:b/>
                <w:color w:val="FFFFFF"/>
                <w:sz w:val="19"/>
              </w:rPr>
              <w:t>Requirement</w:t>
            </w:r>
          </w:p>
        </w:tc>
        <w:tc>
          <w:tcPr>
            <w:tcW w:type="dxa" w:w="1134"/>
            <w:shd w:val="clear" w:color="auto" w:fill="123B36"/>
          </w:tcPr>
          <w:p>
            <w:r/>
            <w:r>
              <w:rPr>
                <w:rFonts w:ascii="Calibri" w:hAnsi="Calibri"/>
                <w:b/>
                <w:color w:val="FFFFFF"/>
                <w:sz w:val="19"/>
              </w:rPr>
              <w:t>Status</w:t>
            </w:r>
          </w:p>
        </w:tc>
        <w:tc>
          <w:tcPr>
            <w:tcW w:type="dxa" w:w="3855"/>
            <w:shd w:val="clear" w:color="auto" w:fill="123B36"/>
          </w:tcPr>
          <w:p>
            <w:r/>
            <w:r>
              <w:rPr>
                <w:rFonts w:ascii="Calibri" w:hAnsi="Calibri"/>
                <w:b/>
                <w:color w:val="FFFFFF"/>
                <w:sz w:val="19"/>
              </w:rPr>
              <w:t>Evidence</w:t>
            </w:r>
          </w:p>
        </w:tc>
      </w:tr>
      <w:tr>
        <w:tc>
          <w:tcPr>
            <w:tcW w:type="dxa" w:w="737"/>
          </w:tcPr>
          <w:p>
            <w:r/>
            <w:r>
              <w:rPr>
                <w:rFonts w:ascii="Calibri" w:hAnsi="Calibri"/>
                <w:b w:val="0"/>
                <w:sz w:val="18"/>
              </w:rPr>
              <w:t>NFR1</w:t>
            </w:r>
          </w:p>
        </w:tc>
        <w:tc>
          <w:tcPr>
            <w:tcW w:type="dxa" w:w="1474"/>
          </w:tcPr>
          <w:p>
            <w:r/>
            <w:r>
              <w:rPr>
                <w:rFonts w:ascii="Calibri" w:hAnsi="Calibri"/>
                <w:b w:val="0"/>
                <w:sz w:val="18"/>
              </w:rPr>
              <w:t>Performance</w:t>
            </w:r>
          </w:p>
        </w:tc>
        <w:tc>
          <w:tcPr>
            <w:tcW w:type="dxa" w:w="2438"/>
          </w:tcPr>
          <w:p>
            <w:r/>
            <w:r>
              <w:rPr>
                <w:rFonts w:ascii="Calibri" w:hAnsi="Calibri"/>
                <w:b w:val="0"/>
                <w:sz w:val="18"/>
              </w:rPr>
              <w:t>Normal pages load within 3s at the 95th percentile</w:t>
            </w:r>
          </w:p>
        </w:tc>
        <w:tc>
          <w:tcPr>
            <w:tcW w:type="dxa" w:w="1134"/>
            <w:shd w:val="clear" w:color="auto" w:fill="F8E9EC"/>
          </w:tcPr>
          <w:p>
            <w:r/>
            <w:r>
              <w:rPr>
                <w:rFonts w:ascii="Calibri" w:hAnsi="Calibri"/>
                <w:b/>
                <w:color w:val="A31F34"/>
                <w:sz w:val="18"/>
              </w:rPr>
              <w:t>Not yet tested</w:t>
            </w:r>
          </w:p>
        </w:tc>
        <w:tc>
          <w:tcPr>
            <w:tcW w:type="dxa" w:w="3855"/>
          </w:tcPr>
          <w:p>
            <w:r/>
            <w:r>
              <w:rPr>
                <w:rFonts w:ascii="Calibri" w:hAnsi="Calibri"/>
                <w:b w:val="0"/>
                <w:sz w:val="18"/>
              </w:rPr>
              <w:t>No timed browser test harness exists (no Playwright/Cypress in the repo). Not measured.</w:t>
            </w:r>
          </w:p>
        </w:tc>
      </w:tr>
      <w:tr>
        <w:tc>
          <w:tcPr>
            <w:tcW w:type="dxa" w:w="737"/>
          </w:tcPr>
          <w:p>
            <w:r/>
            <w:r>
              <w:rPr>
                <w:rFonts w:ascii="Calibri" w:hAnsi="Calibri"/>
                <w:b w:val="0"/>
                <w:sz w:val="18"/>
              </w:rPr>
              <w:t>NFR2</w:t>
            </w:r>
          </w:p>
        </w:tc>
        <w:tc>
          <w:tcPr>
            <w:tcW w:type="dxa" w:w="1474"/>
          </w:tcPr>
          <w:p>
            <w:r/>
            <w:r>
              <w:rPr>
                <w:rFonts w:ascii="Calibri" w:hAnsi="Calibri"/>
                <w:b w:val="0"/>
                <w:sz w:val="18"/>
              </w:rPr>
              <w:t>Performance</w:t>
            </w:r>
          </w:p>
        </w:tc>
        <w:tc>
          <w:tcPr>
            <w:tcW w:type="dxa" w:w="2438"/>
          </w:tcPr>
          <w:p>
            <w:r/>
            <w:r>
              <w:rPr>
                <w:rFonts w:ascii="Calibri" w:hAnsi="Calibri"/>
                <w:b w:val="0"/>
                <w:sz w:val="18"/>
              </w:rPr>
              <w:t>Support ≥200 concurrent users without noticeable degradation</w:t>
            </w:r>
          </w:p>
        </w:tc>
        <w:tc>
          <w:tcPr>
            <w:tcW w:type="dxa" w:w="1134"/>
            <w:shd w:val="clear" w:color="auto" w:fill="F8E9EC"/>
          </w:tcPr>
          <w:p>
            <w:r/>
            <w:r>
              <w:rPr>
                <w:rFonts w:ascii="Calibri" w:hAnsi="Calibri"/>
                <w:b/>
                <w:color w:val="A31F34"/>
                <w:sz w:val="18"/>
              </w:rPr>
              <w:t>Not yet tested</w:t>
            </w:r>
          </w:p>
        </w:tc>
        <w:tc>
          <w:tcPr>
            <w:tcW w:type="dxa" w:w="3855"/>
          </w:tcPr>
          <w:p>
            <w:r/>
            <w:r>
              <w:rPr>
                <w:rFonts w:ascii="Calibri" w:hAnsi="Calibri"/>
                <w:b w:val="0"/>
                <w:sz w:val="18"/>
              </w:rPr>
              <w:t>No load-testing tool (k6, JMeter, Locust, etc.) present anywhere in the repo. Not measured — do not assume pass.</w:t>
            </w:r>
          </w:p>
        </w:tc>
      </w:tr>
      <w:tr>
        <w:tc>
          <w:tcPr>
            <w:tcW w:type="dxa" w:w="737"/>
          </w:tcPr>
          <w:p>
            <w:r/>
            <w:r>
              <w:rPr>
                <w:rFonts w:ascii="Calibri" w:hAnsi="Calibri"/>
                <w:b w:val="0"/>
                <w:sz w:val="18"/>
              </w:rPr>
              <w:t>NFR3</w:t>
            </w:r>
          </w:p>
        </w:tc>
        <w:tc>
          <w:tcPr>
            <w:tcW w:type="dxa" w:w="1474"/>
          </w:tcPr>
          <w:p>
            <w:r/>
            <w:r>
              <w:rPr>
                <w:rFonts w:ascii="Calibri" w:hAnsi="Calibri"/>
                <w:b w:val="0"/>
                <w:sz w:val="18"/>
              </w:rPr>
              <w:t>Performance</w:t>
            </w:r>
          </w:p>
        </w:tc>
        <w:tc>
          <w:tcPr>
            <w:tcW w:type="dxa" w:w="2438"/>
          </w:tcPr>
          <w:p>
            <w:r/>
            <w:r>
              <w:rPr>
                <w:rFonts w:ascii="Calibri" w:hAnsi="Calibri"/>
                <w:b w:val="0"/>
                <w:sz w:val="18"/>
              </w:rPr>
              <w:t>Use database indexing for fast patient/appointment retrieval</w:t>
            </w:r>
          </w:p>
        </w:tc>
        <w:tc>
          <w:tcPr>
            <w:tcW w:type="dxa" w:w="1134"/>
            <w:shd w:val="clear" w:color="auto" w:fill="E7F3EB"/>
          </w:tcPr>
          <w:p>
            <w:r/>
            <w:r>
              <w:rPr>
                <w:rFonts w:ascii="Calibri" w:hAnsi="Calibri"/>
                <w:b/>
                <w:color w:val="1F7A4C"/>
                <w:sz w:val="18"/>
              </w:rPr>
              <w:t>Done</w:t>
            </w:r>
          </w:p>
        </w:tc>
        <w:tc>
          <w:tcPr>
            <w:tcW w:type="dxa" w:w="3855"/>
          </w:tcPr>
          <w:p>
            <w:r/>
            <w:r>
              <w:rPr>
                <w:rFonts w:ascii="Calibri" w:hAnsi="Calibri"/>
                <w:b w:val="0"/>
                <w:sz w:val="18"/>
              </w:rPr>
              <w:t>Confirmed via migration review: index(['patient_id','appointment_date']), index(['patient_id','created_at']), unique index on global_patient_id, unique(doctor_staff_id, appointment_date, start_time), plus branch/status compound indexes across most FR49-64 tables.</w:t>
            </w:r>
          </w:p>
        </w:tc>
      </w:tr>
      <w:tr>
        <w:tc>
          <w:tcPr>
            <w:tcW w:type="dxa" w:w="737"/>
          </w:tcPr>
          <w:p>
            <w:r/>
            <w:r>
              <w:rPr>
                <w:rFonts w:ascii="Calibri" w:hAnsi="Calibri"/>
                <w:b w:val="0"/>
                <w:sz w:val="18"/>
              </w:rPr>
              <w:t>NFR4</w:t>
            </w:r>
          </w:p>
        </w:tc>
        <w:tc>
          <w:tcPr>
            <w:tcW w:type="dxa" w:w="1474"/>
          </w:tcPr>
          <w:p>
            <w:r/>
            <w:r>
              <w:rPr>
                <w:rFonts w:ascii="Calibri" w:hAnsi="Calibri"/>
                <w:b w:val="0"/>
                <w:sz w:val="18"/>
              </w:rPr>
              <w:t>Performance</w:t>
            </w:r>
          </w:p>
        </w:tc>
        <w:tc>
          <w:tcPr>
            <w:tcW w:type="dxa" w:w="2438"/>
          </w:tcPr>
          <w:p>
            <w:r/>
            <w:r>
              <w:rPr>
                <w:rFonts w:ascii="Calibri" w:hAnsi="Calibri"/>
                <w:b w:val="0"/>
                <w:sz w:val="18"/>
              </w:rPr>
              <w:t>Generate reports within 10s for datasets under 10,000 records</w:t>
            </w:r>
          </w:p>
        </w:tc>
        <w:tc>
          <w:tcPr>
            <w:tcW w:type="dxa" w:w="1134"/>
            <w:shd w:val="clear" w:color="auto" w:fill="F8E9EC"/>
          </w:tcPr>
          <w:p>
            <w:r/>
            <w:r>
              <w:rPr>
                <w:rFonts w:ascii="Calibri" w:hAnsi="Calibri"/>
                <w:b/>
                <w:color w:val="A31F34"/>
                <w:sz w:val="18"/>
              </w:rPr>
              <w:t>Not yet tested</w:t>
            </w:r>
          </w:p>
        </w:tc>
        <w:tc>
          <w:tcPr>
            <w:tcW w:type="dxa" w:w="3855"/>
          </w:tcPr>
          <w:p>
            <w:r/>
            <w:r>
              <w:rPr>
                <w:rFonts w:ascii="Calibri" w:hAnsi="Calibri"/>
                <w:b w:val="0"/>
                <w:sz w:val="18"/>
              </w:rPr>
              <w:t>No formal timing test recorded. ReportController's queries are simple grouped aggregates likely to be fast in practice on the current small seeded dataset, but this has not been measured against a 10,000-row dataset.</w:t>
            </w:r>
          </w:p>
        </w:tc>
      </w:tr>
    </w:tbl>
    <w:p>
      <w:pPr>
        <w:spacing w:after="80"/>
      </w:pPr>
    </w:p>
    <w:p>
      <w:pPr>
        <w:spacing w:before="200" w:after="80"/>
      </w:pPr>
      <w:r>
        <w:rPr>
          <w:b/>
          <w:color w:val="123B36"/>
          <w:sz w:val="23"/>
        </w:rPr>
        <w:t>Scalability (NFR5–NFR7)</w:t>
      </w:r>
    </w:p>
    <w:tbl>
      <w:tblPr>
        <w:tblStyle w:val="TableGrid"/>
        <w:tblW w:type="auto" w:w="0"/>
        <w:jc w:val="center"/>
        <w:tblLayout w:type="fixed"/>
        <w:tblLook w:firstColumn="1" w:firstRow="1" w:lastColumn="0" w:lastRow="0" w:noHBand="0" w:noVBand="1" w:val="04A0"/>
      </w:tblPr>
      <w:tblGrid>
        <w:gridCol w:w="737"/>
        <w:gridCol w:w="1474"/>
        <w:gridCol w:w="2438"/>
        <w:gridCol w:w="1134"/>
        <w:gridCol w:w="3855"/>
      </w:tblGrid>
      <w:tr>
        <w:tc>
          <w:tcPr>
            <w:tcW w:type="dxa" w:w="737"/>
            <w:shd w:val="clear" w:color="auto" w:fill="123B36"/>
          </w:tcPr>
          <w:p>
            <w:r/>
            <w:r>
              <w:rPr>
                <w:rFonts w:ascii="Calibri" w:hAnsi="Calibri"/>
                <w:b/>
                <w:color w:val="FFFFFF"/>
                <w:sz w:val="19"/>
              </w:rPr>
              <w:t>NFR#</w:t>
            </w:r>
          </w:p>
        </w:tc>
        <w:tc>
          <w:tcPr>
            <w:tcW w:type="dxa" w:w="1474"/>
            <w:shd w:val="clear" w:color="auto" w:fill="123B36"/>
          </w:tcPr>
          <w:p>
            <w:r/>
            <w:r>
              <w:rPr>
                <w:rFonts w:ascii="Calibri" w:hAnsi="Calibri"/>
                <w:b/>
                <w:color w:val="FFFFFF"/>
                <w:sz w:val="19"/>
              </w:rPr>
              <w:t>Quality attribute</w:t>
            </w:r>
          </w:p>
        </w:tc>
        <w:tc>
          <w:tcPr>
            <w:tcW w:type="dxa" w:w="2438"/>
            <w:shd w:val="clear" w:color="auto" w:fill="123B36"/>
          </w:tcPr>
          <w:p>
            <w:r/>
            <w:r>
              <w:rPr>
                <w:rFonts w:ascii="Calibri" w:hAnsi="Calibri"/>
                <w:b/>
                <w:color w:val="FFFFFF"/>
                <w:sz w:val="19"/>
              </w:rPr>
              <w:t>Requirement</w:t>
            </w:r>
          </w:p>
        </w:tc>
        <w:tc>
          <w:tcPr>
            <w:tcW w:type="dxa" w:w="1134"/>
            <w:shd w:val="clear" w:color="auto" w:fill="123B36"/>
          </w:tcPr>
          <w:p>
            <w:r/>
            <w:r>
              <w:rPr>
                <w:rFonts w:ascii="Calibri" w:hAnsi="Calibri"/>
                <w:b/>
                <w:color w:val="FFFFFF"/>
                <w:sz w:val="19"/>
              </w:rPr>
              <w:t>Status</w:t>
            </w:r>
          </w:p>
        </w:tc>
        <w:tc>
          <w:tcPr>
            <w:tcW w:type="dxa" w:w="3855"/>
            <w:shd w:val="clear" w:color="auto" w:fill="123B36"/>
          </w:tcPr>
          <w:p>
            <w:r/>
            <w:r>
              <w:rPr>
                <w:rFonts w:ascii="Calibri" w:hAnsi="Calibri"/>
                <w:b/>
                <w:color w:val="FFFFFF"/>
                <w:sz w:val="19"/>
              </w:rPr>
              <w:t>Evidence</w:t>
            </w:r>
          </w:p>
        </w:tc>
      </w:tr>
      <w:tr>
        <w:tc>
          <w:tcPr>
            <w:tcW w:type="dxa" w:w="737"/>
          </w:tcPr>
          <w:p>
            <w:r/>
            <w:r>
              <w:rPr>
                <w:rFonts w:ascii="Calibri" w:hAnsi="Calibri"/>
                <w:b w:val="0"/>
                <w:sz w:val="18"/>
              </w:rPr>
              <w:t>NFR5</w:t>
            </w:r>
          </w:p>
        </w:tc>
        <w:tc>
          <w:tcPr>
            <w:tcW w:type="dxa" w:w="1474"/>
          </w:tcPr>
          <w:p>
            <w:r/>
            <w:r>
              <w:rPr>
                <w:rFonts w:ascii="Calibri" w:hAnsi="Calibri"/>
                <w:b w:val="0"/>
                <w:sz w:val="18"/>
              </w:rPr>
              <w:t>Scalability</w:t>
            </w:r>
          </w:p>
        </w:tc>
        <w:tc>
          <w:tcPr>
            <w:tcW w:type="dxa" w:w="2438"/>
          </w:tcPr>
          <w:p>
            <w:r/>
            <w:r>
              <w:rPr>
                <w:rFonts w:ascii="Calibri" w:hAnsi="Calibri"/>
                <w:b w:val="0"/>
                <w:sz w:val="18"/>
              </w:rPr>
              <w:t>Add branches without structural database changes</w:t>
            </w:r>
          </w:p>
        </w:tc>
        <w:tc>
          <w:tcPr>
            <w:tcW w:type="dxa" w:w="1134"/>
            <w:shd w:val="clear" w:color="auto" w:fill="E7F3EB"/>
          </w:tcPr>
          <w:p>
            <w:r/>
            <w:r>
              <w:rPr>
                <w:rFonts w:ascii="Calibri" w:hAnsi="Calibri"/>
                <w:b/>
                <w:color w:val="1F7A4C"/>
                <w:sz w:val="18"/>
              </w:rPr>
              <w:t>Done</w:t>
            </w:r>
          </w:p>
        </w:tc>
        <w:tc>
          <w:tcPr>
            <w:tcW w:type="dxa" w:w="3855"/>
          </w:tcPr>
          <w:p>
            <w:r/>
            <w:r>
              <w:rPr>
                <w:rFonts w:ascii="Calibri" w:hAnsi="Calibri"/>
                <w:b w:val="0"/>
                <w:sz w:val="18"/>
              </w:rPr>
              <w:t>Creating a branch is a plain data-row insert (BranchController::store) — no schema/migration change is needed to onboard a new branch.</w:t>
            </w:r>
          </w:p>
        </w:tc>
      </w:tr>
      <w:tr>
        <w:tc>
          <w:tcPr>
            <w:tcW w:type="dxa" w:w="737"/>
          </w:tcPr>
          <w:p>
            <w:r/>
            <w:r>
              <w:rPr>
                <w:rFonts w:ascii="Calibri" w:hAnsi="Calibri"/>
                <w:b w:val="0"/>
                <w:sz w:val="18"/>
              </w:rPr>
              <w:t>NFR6</w:t>
            </w:r>
          </w:p>
        </w:tc>
        <w:tc>
          <w:tcPr>
            <w:tcW w:type="dxa" w:w="1474"/>
          </w:tcPr>
          <w:p>
            <w:r/>
            <w:r>
              <w:rPr>
                <w:rFonts w:ascii="Calibri" w:hAnsi="Calibri"/>
                <w:b w:val="0"/>
                <w:sz w:val="18"/>
              </w:rPr>
              <w:t>Scalability</w:t>
            </w:r>
          </w:p>
        </w:tc>
        <w:tc>
          <w:tcPr>
            <w:tcW w:type="dxa" w:w="2438"/>
          </w:tcPr>
          <w:p>
            <w:r/>
            <w:r>
              <w:rPr>
                <w:rFonts w:ascii="Calibri" w:hAnsi="Calibri"/>
                <w:b w:val="0"/>
                <w:sz w:val="18"/>
              </w:rPr>
              <w:t>Support multi-server deployment if load increases</w:t>
            </w:r>
          </w:p>
        </w:tc>
        <w:tc>
          <w:tcPr>
            <w:tcW w:type="dxa" w:w="1134"/>
            <w:shd w:val="clear" w:color="auto" w:fill="FDF2E0"/>
          </w:tcPr>
          <w:p>
            <w:r/>
            <w:r>
              <w:rPr>
                <w:rFonts w:ascii="Calibri" w:hAnsi="Calibri"/>
                <w:b/>
                <w:color w:val="8A5A00"/>
                <w:sz w:val="18"/>
              </w:rPr>
              <w:t>Partial</w:t>
            </w:r>
          </w:p>
        </w:tc>
        <w:tc>
          <w:tcPr>
            <w:tcW w:type="dxa" w:w="3855"/>
          </w:tcPr>
          <w:p>
            <w:r/>
            <w:r>
              <w:rPr>
                <w:rFonts w:ascii="Calibri" w:hAnsi="Calibri"/>
                <w:b w:val="0"/>
                <w:sz w:val="18"/>
              </w:rPr>
              <w:t>.env is configured with SESSION_DRIVER=database, QUEUE_CONNECTION=database, CACHE_STORE=database — all externally shareable rather than file-based, which is architecturally compatible with multiple stateless app nodes. This has not been verified by an actual multi-node deployment or a formal architecture review.</w:t>
            </w:r>
          </w:p>
        </w:tc>
      </w:tr>
      <w:tr>
        <w:tc>
          <w:tcPr>
            <w:tcW w:type="dxa" w:w="737"/>
          </w:tcPr>
          <w:p>
            <w:r/>
            <w:r>
              <w:rPr>
                <w:rFonts w:ascii="Calibri" w:hAnsi="Calibri"/>
                <w:b w:val="0"/>
                <w:sz w:val="18"/>
              </w:rPr>
              <w:t>NFR7</w:t>
            </w:r>
          </w:p>
        </w:tc>
        <w:tc>
          <w:tcPr>
            <w:tcW w:type="dxa" w:w="1474"/>
          </w:tcPr>
          <w:p>
            <w:r/>
            <w:r>
              <w:rPr>
                <w:rFonts w:ascii="Calibri" w:hAnsi="Calibri"/>
                <w:b w:val="0"/>
                <w:sz w:val="18"/>
              </w:rPr>
              <w:t>Scalability</w:t>
            </w:r>
          </w:p>
        </w:tc>
        <w:tc>
          <w:tcPr>
            <w:tcW w:type="dxa" w:w="2438"/>
          </w:tcPr>
          <w:p>
            <w:r/>
            <w:r>
              <w:rPr>
                <w:rFonts w:ascii="Calibri" w:hAnsi="Calibri"/>
                <w:b w:val="0"/>
                <w:sz w:val="18"/>
              </w:rPr>
              <w:t>Maintain consistent performance as annual data volume grows</w:t>
            </w:r>
          </w:p>
        </w:tc>
        <w:tc>
          <w:tcPr>
            <w:tcW w:type="dxa" w:w="1134"/>
            <w:shd w:val="clear" w:color="auto" w:fill="F8E9EC"/>
          </w:tcPr>
          <w:p>
            <w:r/>
            <w:r>
              <w:rPr>
                <w:rFonts w:ascii="Calibri" w:hAnsi="Calibri"/>
                <w:b/>
                <w:color w:val="A31F34"/>
                <w:sz w:val="18"/>
              </w:rPr>
              <w:t>Not yet tested</w:t>
            </w:r>
          </w:p>
        </w:tc>
        <w:tc>
          <w:tcPr>
            <w:tcW w:type="dxa" w:w="3855"/>
          </w:tcPr>
          <w:p>
            <w:r/>
            <w:r>
              <w:rPr>
                <w:rFonts w:ascii="Calibri" w:hAnsi="Calibri"/>
                <w:b w:val="0"/>
                <w:sz w:val="18"/>
              </w:rPr>
              <w:t>No forecast-volume load test has been run.</w:t>
            </w:r>
          </w:p>
        </w:tc>
      </w:tr>
    </w:tbl>
    <w:p>
      <w:pPr>
        <w:spacing w:after="80"/>
      </w:pPr>
    </w:p>
    <w:p>
      <w:pPr>
        <w:spacing w:before="200" w:after="80"/>
      </w:pPr>
      <w:r>
        <w:rPr>
          <w:b/>
          <w:color w:val="123B36"/>
          <w:sz w:val="23"/>
        </w:rPr>
        <w:t>Security (NFR8–NFR12)</w:t>
      </w:r>
    </w:p>
    <w:tbl>
      <w:tblPr>
        <w:tblStyle w:val="TableGrid"/>
        <w:tblW w:type="auto" w:w="0"/>
        <w:jc w:val="center"/>
        <w:tblLayout w:type="fixed"/>
        <w:tblLook w:firstColumn="1" w:firstRow="1" w:lastColumn="0" w:lastRow="0" w:noHBand="0" w:noVBand="1" w:val="04A0"/>
      </w:tblPr>
      <w:tblGrid>
        <w:gridCol w:w="737"/>
        <w:gridCol w:w="1474"/>
        <w:gridCol w:w="2438"/>
        <w:gridCol w:w="1134"/>
        <w:gridCol w:w="3855"/>
      </w:tblGrid>
      <w:tr>
        <w:tc>
          <w:tcPr>
            <w:tcW w:type="dxa" w:w="737"/>
            <w:shd w:val="clear" w:color="auto" w:fill="123B36"/>
          </w:tcPr>
          <w:p>
            <w:r/>
            <w:r>
              <w:rPr>
                <w:rFonts w:ascii="Calibri" w:hAnsi="Calibri"/>
                <w:b/>
                <w:color w:val="FFFFFF"/>
                <w:sz w:val="19"/>
              </w:rPr>
              <w:t>NFR#</w:t>
            </w:r>
          </w:p>
        </w:tc>
        <w:tc>
          <w:tcPr>
            <w:tcW w:type="dxa" w:w="1474"/>
            <w:shd w:val="clear" w:color="auto" w:fill="123B36"/>
          </w:tcPr>
          <w:p>
            <w:r/>
            <w:r>
              <w:rPr>
                <w:rFonts w:ascii="Calibri" w:hAnsi="Calibri"/>
                <w:b/>
                <w:color w:val="FFFFFF"/>
                <w:sz w:val="19"/>
              </w:rPr>
              <w:t>Quality attribute</w:t>
            </w:r>
          </w:p>
        </w:tc>
        <w:tc>
          <w:tcPr>
            <w:tcW w:type="dxa" w:w="2438"/>
            <w:shd w:val="clear" w:color="auto" w:fill="123B36"/>
          </w:tcPr>
          <w:p>
            <w:r/>
            <w:r>
              <w:rPr>
                <w:rFonts w:ascii="Calibri" w:hAnsi="Calibri"/>
                <w:b/>
                <w:color w:val="FFFFFF"/>
                <w:sz w:val="19"/>
              </w:rPr>
              <w:t>Requirement</w:t>
            </w:r>
          </w:p>
        </w:tc>
        <w:tc>
          <w:tcPr>
            <w:tcW w:type="dxa" w:w="1134"/>
            <w:shd w:val="clear" w:color="auto" w:fill="123B36"/>
          </w:tcPr>
          <w:p>
            <w:r/>
            <w:r>
              <w:rPr>
                <w:rFonts w:ascii="Calibri" w:hAnsi="Calibri"/>
                <w:b/>
                <w:color w:val="FFFFFF"/>
                <w:sz w:val="19"/>
              </w:rPr>
              <w:t>Status</w:t>
            </w:r>
          </w:p>
        </w:tc>
        <w:tc>
          <w:tcPr>
            <w:tcW w:type="dxa" w:w="3855"/>
            <w:shd w:val="clear" w:color="auto" w:fill="123B36"/>
          </w:tcPr>
          <w:p>
            <w:r/>
            <w:r>
              <w:rPr>
                <w:rFonts w:ascii="Calibri" w:hAnsi="Calibri"/>
                <w:b/>
                <w:color w:val="FFFFFF"/>
                <w:sz w:val="19"/>
              </w:rPr>
              <w:t>Evidence</w:t>
            </w:r>
          </w:p>
        </w:tc>
      </w:tr>
      <w:tr>
        <w:tc>
          <w:tcPr>
            <w:tcW w:type="dxa" w:w="737"/>
          </w:tcPr>
          <w:p>
            <w:r/>
            <w:r>
              <w:rPr>
                <w:rFonts w:ascii="Calibri" w:hAnsi="Calibri"/>
                <w:b w:val="0"/>
                <w:sz w:val="18"/>
              </w:rPr>
              <w:t>NFR8</w:t>
            </w:r>
          </w:p>
        </w:tc>
        <w:tc>
          <w:tcPr>
            <w:tcW w:type="dxa" w:w="1474"/>
          </w:tcPr>
          <w:p>
            <w:r/>
            <w:r>
              <w:rPr>
                <w:rFonts w:ascii="Calibri" w:hAnsi="Calibri"/>
                <w:b w:val="0"/>
                <w:sz w:val="18"/>
              </w:rPr>
              <w:t>Security</w:t>
            </w:r>
          </w:p>
        </w:tc>
        <w:tc>
          <w:tcPr>
            <w:tcW w:type="dxa" w:w="2438"/>
          </w:tcPr>
          <w:p>
            <w:r/>
            <w:r>
              <w:rPr>
                <w:rFonts w:ascii="Calibri" w:hAnsi="Calibri"/>
                <w:b w:val="0"/>
                <w:sz w:val="18"/>
              </w:rPr>
              <w:t>Store passwords using bcrypt/Argon2id or approved equivalent</w:t>
            </w:r>
          </w:p>
        </w:tc>
        <w:tc>
          <w:tcPr>
            <w:tcW w:type="dxa" w:w="1134"/>
            <w:shd w:val="clear" w:color="auto" w:fill="E7F3EB"/>
          </w:tcPr>
          <w:p>
            <w:r/>
            <w:r>
              <w:rPr>
                <w:rFonts w:ascii="Calibri" w:hAnsi="Calibri"/>
                <w:b/>
                <w:color w:val="1F7A4C"/>
                <w:sz w:val="18"/>
              </w:rPr>
              <w:t>Done</w:t>
            </w:r>
          </w:p>
        </w:tc>
        <w:tc>
          <w:tcPr>
            <w:tcW w:type="dxa" w:w="3855"/>
          </w:tcPr>
          <w:p>
            <w:r/>
            <w:r>
              <w:rPr>
                <w:rFonts w:ascii="Calibri" w:hAnsi="Calibri"/>
                <w:b w:val="0"/>
                <w:sz w:val="18"/>
              </w:rPr>
              <w:t>User.password cast to 'hashed'; Laravel's default Hash driver is bcrypt; no plaintext password persistence found anywhere.</w:t>
            </w:r>
          </w:p>
        </w:tc>
      </w:tr>
      <w:tr>
        <w:tc>
          <w:tcPr>
            <w:tcW w:type="dxa" w:w="737"/>
          </w:tcPr>
          <w:p>
            <w:r/>
            <w:r>
              <w:rPr>
                <w:rFonts w:ascii="Calibri" w:hAnsi="Calibri"/>
                <w:b w:val="0"/>
                <w:sz w:val="18"/>
              </w:rPr>
              <w:t>NFR9</w:t>
            </w:r>
          </w:p>
        </w:tc>
        <w:tc>
          <w:tcPr>
            <w:tcW w:type="dxa" w:w="1474"/>
          </w:tcPr>
          <w:p>
            <w:r/>
            <w:r>
              <w:rPr>
                <w:rFonts w:ascii="Calibri" w:hAnsi="Calibri"/>
                <w:b w:val="0"/>
                <w:sz w:val="18"/>
              </w:rPr>
              <w:t>Security</w:t>
            </w:r>
          </w:p>
        </w:tc>
        <w:tc>
          <w:tcPr>
            <w:tcW w:type="dxa" w:w="2438"/>
          </w:tcPr>
          <w:p>
            <w:r/>
            <w:r>
              <w:rPr>
                <w:rFonts w:ascii="Calibri" w:hAnsi="Calibri"/>
                <w:b w:val="0"/>
                <w:sz w:val="18"/>
              </w:rPr>
              <w:t>Protect all client-server traffic with HTTPS/TLS</w:t>
            </w:r>
          </w:p>
        </w:tc>
        <w:tc>
          <w:tcPr>
            <w:tcW w:type="dxa" w:w="1134"/>
            <w:shd w:val="clear" w:color="auto" w:fill="F8E9EC"/>
          </w:tcPr>
          <w:p>
            <w:r/>
            <w:r>
              <w:rPr>
                <w:rFonts w:ascii="Calibri" w:hAnsi="Calibri"/>
                <w:b/>
                <w:color w:val="A31F34"/>
                <w:sz w:val="18"/>
              </w:rPr>
              <w:t>Not implemented</w:t>
            </w:r>
          </w:p>
        </w:tc>
        <w:tc>
          <w:tcPr>
            <w:tcW w:type="dxa" w:w="3855"/>
          </w:tcPr>
          <w:p>
            <w:r/>
            <w:r>
              <w:rPr>
                <w:rFonts w:ascii="Calibri" w:hAnsi="Calibri"/>
                <w:b w:val="0"/>
                <w:sz w:val="18"/>
              </w:rPr>
              <w:t>The current environment runs over plain HTTP (local XAMPP dev server) — no TLS certificate, no forced-HTTPS middleware found in bootstrap/app.php. This is expected for local development but is a real, unresolved gap before any deployment.</w:t>
            </w:r>
          </w:p>
        </w:tc>
      </w:tr>
      <w:tr>
        <w:tc>
          <w:tcPr>
            <w:tcW w:type="dxa" w:w="737"/>
          </w:tcPr>
          <w:p>
            <w:r/>
            <w:r>
              <w:rPr>
                <w:rFonts w:ascii="Calibri" w:hAnsi="Calibri"/>
                <w:b w:val="0"/>
                <w:sz w:val="18"/>
              </w:rPr>
              <w:t>NFR10</w:t>
            </w:r>
          </w:p>
        </w:tc>
        <w:tc>
          <w:tcPr>
            <w:tcW w:type="dxa" w:w="1474"/>
          </w:tcPr>
          <w:p>
            <w:r/>
            <w:r>
              <w:rPr>
                <w:rFonts w:ascii="Calibri" w:hAnsi="Calibri"/>
                <w:b w:val="0"/>
                <w:sz w:val="18"/>
              </w:rPr>
              <w:t>Security</w:t>
            </w:r>
          </w:p>
        </w:tc>
        <w:tc>
          <w:tcPr>
            <w:tcW w:type="dxa" w:w="2438"/>
          </w:tcPr>
          <w:p>
            <w:r/>
            <w:r>
              <w:rPr>
                <w:rFonts w:ascii="Calibri" w:hAnsi="Calibri"/>
                <w:b w:val="0"/>
                <w:sz w:val="18"/>
              </w:rPr>
              <w:t>Restrict sensitive modules with server-side RBAC</w:t>
            </w:r>
          </w:p>
        </w:tc>
        <w:tc>
          <w:tcPr>
            <w:tcW w:type="dxa" w:w="1134"/>
            <w:shd w:val="clear" w:color="auto" w:fill="FDF2E0"/>
          </w:tcPr>
          <w:p>
            <w:r/>
            <w:r>
              <w:rPr>
                <w:rFonts w:ascii="Calibri" w:hAnsi="Calibri"/>
                <w:b/>
                <w:color w:val="8A5A00"/>
                <w:sz w:val="18"/>
              </w:rPr>
              <w:t>Partial</w:t>
            </w:r>
          </w:p>
        </w:tc>
        <w:tc>
          <w:tcPr>
            <w:tcW w:type="dxa" w:w="3855"/>
          </w:tcPr>
          <w:p>
            <w:r/>
            <w:r>
              <w:rPr>
                <w:rFonts w:ascii="Calibri" w:hAnsi="Calibri"/>
                <w:b w:val="0"/>
                <w:sz w:val="18"/>
              </w:rPr>
              <w:t>RoleMiddleware enforces role-based access on nearly every mutating route (confirmed via a full routes/api.php review) — the role dimension of RBAC is solid. However two concrete data-ownership gaps were found in this same review: (1) no controller anywhere restricts a Branch Manager to their own branch (see FR10); (2) no controller restricts staff to only their assigned patients (see FR15/FR23). Role-based RBAC: strong. Data-scoped RBAC: incomplete.</w:t>
            </w:r>
          </w:p>
        </w:tc>
      </w:tr>
      <w:tr>
        <w:tc>
          <w:tcPr>
            <w:tcW w:type="dxa" w:w="737"/>
          </w:tcPr>
          <w:p>
            <w:r/>
            <w:r>
              <w:rPr>
                <w:rFonts w:ascii="Calibri" w:hAnsi="Calibri"/>
                <w:b w:val="0"/>
                <w:sz w:val="18"/>
              </w:rPr>
              <w:t>NFR11</w:t>
            </w:r>
          </w:p>
        </w:tc>
        <w:tc>
          <w:tcPr>
            <w:tcW w:type="dxa" w:w="1474"/>
          </w:tcPr>
          <w:p>
            <w:r/>
            <w:r>
              <w:rPr>
                <w:rFonts w:ascii="Calibri" w:hAnsi="Calibri"/>
                <w:b w:val="0"/>
                <w:sz w:val="18"/>
              </w:rPr>
              <w:t>Security</w:t>
            </w:r>
          </w:p>
        </w:tc>
        <w:tc>
          <w:tcPr>
            <w:tcW w:type="dxa" w:w="2438"/>
          </w:tcPr>
          <w:p>
            <w:r/>
            <w:r>
              <w:rPr>
                <w:rFonts w:ascii="Calibri" w:hAnsi="Calibri"/>
                <w:b w:val="0"/>
                <w:sz w:val="18"/>
              </w:rPr>
              <w:t>End inactive authenticated sessions after 10 minutes</w:t>
            </w:r>
          </w:p>
        </w:tc>
        <w:tc>
          <w:tcPr>
            <w:tcW w:type="dxa" w:w="1134"/>
            <w:shd w:val="clear" w:color="auto" w:fill="E7F3EB"/>
          </w:tcPr>
          <w:p>
            <w:r/>
            <w:r>
              <w:rPr>
                <w:rFonts w:ascii="Calibri" w:hAnsi="Calibri"/>
                <w:b/>
                <w:color w:val="1F7A4C"/>
                <w:sz w:val="18"/>
              </w:rPr>
              <w:t>Done</w:t>
            </w:r>
          </w:p>
        </w:tc>
        <w:tc>
          <w:tcPr>
            <w:tcW w:type="dxa" w:w="3855"/>
          </w:tcPr>
          <w:p>
            <w:r/>
            <w:r>
              <w:rPr>
                <w:rFonts w:ascii="Calibri" w:hAnsi="Calibri"/>
                <w:b w:val="0"/>
                <w:sz w:val="18"/>
              </w:rPr>
              <w:t>EnsureSessionIsActive middleware — sliding 10-minute idle timeout keyed to the Sanctum token, backed by a cache marker; expired token is deleted and a 401 with a clear message is returned.</w:t>
            </w:r>
          </w:p>
        </w:tc>
      </w:tr>
      <w:tr>
        <w:tc>
          <w:tcPr>
            <w:tcW w:type="dxa" w:w="737"/>
          </w:tcPr>
          <w:p>
            <w:r/>
            <w:r>
              <w:rPr>
                <w:rFonts w:ascii="Calibri" w:hAnsi="Calibri"/>
                <w:b w:val="0"/>
                <w:sz w:val="18"/>
              </w:rPr>
              <w:t>NFR12</w:t>
            </w:r>
          </w:p>
        </w:tc>
        <w:tc>
          <w:tcPr>
            <w:tcW w:type="dxa" w:w="1474"/>
          </w:tcPr>
          <w:p>
            <w:r/>
            <w:r>
              <w:rPr>
                <w:rFonts w:ascii="Calibri" w:hAnsi="Calibri"/>
                <w:b w:val="0"/>
                <w:sz w:val="18"/>
              </w:rPr>
              <w:t>Security</w:t>
            </w:r>
          </w:p>
        </w:tc>
        <w:tc>
          <w:tcPr>
            <w:tcW w:type="dxa" w:w="2438"/>
          </w:tcPr>
          <w:p>
            <w:r/>
            <w:r>
              <w:rPr>
                <w:rFonts w:ascii="Calibri" w:hAnsi="Calibri"/>
                <w:b w:val="0"/>
                <w:sz w:val="18"/>
              </w:rPr>
              <w:t>Log login attempts, data changes and deletions for auditing</w:t>
            </w:r>
          </w:p>
        </w:tc>
        <w:tc>
          <w:tcPr>
            <w:tcW w:type="dxa" w:w="1134"/>
            <w:shd w:val="clear" w:color="auto" w:fill="E7F3EB"/>
          </w:tcPr>
          <w:p>
            <w:r/>
            <w:r>
              <w:rPr>
                <w:rFonts w:ascii="Calibri" w:hAnsi="Calibri"/>
                <w:b/>
                <w:color w:val="1F7A4C"/>
                <w:sz w:val="18"/>
              </w:rPr>
              <w:t>Done</w:t>
            </w:r>
          </w:p>
        </w:tc>
        <w:tc>
          <w:tcPr>
            <w:tcW w:type="dxa" w:w="3855"/>
          </w:tcPr>
          <w:p>
            <w:r/>
            <w:r>
              <w:rPr>
                <w:rFonts w:ascii="Calibri" w:hAnsi="Calibri"/>
                <w:b w:val="0"/>
                <w:sz w:val="18"/>
              </w:rPr>
              <w:t>audit_logs table + AuditMiddleware (auto-logs every non-GET request: actor, role, action, object type/id, outcome, IP, source) + explicit AuditLog::record() calls for login attempts and the FR51/56/57/63/64 “alert” events. Heavily exercised this session while building FR55/56; one real bug in this middleware was found and fixed (see Section 7).</w:t>
            </w:r>
          </w:p>
        </w:tc>
      </w:tr>
    </w:tbl>
    <w:p>
      <w:pPr>
        <w:spacing w:after="80"/>
      </w:pPr>
    </w:p>
    <w:p>
      <w:pPr>
        <w:spacing w:before="200" w:after="80"/>
      </w:pPr>
      <w:r>
        <w:rPr>
          <w:b/>
          <w:color w:val="123B36"/>
          <w:sz w:val="23"/>
        </w:rPr>
        <w:t>Usability &amp; Accessibility (NFR13–NFR15)</w:t>
      </w:r>
    </w:p>
    <w:tbl>
      <w:tblPr>
        <w:tblStyle w:val="TableGrid"/>
        <w:tblW w:type="auto" w:w="0"/>
        <w:jc w:val="center"/>
        <w:tblLayout w:type="fixed"/>
        <w:tblLook w:firstColumn="1" w:firstRow="1" w:lastColumn="0" w:lastRow="0" w:noHBand="0" w:noVBand="1" w:val="04A0"/>
      </w:tblPr>
      <w:tblGrid>
        <w:gridCol w:w="737"/>
        <w:gridCol w:w="1474"/>
        <w:gridCol w:w="2438"/>
        <w:gridCol w:w="1134"/>
        <w:gridCol w:w="3855"/>
      </w:tblGrid>
      <w:tr>
        <w:tc>
          <w:tcPr>
            <w:tcW w:type="dxa" w:w="737"/>
            <w:shd w:val="clear" w:color="auto" w:fill="123B36"/>
          </w:tcPr>
          <w:p>
            <w:r/>
            <w:r>
              <w:rPr>
                <w:rFonts w:ascii="Calibri" w:hAnsi="Calibri"/>
                <w:b/>
                <w:color w:val="FFFFFF"/>
                <w:sz w:val="19"/>
              </w:rPr>
              <w:t>NFR#</w:t>
            </w:r>
          </w:p>
        </w:tc>
        <w:tc>
          <w:tcPr>
            <w:tcW w:type="dxa" w:w="1474"/>
            <w:shd w:val="clear" w:color="auto" w:fill="123B36"/>
          </w:tcPr>
          <w:p>
            <w:r/>
            <w:r>
              <w:rPr>
                <w:rFonts w:ascii="Calibri" w:hAnsi="Calibri"/>
                <w:b/>
                <w:color w:val="FFFFFF"/>
                <w:sz w:val="19"/>
              </w:rPr>
              <w:t>Quality attribute</w:t>
            </w:r>
          </w:p>
        </w:tc>
        <w:tc>
          <w:tcPr>
            <w:tcW w:type="dxa" w:w="2438"/>
            <w:shd w:val="clear" w:color="auto" w:fill="123B36"/>
          </w:tcPr>
          <w:p>
            <w:r/>
            <w:r>
              <w:rPr>
                <w:rFonts w:ascii="Calibri" w:hAnsi="Calibri"/>
                <w:b/>
                <w:color w:val="FFFFFF"/>
                <w:sz w:val="19"/>
              </w:rPr>
              <w:t>Requirement</w:t>
            </w:r>
          </w:p>
        </w:tc>
        <w:tc>
          <w:tcPr>
            <w:tcW w:type="dxa" w:w="1134"/>
            <w:shd w:val="clear" w:color="auto" w:fill="123B36"/>
          </w:tcPr>
          <w:p>
            <w:r/>
            <w:r>
              <w:rPr>
                <w:rFonts w:ascii="Calibri" w:hAnsi="Calibri"/>
                <w:b/>
                <w:color w:val="FFFFFF"/>
                <w:sz w:val="19"/>
              </w:rPr>
              <w:t>Status</w:t>
            </w:r>
          </w:p>
        </w:tc>
        <w:tc>
          <w:tcPr>
            <w:tcW w:type="dxa" w:w="3855"/>
            <w:shd w:val="clear" w:color="auto" w:fill="123B36"/>
          </w:tcPr>
          <w:p>
            <w:r/>
            <w:r>
              <w:rPr>
                <w:rFonts w:ascii="Calibri" w:hAnsi="Calibri"/>
                <w:b/>
                <w:color w:val="FFFFFF"/>
                <w:sz w:val="19"/>
              </w:rPr>
              <w:t>Evidence</w:t>
            </w:r>
          </w:p>
        </w:tc>
      </w:tr>
      <w:tr>
        <w:tc>
          <w:tcPr>
            <w:tcW w:type="dxa" w:w="737"/>
          </w:tcPr>
          <w:p>
            <w:r/>
            <w:r>
              <w:rPr>
                <w:rFonts w:ascii="Calibri" w:hAnsi="Calibri"/>
                <w:b w:val="0"/>
                <w:sz w:val="18"/>
              </w:rPr>
              <w:t>NFR13</w:t>
            </w:r>
          </w:p>
        </w:tc>
        <w:tc>
          <w:tcPr>
            <w:tcW w:type="dxa" w:w="1474"/>
          </w:tcPr>
          <w:p>
            <w:r/>
            <w:r>
              <w:rPr>
                <w:rFonts w:ascii="Calibri" w:hAnsi="Calibri"/>
                <w:b w:val="0"/>
                <w:sz w:val="18"/>
              </w:rPr>
              <w:t>Usability</w:t>
            </w:r>
          </w:p>
        </w:tc>
        <w:tc>
          <w:tcPr>
            <w:tcW w:type="dxa" w:w="2438"/>
          </w:tcPr>
          <w:p>
            <w:r/>
            <w:r>
              <w:rPr>
                <w:rFonts w:ascii="Calibri" w:hAnsi="Calibri"/>
                <w:b w:val="0"/>
                <w:sz w:val="18"/>
              </w:rPr>
              <w:t>Intuitive, consistent, mobile-responsive interface on major browsers</w:t>
            </w:r>
          </w:p>
        </w:tc>
        <w:tc>
          <w:tcPr>
            <w:tcW w:type="dxa" w:w="1134"/>
            <w:shd w:val="clear" w:color="auto" w:fill="FDF2E0"/>
          </w:tcPr>
          <w:p>
            <w:r/>
            <w:r>
              <w:rPr>
                <w:rFonts w:ascii="Calibri" w:hAnsi="Calibri"/>
                <w:b/>
                <w:color w:val="8A5A00"/>
                <w:sz w:val="18"/>
              </w:rPr>
              <w:t>Partial</w:t>
            </w:r>
          </w:p>
        </w:tc>
        <w:tc>
          <w:tcPr>
            <w:tcW w:type="dxa" w:w="3855"/>
          </w:tcPr>
          <w:p>
            <w:r/>
            <w:r>
              <w:rPr>
                <w:rFonts w:ascii="Calibri" w:hAnsi="Calibri"/>
                <w:b w:val="0"/>
                <w:sz w:val="18"/>
              </w:rPr>
              <w:t>The frontend uses a consistent component library (Card/Badge/Button/ScreenHeader) and responsive layout patterns (e.g. Login.jsx's media query collapsing the hero pane on narrow screens). No formal cross-browser test matrix has been run, and no browser automation tool was available to verify this directly.</w:t>
            </w:r>
          </w:p>
        </w:tc>
      </w:tr>
      <w:tr>
        <w:tc>
          <w:tcPr>
            <w:tcW w:type="dxa" w:w="737"/>
          </w:tcPr>
          <w:p>
            <w:r/>
            <w:r>
              <w:rPr>
                <w:rFonts w:ascii="Calibri" w:hAnsi="Calibri"/>
                <w:b w:val="0"/>
                <w:sz w:val="18"/>
              </w:rPr>
              <w:t>NFR14</w:t>
            </w:r>
          </w:p>
        </w:tc>
        <w:tc>
          <w:tcPr>
            <w:tcW w:type="dxa" w:w="1474"/>
          </w:tcPr>
          <w:p>
            <w:r/>
            <w:r>
              <w:rPr>
                <w:rFonts w:ascii="Calibri" w:hAnsi="Calibri"/>
                <w:b w:val="0"/>
                <w:sz w:val="18"/>
              </w:rPr>
              <w:t>Usability</w:t>
            </w:r>
          </w:p>
        </w:tc>
        <w:tc>
          <w:tcPr>
            <w:tcW w:type="dxa" w:w="2438"/>
          </w:tcPr>
          <w:p>
            <w:r/>
            <w:r>
              <w:rPr>
                <w:rFonts w:ascii="Calibri" w:hAnsi="Calibri"/>
                <w:b w:val="0"/>
                <w:sz w:val="18"/>
              </w:rPr>
              <w:t>Provide validation, errors and guidance on all data-entry forms; no sensitive error disclosure</w:t>
            </w:r>
          </w:p>
        </w:tc>
        <w:tc>
          <w:tcPr>
            <w:tcW w:type="dxa" w:w="1134"/>
            <w:shd w:val="clear" w:color="auto" w:fill="FDF2E0"/>
          </w:tcPr>
          <w:p>
            <w:r/>
            <w:r>
              <w:rPr>
                <w:rFonts w:ascii="Calibri" w:hAnsi="Calibri"/>
                <w:b/>
                <w:color w:val="8A5A00"/>
                <w:sz w:val="18"/>
              </w:rPr>
              <w:t>Partial</w:t>
            </w:r>
          </w:p>
        </w:tc>
        <w:tc>
          <w:tcPr>
            <w:tcW w:type="dxa" w:w="3855"/>
          </w:tcPr>
          <w:p>
            <w:r/>
            <w:r>
              <w:rPr>
                <w:rFonts w:ascii="Calibri" w:hAnsi="Calibri"/>
                <w:b w:val="0"/>
                <w:sz w:val="18"/>
              </w:rPr>
              <w:t>Extensive server-side validation exists on effectively every controller (confirmed across all controllers reviewed for this report), and frontend forms surface inline errors. However APP_DEBUG=true in the current .env means every unhandled error currently returns a full PHP stack trace (file paths, line numbers) in the API response body — this was observed repeatedly during this session's own curl testing. This directly contradicts “no sensitive error disclosure” and must be turned off before any deployment.</w:t>
            </w:r>
          </w:p>
        </w:tc>
      </w:tr>
      <w:tr>
        <w:tc>
          <w:tcPr>
            <w:tcW w:type="dxa" w:w="737"/>
          </w:tcPr>
          <w:p>
            <w:r/>
            <w:r>
              <w:rPr>
                <w:rFonts w:ascii="Calibri" w:hAnsi="Calibri"/>
                <w:b w:val="0"/>
                <w:sz w:val="18"/>
              </w:rPr>
              <w:t>NFR15</w:t>
            </w:r>
          </w:p>
        </w:tc>
        <w:tc>
          <w:tcPr>
            <w:tcW w:type="dxa" w:w="1474"/>
          </w:tcPr>
          <w:p>
            <w:r/>
            <w:r>
              <w:rPr>
                <w:rFonts w:ascii="Calibri" w:hAnsi="Calibri"/>
                <w:b w:val="0"/>
                <w:sz w:val="18"/>
              </w:rPr>
              <w:t>Accessibility</w:t>
            </w:r>
          </w:p>
        </w:tc>
        <w:tc>
          <w:tcPr>
            <w:tcW w:type="dxa" w:w="2438"/>
          </w:tcPr>
          <w:p>
            <w:r/>
            <w:r>
              <w:rPr>
                <w:rFonts w:ascii="Calibri" w:hAnsi="Calibri"/>
                <w:b w:val="0"/>
                <w:sz w:val="18"/>
              </w:rPr>
              <w:t>Support accessibility features including labels and sufficient contrast</w:t>
            </w:r>
          </w:p>
        </w:tc>
        <w:tc>
          <w:tcPr>
            <w:tcW w:type="dxa" w:w="1134"/>
            <w:shd w:val="clear" w:color="auto" w:fill="F8E9EC"/>
          </w:tcPr>
          <w:p>
            <w:r/>
            <w:r>
              <w:rPr>
                <w:rFonts w:ascii="Calibri" w:hAnsi="Calibri"/>
                <w:b/>
                <w:color w:val="A31F34"/>
                <w:sz w:val="18"/>
              </w:rPr>
              <w:t>Not yet tested</w:t>
            </w:r>
          </w:p>
        </w:tc>
        <w:tc>
          <w:tcPr>
            <w:tcW w:type="dxa" w:w="3855"/>
          </w:tcPr>
          <w:p>
            <w:r/>
            <w:r>
              <w:rPr>
                <w:rFonts w:ascii="Calibri" w:hAnsi="Calibri"/>
                <w:b w:val="0"/>
                <w:sz w:val="18"/>
              </w:rPr>
              <w:t>No automated accessibility tooling (axe-core, Lighthouse CI, etc.) is present, and no manual WCAG 2.2 AA audit has been recorded. Not measured either way.</w:t>
            </w:r>
          </w:p>
        </w:tc>
      </w:tr>
    </w:tbl>
    <w:p>
      <w:pPr>
        <w:spacing w:after="80"/>
      </w:pPr>
    </w:p>
    <w:p>
      <w:pPr>
        <w:spacing w:before="200" w:after="80"/>
      </w:pPr>
      <w:r>
        <w:rPr>
          <w:b/>
          <w:color w:val="123B36"/>
          <w:sz w:val="23"/>
        </w:rPr>
        <w:t>Availability &amp; Reliability (NFR16–NFR18)</w:t>
      </w:r>
    </w:p>
    <w:tbl>
      <w:tblPr>
        <w:tblStyle w:val="TableGrid"/>
        <w:tblW w:type="auto" w:w="0"/>
        <w:jc w:val="center"/>
        <w:tblLayout w:type="fixed"/>
        <w:tblLook w:firstColumn="1" w:firstRow="1" w:lastColumn="0" w:lastRow="0" w:noHBand="0" w:noVBand="1" w:val="04A0"/>
      </w:tblPr>
      <w:tblGrid>
        <w:gridCol w:w="737"/>
        <w:gridCol w:w="1474"/>
        <w:gridCol w:w="2438"/>
        <w:gridCol w:w="1134"/>
        <w:gridCol w:w="3855"/>
      </w:tblGrid>
      <w:tr>
        <w:tc>
          <w:tcPr>
            <w:tcW w:type="dxa" w:w="737"/>
            <w:shd w:val="clear" w:color="auto" w:fill="123B36"/>
          </w:tcPr>
          <w:p>
            <w:r/>
            <w:r>
              <w:rPr>
                <w:rFonts w:ascii="Calibri" w:hAnsi="Calibri"/>
                <w:b/>
                <w:color w:val="FFFFFF"/>
                <w:sz w:val="19"/>
              </w:rPr>
              <w:t>NFR#</w:t>
            </w:r>
          </w:p>
        </w:tc>
        <w:tc>
          <w:tcPr>
            <w:tcW w:type="dxa" w:w="1474"/>
            <w:shd w:val="clear" w:color="auto" w:fill="123B36"/>
          </w:tcPr>
          <w:p>
            <w:r/>
            <w:r>
              <w:rPr>
                <w:rFonts w:ascii="Calibri" w:hAnsi="Calibri"/>
                <w:b/>
                <w:color w:val="FFFFFF"/>
                <w:sz w:val="19"/>
              </w:rPr>
              <w:t>Quality attribute</w:t>
            </w:r>
          </w:p>
        </w:tc>
        <w:tc>
          <w:tcPr>
            <w:tcW w:type="dxa" w:w="2438"/>
            <w:shd w:val="clear" w:color="auto" w:fill="123B36"/>
          </w:tcPr>
          <w:p>
            <w:r/>
            <w:r>
              <w:rPr>
                <w:rFonts w:ascii="Calibri" w:hAnsi="Calibri"/>
                <w:b/>
                <w:color w:val="FFFFFF"/>
                <w:sz w:val="19"/>
              </w:rPr>
              <w:t>Requirement</w:t>
            </w:r>
          </w:p>
        </w:tc>
        <w:tc>
          <w:tcPr>
            <w:tcW w:type="dxa" w:w="1134"/>
            <w:shd w:val="clear" w:color="auto" w:fill="123B36"/>
          </w:tcPr>
          <w:p>
            <w:r/>
            <w:r>
              <w:rPr>
                <w:rFonts w:ascii="Calibri" w:hAnsi="Calibri"/>
                <w:b/>
                <w:color w:val="FFFFFF"/>
                <w:sz w:val="19"/>
              </w:rPr>
              <w:t>Status</w:t>
            </w:r>
          </w:p>
        </w:tc>
        <w:tc>
          <w:tcPr>
            <w:tcW w:type="dxa" w:w="3855"/>
            <w:shd w:val="clear" w:color="auto" w:fill="123B36"/>
          </w:tcPr>
          <w:p>
            <w:r/>
            <w:r>
              <w:rPr>
                <w:rFonts w:ascii="Calibri" w:hAnsi="Calibri"/>
                <w:b/>
                <w:color w:val="FFFFFF"/>
                <w:sz w:val="19"/>
              </w:rPr>
              <w:t>Evidence</w:t>
            </w:r>
          </w:p>
        </w:tc>
      </w:tr>
      <w:tr>
        <w:tc>
          <w:tcPr>
            <w:tcW w:type="dxa" w:w="737"/>
          </w:tcPr>
          <w:p>
            <w:r/>
            <w:r>
              <w:rPr>
                <w:rFonts w:ascii="Calibri" w:hAnsi="Calibri"/>
                <w:b w:val="0"/>
                <w:sz w:val="18"/>
              </w:rPr>
              <w:t>NFR16</w:t>
            </w:r>
          </w:p>
        </w:tc>
        <w:tc>
          <w:tcPr>
            <w:tcW w:type="dxa" w:w="1474"/>
          </w:tcPr>
          <w:p>
            <w:r/>
            <w:r>
              <w:rPr>
                <w:rFonts w:ascii="Calibri" w:hAnsi="Calibri"/>
                <w:b w:val="0"/>
                <w:sz w:val="18"/>
              </w:rPr>
              <w:t>Availability</w:t>
            </w:r>
          </w:p>
        </w:tc>
        <w:tc>
          <w:tcPr>
            <w:tcW w:type="dxa" w:w="2438"/>
          </w:tcPr>
          <w:p>
            <w:r/>
            <w:r>
              <w:rPr>
                <w:rFonts w:ascii="Calibri" w:hAnsi="Calibri"/>
                <w:b w:val="0"/>
                <w:sz w:val="18"/>
              </w:rPr>
              <w:t>Achieve 99.5% uptime during agreed operational hours</w:t>
            </w:r>
          </w:p>
        </w:tc>
        <w:tc>
          <w:tcPr>
            <w:tcW w:type="dxa" w:w="1134"/>
            <w:shd w:val="clear" w:color="auto" w:fill="FFFFFF"/>
          </w:tcPr>
          <w:p>
            <w:r/>
            <w:r>
              <w:rPr>
                <w:rFonts w:ascii="Calibri" w:hAnsi="Calibri"/>
                <w:b/>
                <w:color w:val="0B2422"/>
                <w:sz w:val="18"/>
              </w:rPr>
              <w:t>Not applicable / Not tested</w:t>
            </w:r>
          </w:p>
        </w:tc>
        <w:tc>
          <w:tcPr>
            <w:tcW w:type="dxa" w:w="3855"/>
          </w:tcPr>
          <w:p>
            <w:r/>
            <w:r>
              <w:rPr>
                <w:rFonts w:ascii="Calibri" w:hAnsi="Calibri"/>
                <w:b w:val="0"/>
                <w:sz w:val="18"/>
              </w:rPr>
              <w:t>There is no deployed environment with uptime monitoring — this is a local development instance only. Cannot be measured until a staging/production deployment exists.</w:t>
            </w:r>
          </w:p>
        </w:tc>
      </w:tr>
      <w:tr>
        <w:tc>
          <w:tcPr>
            <w:tcW w:type="dxa" w:w="737"/>
          </w:tcPr>
          <w:p>
            <w:r/>
            <w:r>
              <w:rPr>
                <w:rFonts w:ascii="Calibri" w:hAnsi="Calibri"/>
                <w:b w:val="0"/>
                <w:sz w:val="18"/>
              </w:rPr>
              <w:t>NFR17</w:t>
            </w:r>
          </w:p>
        </w:tc>
        <w:tc>
          <w:tcPr>
            <w:tcW w:type="dxa" w:w="1474"/>
          </w:tcPr>
          <w:p>
            <w:r/>
            <w:r>
              <w:rPr>
                <w:rFonts w:ascii="Calibri" w:hAnsi="Calibri"/>
                <w:b w:val="0"/>
                <w:sz w:val="18"/>
              </w:rPr>
              <w:t>Reliability</w:t>
            </w:r>
          </w:p>
        </w:tc>
        <w:tc>
          <w:tcPr>
            <w:tcW w:type="dxa" w:w="2438"/>
          </w:tcPr>
          <w:p>
            <w:r/>
            <w:r>
              <w:rPr>
                <w:rFonts w:ascii="Calibri" w:hAnsi="Calibri"/>
                <w:b w:val="0"/>
                <w:sz w:val="18"/>
              </w:rPr>
              <w:t>Back up the database every 24 hours and retain copies for 30 days</w:t>
            </w:r>
          </w:p>
        </w:tc>
        <w:tc>
          <w:tcPr>
            <w:tcW w:type="dxa" w:w="1134"/>
            <w:shd w:val="clear" w:color="auto" w:fill="FDF2E0"/>
          </w:tcPr>
          <w:p>
            <w:r/>
            <w:r>
              <w:rPr>
                <w:rFonts w:ascii="Calibri" w:hAnsi="Calibri"/>
                <w:b/>
                <w:color w:val="8A5A00"/>
                <w:sz w:val="18"/>
              </w:rPr>
              <w:t>Partial</w:t>
            </w:r>
          </w:p>
        </w:tc>
        <w:tc>
          <w:tcPr>
            <w:tcW w:type="dxa" w:w="3855"/>
          </w:tcPr>
          <w:p>
            <w:r/>
            <w:r>
              <w:rPr>
                <w:rFonts w:ascii="Calibri" w:hAnsi="Calibri"/>
                <w:b w:val="0"/>
                <w:sz w:val="18"/>
              </w:rPr>
              <w:t>The 24-hour scheduled encrypted backup (FR57) is real and was run successfully this session (`Schedule::command('backup:run')-&gt;dailyAt('02:00')`). The 30-day retention half is not implemented — there is no rotation/cleanup logic; backup files simply accumulate indefinitely in storage with nothing removing copies older than 30 days.</w:t>
            </w:r>
          </w:p>
        </w:tc>
      </w:tr>
      <w:tr>
        <w:tc>
          <w:tcPr>
            <w:tcW w:type="dxa" w:w="737"/>
          </w:tcPr>
          <w:p>
            <w:r/>
            <w:r>
              <w:rPr>
                <w:rFonts w:ascii="Calibri" w:hAnsi="Calibri"/>
                <w:b w:val="0"/>
                <w:sz w:val="18"/>
              </w:rPr>
              <w:t>NFR18</w:t>
            </w:r>
          </w:p>
        </w:tc>
        <w:tc>
          <w:tcPr>
            <w:tcW w:type="dxa" w:w="1474"/>
          </w:tcPr>
          <w:p>
            <w:r/>
            <w:r>
              <w:rPr>
                <w:rFonts w:ascii="Calibri" w:hAnsi="Calibri"/>
                <w:b w:val="0"/>
                <w:sz w:val="18"/>
              </w:rPr>
              <w:t>Recovery</w:t>
            </w:r>
          </w:p>
        </w:tc>
        <w:tc>
          <w:tcPr>
            <w:tcW w:type="dxa" w:w="2438"/>
          </w:tcPr>
          <w:p>
            <w:r/>
            <w:r>
              <w:rPr>
                <w:rFonts w:ascii="Calibri" w:hAnsi="Calibri"/>
                <w:b w:val="0"/>
                <w:sz w:val="18"/>
              </w:rPr>
              <w:t>Recover from critical failure within 30 minutes of detection</w:t>
            </w:r>
          </w:p>
        </w:tc>
        <w:tc>
          <w:tcPr>
            <w:tcW w:type="dxa" w:w="1134"/>
            <w:shd w:val="clear" w:color="auto" w:fill="FDF2E0"/>
          </w:tcPr>
          <w:p>
            <w:r/>
            <w:r>
              <w:rPr>
                <w:rFonts w:ascii="Calibri" w:hAnsi="Calibri"/>
                <w:b/>
                <w:color w:val="8A5A00"/>
                <w:sz w:val="18"/>
              </w:rPr>
              <w:t>Partial</w:t>
            </w:r>
          </w:p>
        </w:tc>
        <w:tc>
          <w:tcPr>
            <w:tcW w:type="dxa" w:w="3855"/>
          </w:tcPr>
          <w:p>
            <w:r/>
            <w:r>
              <w:rPr>
                <w:rFonts w:ascii="Calibri" w:hAnsi="Calibri"/>
                <w:b w:val="0"/>
                <w:sz w:val="18"/>
              </w:rPr>
              <w:t>FR58's restore drill validates that a backup can be decrypted and is structurally a well-formed SQL dump — a genuine, real check. It deliberately does not perform a live restore (that would mean overwriting the only database this app has). No timed, full restore-and-reconcile exercise against a scratch/staging database has been run, so the 30-minute target itself has never been measured.</w:t>
            </w:r>
          </w:p>
        </w:tc>
      </w:tr>
    </w:tbl>
    <w:p>
      <w:pPr>
        <w:spacing w:after="80"/>
      </w:pPr>
    </w:p>
    <w:p>
      <w:pPr>
        <w:spacing w:before="200" w:after="80"/>
      </w:pPr>
      <w:r>
        <w:rPr>
          <w:b/>
          <w:color w:val="123B36"/>
          <w:sz w:val="23"/>
        </w:rPr>
        <w:t>Maintainability (NFR19–NFR20)</w:t>
      </w:r>
    </w:p>
    <w:tbl>
      <w:tblPr>
        <w:tblStyle w:val="TableGrid"/>
        <w:tblW w:type="auto" w:w="0"/>
        <w:jc w:val="center"/>
        <w:tblLayout w:type="fixed"/>
        <w:tblLook w:firstColumn="1" w:firstRow="1" w:lastColumn="0" w:lastRow="0" w:noHBand="0" w:noVBand="1" w:val="04A0"/>
      </w:tblPr>
      <w:tblGrid>
        <w:gridCol w:w="737"/>
        <w:gridCol w:w="1474"/>
        <w:gridCol w:w="2438"/>
        <w:gridCol w:w="1134"/>
        <w:gridCol w:w="3855"/>
      </w:tblGrid>
      <w:tr>
        <w:tc>
          <w:tcPr>
            <w:tcW w:type="dxa" w:w="737"/>
            <w:shd w:val="clear" w:color="auto" w:fill="123B36"/>
          </w:tcPr>
          <w:p>
            <w:r/>
            <w:r>
              <w:rPr>
                <w:rFonts w:ascii="Calibri" w:hAnsi="Calibri"/>
                <w:b/>
                <w:color w:val="FFFFFF"/>
                <w:sz w:val="19"/>
              </w:rPr>
              <w:t>NFR#</w:t>
            </w:r>
          </w:p>
        </w:tc>
        <w:tc>
          <w:tcPr>
            <w:tcW w:type="dxa" w:w="1474"/>
            <w:shd w:val="clear" w:color="auto" w:fill="123B36"/>
          </w:tcPr>
          <w:p>
            <w:r/>
            <w:r>
              <w:rPr>
                <w:rFonts w:ascii="Calibri" w:hAnsi="Calibri"/>
                <w:b/>
                <w:color w:val="FFFFFF"/>
                <w:sz w:val="19"/>
              </w:rPr>
              <w:t>Quality attribute</w:t>
            </w:r>
          </w:p>
        </w:tc>
        <w:tc>
          <w:tcPr>
            <w:tcW w:type="dxa" w:w="2438"/>
            <w:shd w:val="clear" w:color="auto" w:fill="123B36"/>
          </w:tcPr>
          <w:p>
            <w:r/>
            <w:r>
              <w:rPr>
                <w:rFonts w:ascii="Calibri" w:hAnsi="Calibri"/>
                <w:b/>
                <w:color w:val="FFFFFF"/>
                <w:sz w:val="19"/>
              </w:rPr>
              <w:t>Requirement</w:t>
            </w:r>
          </w:p>
        </w:tc>
        <w:tc>
          <w:tcPr>
            <w:tcW w:type="dxa" w:w="1134"/>
            <w:shd w:val="clear" w:color="auto" w:fill="123B36"/>
          </w:tcPr>
          <w:p>
            <w:r/>
            <w:r>
              <w:rPr>
                <w:rFonts w:ascii="Calibri" w:hAnsi="Calibri"/>
                <w:b/>
                <w:color w:val="FFFFFF"/>
                <w:sz w:val="19"/>
              </w:rPr>
              <w:t>Status</w:t>
            </w:r>
          </w:p>
        </w:tc>
        <w:tc>
          <w:tcPr>
            <w:tcW w:type="dxa" w:w="3855"/>
            <w:shd w:val="clear" w:color="auto" w:fill="123B36"/>
          </w:tcPr>
          <w:p>
            <w:r/>
            <w:r>
              <w:rPr>
                <w:rFonts w:ascii="Calibri" w:hAnsi="Calibri"/>
                <w:b/>
                <w:color w:val="FFFFFF"/>
                <w:sz w:val="19"/>
              </w:rPr>
              <w:t>Evidence</w:t>
            </w:r>
          </w:p>
        </w:tc>
      </w:tr>
      <w:tr>
        <w:tc>
          <w:tcPr>
            <w:tcW w:type="dxa" w:w="737"/>
          </w:tcPr>
          <w:p>
            <w:r/>
            <w:r>
              <w:rPr>
                <w:rFonts w:ascii="Calibri" w:hAnsi="Calibri"/>
                <w:b w:val="0"/>
                <w:sz w:val="18"/>
              </w:rPr>
              <w:t>NFR19</w:t>
            </w:r>
          </w:p>
        </w:tc>
        <w:tc>
          <w:tcPr>
            <w:tcW w:type="dxa" w:w="1474"/>
          </w:tcPr>
          <w:p>
            <w:r/>
            <w:r>
              <w:rPr>
                <w:rFonts w:ascii="Calibri" w:hAnsi="Calibri"/>
                <w:b w:val="0"/>
                <w:sz w:val="18"/>
              </w:rPr>
              <w:t>Maintainability</w:t>
            </w:r>
          </w:p>
        </w:tc>
        <w:tc>
          <w:tcPr>
            <w:tcW w:type="dxa" w:w="2438"/>
          </w:tcPr>
          <w:p>
            <w:r/>
            <w:r>
              <w:rPr>
                <w:rFonts w:ascii="Calibri" w:hAnsi="Calibri"/>
                <w:b w:val="0"/>
                <w:sz w:val="18"/>
              </w:rPr>
              <w:t>Use modular MVC architecture</w:t>
            </w:r>
          </w:p>
        </w:tc>
        <w:tc>
          <w:tcPr>
            <w:tcW w:type="dxa" w:w="1134"/>
            <w:shd w:val="clear" w:color="auto" w:fill="E7F3EB"/>
          </w:tcPr>
          <w:p>
            <w:r/>
            <w:r>
              <w:rPr>
                <w:rFonts w:ascii="Calibri" w:hAnsi="Calibri"/>
                <w:b/>
                <w:color w:val="1F7A4C"/>
                <w:sz w:val="18"/>
              </w:rPr>
              <w:t>Done</w:t>
            </w:r>
          </w:p>
        </w:tc>
        <w:tc>
          <w:tcPr>
            <w:tcW w:type="dxa" w:w="3855"/>
          </w:tcPr>
          <w:p>
            <w:r/>
            <w:r>
              <w:rPr>
                <w:rFonts w:ascii="Calibri" w:hAnsi="Calibri"/>
                <w:b w:val="0"/>
                <w:sz w:val="18"/>
              </w:rPr>
              <w:t>Backend: clean Laravel MVC (Models / Controllers / routes, Form Requests for complex validation, Services for cross-cutting logic like DuplicatePatientDetector, BackupService, SecurityAlertDetector). Frontend: component-based React with a dedicated services/ layer (one file per backend module) separating API calls from presentation.</w:t>
            </w:r>
          </w:p>
        </w:tc>
      </w:tr>
      <w:tr>
        <w:tc>
          <w:tcPr>
            <w:tcW w:type="dxa" w:w="737"/>
          </w:tcPr>
          <w:p>
            <w:r/>
            <w:r>
              <w:rPr>
                <w:rFonts w:ascii="Calibri" w:hAnsi="Calibri"/>
                <w:b w:val="0"/>
                <w:sz w:val="18"/>
              </w:rPr>
              <w:t>NFR20</w:t>
            </w:r>
          </w:p>
        </w:tc>
        <w:tc>
          <w:tcPr>
            <w:tcW w:type="dxa" w:w="1474"/>
          </w:tcPr>
          <w:p>
            <w:r/>
            <w:r>
              <w:rPr>
                <w:rFonts w:ascii="Calibri" w:hAnsi="Calibri"/>
                <w:b w:val="0"/>
                <w:sz w:val="18"/>
              </w:rPr>
              <w:t>Maintainability</w:t>
            </w:r>
          </w:p>
        </w:tc>
        <w:tc>
          <w:tcPr>
            <w:tcW w:type="dxa" w:w="2438"/>
          </w:tcPr>
          <w:p>
            <w:r/>
            <w:r>
              <w:rPr>
                <w:rFonts w:ascii="Calibri" w:hAnsi="Calibri"/>
                <w:b w:val="0"/>
                <w:sz w:val="18"/>
              </w:rPr>
              <w:t>Maintain installation, schema, administrator and change documentation</w:t>
            </w:r>
          </w:p>
        </w:tc>
        <w:tc>
          <w:tcPr>
            <w:tcW w:type="dxa" w:w="1134"/>
            <w:shd w:val="clear" w:color="auto" w:fill="F8E9EC"/>
          </w:tcPr>
          <w:p>
            <w:r/>
            <w:r>
              <w:rPr>
                <w:rFonts w:ascii="Calibri" w:hAnsi="Calibri"/>
                <w:b/>
                <w:color w:val="A31F34"/>
                <w:sz w:val="18"/>
              </w:rPr>
              <w:t>Not implemented</w:t>
            </w:r>
          </w:p>
        </w:tc>
        <w:tc>
          <w:tcPr>
            <w:tcW w:type="dxa" w:w="3855"/>
          </w:tcPr>
          <w:p>
            <w:r/>
            <w:r>
              <w:rPr>
                <w:rFonts w:ascii="Calibri" w:hAnsi="Calibri"/>
                <w:b w:val="0"/>
                <w:sz w:val="18"/>
              </w:rPr>
              <w:t>Root README.md is stale — it still describes the original frontend-only mock prototype and does not mention the Laravel backend or MySQL at all. backend/README.md is the unmodified default Laravel scaffold. FR_PROGRESS.md is a genuinely useful developer changelog but is not installation/schema/admin-user documentation. No such documentation currently exists.</w:t>
            </w:r>
          </w:p>
        </w:tc>
      </w:tr>
    </w:tbl>
    <w:p>
      <w:pPr>
        <w:spacing w:after="80"/>
      </w:pPr>
    </w:p>
    <w:p>
      <w:r>
        <w:br w:type="page"/>
      </w:r>
    </w:p>
    <w:p>
      <w:pPr>
        <w:pStyle w:val="Heading1"/>
        <w:spacing w:before="240" w:after="120"/>
      </w:pPr>
      <w:r>
        <w:t>7. Known Bugs Found and Fixed</w:t>
      </w:r>
    </w:p>
    <w:p>
      <w:pPr>
        <w:spacing w:after="200"/>
      </w:pPr>
      <w:r>
        <w:rPr>
          <w:b w:val="0"/>
          <w:i w:val="0"/>
          <w:sz w:val="21"/>
        </w:rPr>
        <w:t>This list covers real defects discovered during development across the project, not just this session — each was caught by actually running the code (manual testing or careful review), not assumed. It is included because a lecturer checking this report against the code should see that verification was genuine rather than declarative.</w:t>
      </w:r>
    </w:p>
    <w:tbl>
      <w:tblPr>
        <w:tblStyle w:val="TableGrid"/>
        <w:tblW w:type="auto" w:w="0"/>
        <w:jc w:val="center"/>
        <w:tblLayout w:type="fixed"/>
        <w:tblLook w:firstColumn="1" w:firstRow="1" w:lastColumn="0" w:lastRow="0" w:noHBand="0" w:noVBand="1" w:val="04A0"/>
      </w:tblPr>
      <w:tblGrid>
        <w:gridCol w:w="454"/>
        <w:gridCol w:w="2835"/>
        <w:gridCol w:w="3005"/>
        <w:gridCol w:w="3345"/>
      </w:tblGrid>
      <w:tr>
        <w:tc>
          <w:tcPr>
            <w:tcW w:type="dxa" w:w="454"/>
            <w:shd w:val="clear" w:color="auto" w:fill="123B36"/>
          </w:tcPr>
          <w:p>
            <w:r/>
            <w:r>
              <w:rPr>
                <w:rFonts w:ascii="Calibri" w:hAnsi="Calibri"/>
                <w:b/>
                <w:color w:val="FFFFFF"/>
                <w:sz w:val="19"/>
              </w:rPr>
              <w:t>#</w:t>
            </w:r>
          </w:p>
        </w:tc>
        <w:tc>
          <w:tcPr>
            <w:tcW w:type="dxa" w:w="2835"/>
            <w:shd w:val="clear" w:color="auto" w:fill="123B36"/>
          </w:tcPr>
          <w:p>
            <w:r/>
            <w:r>
              <w:rPr>
                <w:rFonts w:ascii="Calibri" w:hAnsi="Calibri"/>
                <w:b/>
                <w:color w:val="FFFFFF"/>
                <w:sz w:val="19"/>
              </w:rPr>
              <w:t>Bug</w:t>
            </w:r>
          </w:p>
        </w:tc>
        <w:tc>
          <w:tcPr>
            <w:tcW w:type="dxa" w:w="3005"/>
            <w:shd w:val="clear" w:color="auto" w:fill="123B36"/>
          </w:tcPr>
          <w:p>
            <w:r/>
            <w:r>
              <w:rPr>
                <w:rFonts w:ascii="Calibri" w:hAnsi="Calibri"/>
                <w:b/>
                <w:color w:val="FFFFFF"/>
                <w:sz w:val="19"/>
              </w:rPr>
              <w:t>Root cause</w:t>
            </w:r>
          </w:p>
        </w:tc>
        <w:tc>
          <w:tcPr>
            <w:tcW w:type="dxa" w:w="3345"/>
            <w:shd w:val="clear" w:color="auto" w:fill="123B36"/>
          </w:tcPr>
          <w:p>
            <w:r/>
            <w:r>
              <w:rPr>
                <w:rFonts w:ascii="Calibri" w:hAnsi="Calibri"/>
                <w:b/>
                <w:color w:val="FFFFFF"/>
                <w:sz w:val="19"/>
              </w:rPr>
              <w:t>Fix</w:t>
            </w:r>
          </w:p>
        </w:tc>
      </w:tr>
      <w:tr>
        <w:tc>
          <w:tcPr>
            <w:tcW w:type="dxa" w:w="454"/>
          </w:tcPr>
          <w:p>
            <w:r/>
            <w:r>
              <w:rPr>
                <w:rFonts w:ascii="Calibri" w:hAnsi="Calibri"/>
                <w:b w:val="0"/>
                <w:sz w:val="18"/>
              </w:rPr>
              <w:t>1</w:t>
            </w:r>
          </w:p>
        </w:tc>
        <w:tc>
          <w:tcPr>
            <w:tcW w:type="dxa" w:w="2835"/>
          </w:tcPr>
          <w:p>
            <w:r/>
            <w:r>
              <w:rPr>
                <w:rFonts w:ascii="Calibri" w:hAnsi="Calibri"/>
                <w:b w:val="0"/>
                <w:sz w:val="18"/>
              </w:rPr>
              <w:t>AuditMiddleware crashed (HTTP 500) on any unauthenticated audited request</w:t>
            </w:r>
          </w:p>
        </w:tc>
        <w:tc>
          <w:tcPr>
            <w:tcW w:type="dxa" w:w="3005"/>
          </w:tcPr>
          <w:p>
            <w:r/>
            <w:r>
              <w:rPr>
                <w:rFonts w:ascii="Calibri" w:hAnsi="Calibri"/>
                <w:b w:val="0"/>
                <w:sz w:val="18"/>
              </w:rPr>
              <w:t>optional($request-&gt;user())?-&gt;roles()-&gt;pluck(...) — optional(null) returns a non-null proxy object, so the ?-&gt; never short-circuits; Optional::__call('roles') then returns null, and .pluck() is called on that null. This had never fired before because every audit-tagged route was previously behind auth:sanctum — the new FR64 public /payments/callback webhook was the first route to combine 'audit' middleware with no authentication.</w:t>
            </w:r>
          </w:p>
        </w:tc>
        <w:tc>
          <w:tcPr>
            <w:tcW w:type="dxa" w:w="3345"/>
          </w:tcPr>
          <w:p>
            <w:r/>
            <w:r>
              <w:rPr>
                <w:rFonts w:ascii="Calibri" w:hAnsi="Calibri"/>
                <w:b w:val="0"/>
                <w:sz w:val="18"/>
              </w:rPr>
              <w:t>Changed to $request-&gt;user()?-&gt;roles()-&gt;pluck(...) — nullsafe operator applied directly to the raw value instead of an Optional wrapper. Identical behaviour for every existing authenticated route; only the previously-crashing null-user path now works.</w:t>
            </w:r>
          </w:p>
        </w:tc>
      </w:tr>
      <w:tr>
        <w:tc>
          <w:tcPr>
            <w:tcW w:type="dxa" w:w="454"/>
          </w:tcPr>
          <w:p>
            <w:r/>
            <w:r>
              <w:rPr>
                <w:rFonts w:ascii="Calibri" w:hAnsi="Calibri"/>
                <w:b w:val="0"/>
                <w:sz w:val="18"/>
              </w:rPr>
              <w:t>2</w:t>
            </w:r>
          </w:p>
        </w:tc>
        <w:tc>
          <w:tcPr>
            <w:tcW w:type="dxa" w:w="2835"/>
          </w:tcPr>
          <w:p>
            <w:r/>
            <w:r>
              <w:rPr>
                <w:rFonts w:ascii="Calibri" w:hAnsi="Calibri"/>
                <w:b w:val="0"/>
                <w:sz w:val="18"/>
              </w:rPr>
              <w:t>DuplicatePatientFlagSeeder produced zero duplicate flags (silently did nothing)</w:t>
            </w:r>
          </w:p>
        </w:tc>
        <w:tc>
          <w:tcPr>
            <w:tcW w:type="dxa" w:w="3005"/>
          </w:tcPr>
          <w:p>
            <w:r/>
            <w:r>
              <w:rPr>
                <w:rFonts w:ascii="Calibri" w:hAnsi="Calibri"/>
                <w:b w:val="0"/>
                <w:sz w:val="18"/>
              </w:rPr>
              <w:t>Used Patient::firstOrCreate() with search criteria (contact_number, date_of_birth, last_name) copied directly from the original patient's own row — firstOrCreate just found and returned the original patient itself instead of creating a clone, so no second, distinct patient ever existed for the detector to compare against.</w:t>
            </w:r>
          </w:p>
        </w:tc>
        <w:tc>
          <w:tcPr>
            <w:tcW w:type="dxa" w:w="3345"/>
          </w:tcPr>
          <w:p>
            <w:r/>
            <w:r>
              <w:rPr>
                <w:rFonts w:ascii="Calibri" w:hAnsi="Calibri"/>
                <w:b w:val="0"/>
                <w:sz w:val="18"/>
              </w:rPr>
              <w:t>Fixed to explicitly query for an existing clone excluding the original's own id first, falling back to Patient::create() only if none exists. Re-ran: patient count correctly increased and a duplicate flag was correctly created.</w:t>
            </w:r>
          </w:p>
        </w:tc>
      </w:tr>
      <w:tr>
        <w:tc>
          <w:tcPr>
            <w:tcW w:type="dxa" w:w="454"/>
          </w:tcPr>
          <w:p>
            <w:r/>
            <w:r>
              <w:rPr>
                <w:rFonts w:ascii="Calibri" w:hAnsi="Calibri"/>
                <w:b w:val="0"/>
                <w:sz w:val="18"/>
              </w:rPr>
              <w:t>3</w:t>
            </w:r>
          </w:p>
        </w:tc>
        <w:tc>
          <w:tcPr>
            <w:tcW w:type="dxa" w:w="2835"/>
          </w:tcPr>
          <w:p>
            <w:r/>
            <w:r>
              <w:rPr>
                <w:rFonts w:ascii="Calibri" w:hAnsi="Calibri"/>
                <w:b w:val="0"/>
                <w:sz w:val="18"/>
              </w:rPr>
              <w:t>Duplicate department/service names returned a raw HTTP 500 SQL error instead of a clean validation message</w:t>
            </w:r>
          </w:p>
        </w:tc>
        <w:tc>
          <w:tcPr>
            <w:tcW w:type="dxa" w:w="3005"/>
          </w:tcPr>
          <w:p>
            <w:r/>
            <w:r>
              <w:rPr>
                <w:rFonts w:ascii="Calibri" w:hAnsi="Calibri"/>
                <w:b w:val="0"/>
                <w:sz w:val="18"/>
              </w:rPr>
              <w:t>DepartmentController/ServiceController/BedController relied only on the database's unique constraint to catch a duplicate name; the constraint violation propagated up as an unhandled QueryException.</w:t>
            </w:r>
          </w:p>
        </w:tc>
        <w:tc>
          <w:tcPr>
            <w:tcW w:type="dxa" w:w="3345"/>
          </w:tcPr>
          <w:p>
            <w:r/>
            <w:r>
              <w:rPr>
                <w:rFonts w:ascii="Calibri" w:hAnsi="Calibri"/>
                <w:b w:val="0"/>
                <w:sz w:val="18"/>
              </w:rPr>
              <w:t>Added Rule::unique(...)-&gt;where('branch_id', ...) (and -&gt;ignore(...) on update) to all three controllers' validation rules, so a duplicate now returns a normal 422 with a field-level error message.</w:t>
            </w:r>
          </w:p>
        </w:tc>
      </w:tr>
      <w:tr>
        <w:tc>
          <w:tcPr>
            <w:tcW w:type="dxa" w:w="454"/>
          </w:tcPr>
          <w:p>
            <w:r/>
            <w:r>
              <w:rPr>
                <w:rFonts w:ascii="Calibri" w:hAnsi="Calibri"/>
                <w:b w:val="0"/>
                <w:sz w:val="18"/>
              </w:rPr>
              <w:t>4</w:t>
            </w:r>
          </w:p>
        </w:tc>
        <w:tc>
          <w:tcPr>
            <w:tcW w:type="dxa" w:w="2835"/>
          </w:tcPr>
          <w:p>
            <w:r/>
            <w:r>
              <w:rPr>
                <w:rFonts w:ascii="Calibri" w:hAnsi="Calibri"/>
                <w:b w:val="0"/>
                <w:sz w:val="18"/>
              </w:rPr>
              <w:t>$request-&gt;date($key, $format, $timezone) misused with a format string as the third argument</w:t>
            </w:r>
          </w:p>
        </w:tc>
        <w:tc>
          <w:tcPr>
            <w:tcW w:type="dxa" w:w="3005"/>
          </w:tcPr>
          <w:p>
            <w:r/>
            <w:r>
              <w:rPr>
                <w:rFonts w:ascii="Calibri" w:hAnsi="Calibri"/>
                <w:b w:val="0"/>
                <w:sz w:val="18"/>
              </w:rPr>
              <w:t>The third parameter of Laravel's Request::date() is a timezone, not a date format — an earlier version of the code passed a format string there, silently producing an incorrect/null date rather than the intended parse.</w:t>
            </w:r>
          </w:p>
        </w:tc>
        <w:tc>
          <w:tcPr>
            <w:tcW w:type="dxa" w:w="3345"/>
          </w:tcPr>
          <w:p>
            <w:r/>
            <w:r>
              <w:rPr>
                <w:rFonts w:ascii="Calibri" w:hAnsi="Calibri"/>
                <w:b w:val="0"/>
                <w:sz w:val="18"/>
              </w:rPr>
              <w:t>Corrected to the two-argument form; date filters (e.g. audit-log date-range, report date-range) now parse correctly.</w:t>
            </w:r>
          </w:p>
        </w:tc>
      </w:tr>
      <w:tr>
        <w:tc>
          <w:tcPr>
            <w:tcW w:type="dxa" w:w="454"/>
          </w:tcPr>
          <w:p>
            <w:r/>
            <w:r>
              <w:rPr>
                <w:rFonts w:ascii="Calibri" w:hAnsi="Calibri"/>
                <w:b w:val="0"/>
                <w:sz w:val="18"/>
              </w:rPr>
              <w:t>5</w:t>
            </w:r>
          </w:p>
        </w:tc>
        <w:tc>
          <w:tcPr>
            <w:tcW w:type="dxa" w:w="2835"/>
          </w:tcPr>
          <w:p>
            <w:r/>
            <w:r>
              <w:rPr>
                <w:rFonts w:ascii="Calibri" w:hAnsi="Calibri"/>
                <w:b w:val="0"/>
                <w:sz w:val="18"/>
              </w:rPr>
              <w:t>Branch dropdown on patient registration stuck permanently on “Loading branches…”</w:t>
            </w:r>
          </w:p>
        </w:tc>
        <w:tc>
          <w:tcPr>
            <w:tcW w:type="dxa" w:w="3005"/>
          </w:tcPr>
          <w:p>
            <w:r/>
            <w:r>
              <w:rPr>
                <w:rFonts w:ascii="Calibri" w:hAnsi="Calibri"/>
                <w:b w:val="0"/>
                <w:sz w:val="18"/>
              </w:rPr>
              <w:t>Three separate causes compounded: (a) a cache-first Service Worker was intercepting and stale-serving the cross-origin API call for the branch list; (b) the frontend fetch wrapper had no request timeout, so a silently-dropped connection just hung forever with no error shown; (c) three competing `php artisan serve` processes were simultaneously bound, so requests were non-deterministically served by a stale/broken instance.</w:t>
            </w:r>
          </w:p>
        </w:tc>
        <w:tc>
          <w:tcPr>
            <w:tcW w:type="dxa" w:w="3345"/>
          </w:tcPr>
          <w:p>
            <w:r/>
            <w:r>
              <w:rPr>
                <w:rFonts w:ascii="Calibri" w:hAnsi="Calibri"/>
                <w:b w:val="0"/>
                <w:sz w:val="18"/>
              </w:rPr>
              <w:t>Removed the Service Worker's cache-first handling of API calls; added an AbortController-based timeout to the shared apiFetch() wrapper (so a dead connection now surfaces a clear error instead of hanging); the user closed the stray extra server processes. The branch picker was ultimately removed from the registration form (hardcoded to the main branch) as the simpler, more robust design once this class of failure was understood — branch selection was reintroduced properly for FR6-10 in a later session with the underlying transport issues already fixed.</w:t>
            </w:r>
          </w:p>
        </w:tc>
      </w:tr>
    </w:tbl>
    <w:p>
      <w:pPr>
        <w:spacing w:after="80"/>
      </w:pPr>
    </w:p>
    <w:p>
      <w:r>
        <w:br w:type="page"/>
      </w:r>
    </w:p>
    <w:p>
      <w:pPr>
        <w:pStyle w:val="Heading1"/>
        <w:spacing w:before="240" w:after="120"/>
      </w:pPr>
      <w:r>
        <w:t>8. Testing Summary</w:t>
      </w:r>
    </w:p>
    <w:p>
      <w:pPr>
        <w:spacing w:after="200"/>
      </w:pPr>
      <w:r>
        <w:rPr>
          <w:b w:val="0"/>
          <w:i w:val="0"/>
          <w:sz w:val="21"/>
        </w:rPr>
        <w:t>The SRS's Section 9 test plan specifies eight test levels. The table below states plainly which of those have actually been run against this codebase and which have not — this project has not yet built a formal automated test suite of any kind.</w:t>
      </w:r>
    </w:p>
    <w:tbl>
      <w:tblPr>
        <w:tblStyle w:val="TableGrid"/>
        <w:tblW w:type="auto" w:w="0"/>
        <w:jc w:val="center"/>
        <w:tblLayout w:type="fixed"/>
        <w:tblLook w:firstColumn="1" w:firstRow="1" w:lastColumn="0" w:lastRow="0" w:noHBand="0" w:noVBand="1" w:val="04A0"/>
      </w:tblPr>
      <w:tblGrid>
        <w:gridCol w:w="1701"/>
        <w:gridCol w:w="3118"/>
        <w:gridCol w:w="4819"/>
      </w:tblGrid>
      <w:tr>
        <w:tc>
          <w:tcPr>
            <w:tcW w:type="dxa" w:w="1701"/>
            <w:shd w:val="clear" w:color="auto" w:fill="123B36"/>
          </w:tcPr>
          <w:p>
            <w:r/>
            <w:r>
              <w:rPr>
                <w:rFonts w:ascii="Calibri" w:hAnsi="Calibri"/>
                <w:b/>
                <w:color w:val="FFFFFF"/>
                <w:sz w:val="19"/>
              </w:rPr>
              <w:t>SRS test level</w:t>
            </w:r>
          </w:p>
        </w:tc>
        <w:tc>
          <w:tcPr>
            <w:tcW w:type="dxa" w:w="3118"/>
            <w:shd w:val="clear" w:color="auto" w:fill="123B36"/>
          </w:tcPr>
          <w:p>
            <w:r/>
            <w:r>
              <w:rPr>
                <w:rFonts w:ascii="Calibri" w:hAnsi="Calibri"/>
                <w:b/>
                <w:color w:val="FFFFFF"/>
                <w:sz w:val="19"/>
              </w:rPr>
              <w:t>Called for by SRS § 9</w:t>
            </w:r>
          </w:p>
        </w:tc>
        <w:tc>
          <w:tcPr>
            <w:tcW w:type="dxa" w:w="4819"/>
            <w:shd w:val="clear" w:color="auto" w:fill="123B36"/>
          </w:tcPr>
          <w:p>
            <w:r/>
            <w:r>
              <w:rPr>
                <w:rFonts w:ascii="Calibri" w:hAnsi="Calibri"/>
                <w:b/>
                <w:color w:val="FFFFFF"/>
                <w:sz w:val="19"/>
              </w:rPr>
              <w:t>What has actually been done</w:t>
            </w:r>
          </w:p>
        </w:tc>
      </w:tr>
      <w:tr>
        <w:tc>
          <w:tcPr>
            <w:tcW w:type="dxa" w:w="1701"/>
          </w:tcPr>
          <w:p>
            <w:r/>
            <w:r>
              <w:rPr>
                <w:rFonts w:ascii="Calibri" w:hAnsi="Calibri"/>
                <w:b w:val="0"/>
                <w:sz w:val="18"/>
              </w:rPr>
              <w:t>Unit</w:t>
            </w:r>
          </w:p>
        </w:tc>
        <w:tc>
          <w:tcPr>
            <w:tcW w:type="dxa" w:w="3118"/>
          </w:tcPr>
          <w:p>
            <w:r/>
            <w:r>
              <w:rPr>
                <w:rFonts w:ascii="Calibri" w:hAnsi="Calibri"/>
                <w:b w:val="0"/>
                <w:sz w:val="18"/>
              </w:rPr>
              <w:t>Validators, permission rules, charges, schedules and stock rules return expected results</w:t>
            </w:r>
          </w:p>
        </w:tc>
        <w:tc>
          <w:tcPr>
            <w:tcW w:type="dxa" w:w="4819"/>
          </w:tcPr>
          <w:p>
            <w:r/>
            <w:r>
              <w:rPr>
                <w:rFonts w:ascii="Calibri" w:hAnsi="Calibri"/>
                <w:b w:val="0"/>
                <w:sz w:val="18"/>
              </w:rPr>
              <w:t>NOT DONE as automated tests. backend/tests/ contains only the two default Laravel scaffold files (ExampleTest.php × 2) — no test has been written for any FR1–64 logic. Individual pieces of logic (e.g. the FR19 conflict check, the FR63 allergy matcher) were exercised manually via curl, not by a repeatable unit test.</w:t>
            </w:r>
          </w:p>
        </w:tc>
      </w:tr>
      <w:tr>
        <w:tc>
          <w:tcPr>
            <w:tcW w:type="dxa" w:w="1701"/>
          </w:tcPr>
          <w:p>
            <w:r/>
            <w:r>
              <w:rPr>
                <w:rFonts w:ascii="Calibri" w:hAnsi="Calibri"/>
                <w:b w:val="0"/>
                <w:sz w:val="18"/>
              </w:rPr>
              <w:t>Integration</w:t>
            </w:r>
          </w:p>
        </w:tc>
        <w:tc>
          <w:tcPr>
            <w:tcW w:type="dxa" w:w="3118"/>
          </w:tcPr>
          <w:p>
            <w:r/>
            <w:r>
              <w:rPr>
                <w:rFonts w:ascii="Calibri" w:hAnsi="Calibri"/>
                <w:b w:val="0"/>
                <w:sz w:val="18"/>
              </w:rPr>
              <w:t>Booking writes one appointment / rejects conflicts / queues one notification; lab/dispense/payment transactions reconcile</w:t>
            </w:r>
          </w:p>
        </w:tc>
        <w:tc>
          <w:tcPr>
            <w:tcW w:type="dxa" w:w="4819"/>
          </w:tcPr>
          <w:p>
            <w:r/>
            <w:r>
              <w:rPr>
                <w:rFonts w:ascii="Calibri" w:hAnsi="Calibri"/>
                <w:b w:val="0"/>
                <w:sz w:val="18"/>
              </w:rPr>
              <w:t>NOT DONE as automated tests. Equivalent behaviour was checked manually via curl this session and prior sessions (e.g. FR19 conflict test, FR28 dispense stock-reconciliation test, FR64 payment idempotency test) — genuinely exercised, but as one-off manual API calls, not a repeatable integration suite that runs on every change.</w:t>
            </w:r>
          </w:p>
        </w:tc>
      </w:tr>
      <w:tr>
        <w:tc>
          <w:tcPr>
            <w:tcW w:type="dxa" w:w="1701"/>
          </w:tcPr>
          <w:p>
            <w:r/>
            <w:r>
              <w:rPr>
                <w:rFonts w:ascii="Calibri" w:hAnsi="Calibri"/>
                <w:b w:val="0"/>
                <w:sz w:val="18"/>
              </w:rPr>
              <w:t>Database</w:t>
            </w:r>
          </w:p>
        </w:tc>
        <w:tc>
          <w:tcPr>
            <w:tcW w:type="dxa" w:w="3118"/>
          </w:tcPr>
          <w:p>
            <w:r/>
            <w:r>
              <w:rPr>
                <w:rFonts w:ascii="Calibri" w:hAnsi="Calibri"/>
                <w:b w:val="0"/>
                <w:sz w:val="18"/>
              </w:rPr>
              <w:t>Constraints, transactions, indexes, migrations and rollback behave correctly on synthetic data</w:t>
            </w:r>
          </w:p>
        </w:tc>
        <w:tc>
          <w:tcPr>
            <w:tcW w:type="dxa" w:w="4819"/>
          </w:tcPr>
          <w:p>
            <w:r/>
            <w:r>
              <w:rPr>
                <w:rFonts w:ascii="Calibri" w:hAnsi="Calibri"/>
                <w:b w:val="0"/>
                <w:sz w:val="18"/>
              </w:rPr>
              <w:t>PARTIALLY DONE, manually. All 41 migrations run cleanly from a fresh state (confirmed this session via `php artisan migrate`). Transactional behaviour (row locks, rollback-on-abort) was manually verified for the FR19, FR28, FR52/53 and FR64 flows specifically. No automated database test suite exists.</w:t>
            </w:r>
          </w:p>
        </w:tc>
      </w:tr>
      <w:tr>
        <w:tc>
          <w:tcPr>
            <w:tcW w:type="dxa" w:w="1701"/>
          </w:tcPr>
          <w:p>
            <w:r/>
            <w:r>
              <w:rPr>
                <w:rFonts w:ascii="Calibri" w:hAnsi="Calibri"/>
                <w:b w:val="0"/>
                <w:sz w:val="18"/>
              </w:rPr>
              <w:t>Security</w:t>
            </w:r>
          </w:p>
        </w:tc>
        <w:tc>
          <w:tcPr>
            <w:tcW w:type="dxa" w:w="3118"/>
          </w:tcPr>
          <w:p>
            <w:r/>
            <w:r>
              <w:rPr>
                <w:rFonts w:ascii="Calibri" w:hAnsi="Calibri"/>
                <w:b w:val="0"/>
                <w:sz w:val="18"/>
              </w:rPr>
              <w:t>Unauthorised role matrix denied; injection/XSS/CSRF/session/file tests pass; secrets absent from source; ASVS evidence retained</w:t>
            </w:r>
          </w:p>
        </w:tc>
        <w:tc>
          <w:tcPr>
            <w:tcW w:type="dxa" w:w="4819"/>
          </w:tcPr>
          <w:p>
            <w:r/>
            <w:r>
              <w:rPr>
                <w:rFonts w:ascii="Calibri" w:hAnsi="Calibri"/>
                <w:b w:val="0"/>
                <w:sz w:val="18"/>
              </w:rPr>
              <w:t>PARTIALLY DONE, manually and narrowly. The role-permission matrix has been spot-checked extensively via curl (e.g. Patient/Doctor blocked from every admin-only FR49-64 endpoint this session) but not exhaustively for all 105 routes. No injection/XSS/CSRF scanning has been run (no OWASP ZAP or equivalent tool used). No formal ASVS checklist has been completed.</w:t>
            </w:r>
          </w:p>
        </w:tc>
      </w:tr>
      <w:tr>
        <w:tc>
          <w:tcPr>
            <w:tcW w:type="dxa" w:w="1701"/>
          </w:tcPr>
          <w:p>
            <w:r/>
            <w:r>
              <w:rPr>
                <w:rFonts w:ascii="Calibri" w:hAnsi="Calibri"/>
                <w:b w:val="0"/>
                <w:sz w:val="18"/>
              </w:rPr>
              <w:t>Performance</w:t>
            </w:r>
          </w:p>
        </w:tc>
        <w:tc>
          <w:tcPr>
            <w:tcW w:type="dxa" w:w="3118"/>
          </w:tcPr>
          <w:p>
            <w:r/>
            <w:r>
              <w:rPr>
                <w:rFonts w:ascii="Calibri" w:hAnsi="Calibri"/>
                <w:b w:val="0"/>
                <w:sz w:val="18"/>
              </w:rPr>
              <w:t>NFR1-NFR4 passed at 200 virtual users and agreed seeded volumes</w:t>
            </w:r>
          </w:p>
        </w:tc>
        <w:tc>
          <w:tcPr>
            <w:tcW w:type="dxa" w:w="4819"/>
          </w:tcPr>
          <w:p>
            <w:r/>
            <w:r>
              <w:rPr>
                <w:rFonts w:ascii="Calibri" w:hAnsi="Calibri"/>
                <w:b w:val="0"/>
                <w:sz w:val="18"/>
              </w:rPr>
              <w:t>NOT DONE. See NFR1/NFR2/NFR4 in Section 6 — no load-testing tool has been used at all.</w:t>
            </w:r>
          </w:p>
        </w:tc>
      </w:tr>
      <w:tr>
        <w:tc>
          <w:tcPr>
            <w:tcW w:type="dxa" w:w="1701"/>
          </w:tcPr>
          <w:p>
            <w:r/>
            <w:r>
              <w:rPr>
                <w:rFonts w:ascii="Calibri" w:hAnsi="Calibri"/>
                <w:b w:val="0"/>
                <w:sz w:val="18"/>
              </w:rPr>
              <w:t>Accessibility / usability</w:t>
            </w:r>
          </w:p>
        </w:tc>
        <w:tc>
          <w:tcPr>
            <w:tcW w:type="dxa" w:w="3118"/>
          </w:tcPr>
          <w:p>
            <w:r/>
            <w:r>
              <w:rPr>
                <w:rFonts w:ascii="Calibri" w:hAnsi="Calibri"/>
                <w:b w:val="0"/>
                <w:sz w:val="18"/>
              </w:rPr>
              <w:t>Keyboard, screen-reader labels, contrast, errors and representative task completion meet agreed criteria</w:t>
            </w:r>
          </w:p>
        </w:tc>
        <w:tc>
          <w:tcPr>
            <w:tcW w:type="dxa" w:w="4819"/>
          </w:tcPr>
          <w:p>
            <w:r/>
            <w:r>
              <w:rPr>
                <w:rFonts w:ascii="Calibri" w:hAnsi="Calibri"/>
                <w:b w:val="0"/>
                <w:sz w:val="18"/>
              </w:rPr>
              <w:t>NOT DONE. No automated accessibility scan and no manual WCAG audit has been recorded.</w:t>
            </w:r>
          </w:p>
        </w:tc>
      </w:tr>
      <w:tr>
        <w:tc>
          <w:tcPr>
            <w:tcW w:type="dxa" w:w="1701"/>
          </w:tcPr>
          <w:p>
            <w:r/>
            <w:r>
              <w:rPr>
                <w:rFonts w:ascii="Calibri" w:hAnsi="Calibri"/>
                <w:b w:val="0"/>
                <w:sz w:val="18"/>
              </w:rPr>
              <w:t>Backup / recovery</w:t>
            </w:r>
          </w:p>
        </w:tc>
        <w:tc>
          <w:tcPr>
            <w:tcW w:type="dxa" w:w="3118"/>
          </w:tcPr>
          <w:p>
            <w:r/>
            <w:r>
              <w:rPr>
                <w:rFonts w:ascii="Calibri" w:hAnsi="Calibri"/>
                <w:b w:val="0"/>
                <w:sz w:val="18"/>
              </w:rPr>
              <w:t>Daily encrypted backup restores to staging within 30 minutes and reconciliation checks pass</w:t>
            </w:r>
          </w:p>
        </w:tc>
        <w:tc>
          <w:tcPr>
            <w:tcW w:type="dxa" w:w="4819"/>
          </w:tcPr>
          <w:p>
            <w:r/>
            <w:r>
              <w:rPr>
                <w:rFonts w:ascii="Calibri" w:hAnsi="Calibri"/>
                <w:b w:val="0"/>
                <w:sz w:val="18"/>
              </w:rPr>
              <w:t>PARTIALLY DONE. The backup itself (FR57) was run for real and verified (genuine encrypted ~100KB dump, confirmed as ciphertext). The restore drill (FR58) validates decryptability and structure, deliberately without executing against the live database. A full timed restore to a separate staging database has not been performed, so the 30-minute target is unverified.</w:t>
            </w:r>
          </w:p>
        </w:tc>
      </w:tr>
      <w:tr>
        <w:tc>
          <w:tcPr>
            <w:tcW w:type="dxa" w:w="1701"/>
          </w:tcPr>
          <w:p>
            <w:r/>
            <w:r>
              <w:rPr>
                <w:rFonts w:ascii="Calibri" w:hAnsi="Calibri"/>
                <w:b w:val="0"/>
                <w:sz w:val="18"/>
              </w:rPr>
              <w:t>UAT</w:t>
            </w:r>
          </w:p>
        </w:tc>
        <w:tc>
          <w:tcPr>
            <w:tcW w:type="dxa" w:w="3118"/>
          </w:tcPr>
          <w:p>
            <w:r/>
            <w:r>
              <w:rPr>
                <w:rFonts w:ascii="Calibri" w:hAnsi="Calibri"/>
                <w:b w:val="0"/>
                <w:sz w:val="18"/>
              </w:rPr>
              <w:t>Representatives complete patient, consultation, lab, pharmacy, billing and reporting scenarios without critical defects</w:t>
            </w:r>
          </w:p>
        </w:tc>
        <w:tc>
          <w:tcPr>
            <w:tcW w:type="dxa" w:w="4819"/>
          </w:tcPr>
          <w:p>
            <w:r/>
            <w:r>
              <w:rPr>
                <w:rFonts w:ascii="Calibri" w:hAnsi="Calibri"/>
                <w:b w:val="0"/>
                <w:sz w:val="18"/>
              </w:rPr>
              <w:t>NOT DONE. No representative user acceptance testing session has been recorded for this project.</w:t>
            </w:r>
          </w:p>
        </w:tc>
      </w:tr>
    </w:tbl>
    <w:p>
      <w:pPr>
        <w:spacing w:after="80"/>
      </w:pPr>
    </w:p>
    <w:p>
      <w:pPr>
        <w:spacing w:before="200" w:after="80"/>
      </w:pPr>
      <w:r>
        <w:rPr>
          <w:b/>
          <w:color w:val="123B36"/>
          <w:sz w:val="23"/>
        </w:rPr>
        <w:t>What testing actually happened, in one paragraph</w:t>
      </w:r>
    </w:p>
    <w:p>
      <w:pPr>
        <w:spacing w:after="160"/>
      </w:pPr>
      <w:r>
        <w:rPr>
          <w:b w:val="0"/>
          <w:i w:val="0"/>
          <w:sz w:val="21"/>
        </w:rPr>
        <w:t>Every FR built in this project — the FR1-45 rewire and all sixteen FR49-64 additions — was verified by hand: live curl requests against the running Laravel API checking status codes, response bodies and resulting database state, including deliberately-provoked failure cases (wrong role, invalid input, race conditions, double-submission) rather than only the happy path. Every backend change was also linted (`php -l`) and every frontend change was confirmed against a clean `npm run build`. This is real, code-level API contract testing — but it is manual and one-off, not automated, not repeatable on demand, and does not touch the actual browser UI at all. No test run in this project has ever opened a real browser.</w:t>
      </w:r>
    </w:p>
    <w:p>
      <w:r>
        <w:br w:type="page"/>
      </w:r>
    </w:p>
    <w:p>
      <w:pPr>
        <w:pStyle w:val="Heading1"/>
        <w:spacing w:before="240" w:after="120"/>
      </w:pPr>
      <w:r>
        <w:t>9. Outstanding Work and Risks</w:t>
      </w:r>
    </w:p>
    <w:p>
      <w:pPr>
        <w:spacing w:after="160"/>
      </w:pPr>
      <w:r>
        <w:rPr>
          <w:b w:val="0"/>
          <w:i/>
          <w:color w:val="5B6B67"/>
          <w:sz w:val="19"/>
        </w:rPr>
        <w:t>In priority order — highest-impact / most blocking first.</w:t>
      </w:r>
    </w:p>
    <w:p>
      <w:pPr>
        <w:spacing w:before="200" w:after="80"/>
      </w:pPr>
      <w:r>
        <w:rPr>
          <w:b/>
          <w:color w:val="123B36"/>
          <w:sz w:val="23"/>
        </w:rPr>
        <w:t>High priority</w:t>
      </w:r>
    </w:p>
    <w:p>
      <w:pPr>
        <w:pStyle w:val="ListBullet"/>
        <w:spacing w:after="60"/>
      </w:pPr>
      <w:r>
        <w:rPr>
          <w:sz w:val="21"/>
        </w:rPr>
        <w:t>No automated test suite of any kind exists (Section 8). This is the single largest gap relative to the SRS's own Section 9 test plan and the biggest risk to catching a regression before a lecturer or supervisor does.</w:t>
      </w:r>
    </w:p>
    <w:p>
      <w:pPr>
        <w:pStyle w:val="ListBullet"/>
        <w:spacing w:after="60"/>
      </w:pPr>
      <w:r>
        <w:rPr>
          <w:sz w:val="21"/>
        </w:rPr>
        <w:t>No browser/UI testing has ever been performed — every frontend screen for FR49-64, and much of FR1-45, has only been verified by reading the code and checking that it builds, not by actually clicking through it in a browser. A manual UI pass across all four role panels (Patient, Doctor, Hospital/Clinic, Admin) is the most direct next step.</w:t>
      </w:r>
    </w:p>
    <w:p>
      <w:pPr>
        <w:pStyle w:val="ListBullet"/>
        <w:spacing w:after="60"/>
      </w:pPr>
      <w:r>
        <w:rPr>
          <w:sz w:val="21"/>
        </w:rPr>
        <w:t>Notifications are not actually delivered (FR20, FR33, FR45). Appointment and lab-result events are logged as 'queued' rows and then never sent; billing events are not even queued. This is a Must-priority baseline gap, not a proposed enhancement.</w:t>
      </w:r>
    </w:p>
    <w:p>
      <w:pPr>
        <w:pStyle w:val="ListBullet"/>
        <w:spacing w:after="60"/>
      </w:pPr>
      <w:r>
        <w:rPr>
          <w:sz w:val="21"/>
        </w:rPr>
        <w:t>APP_DEBUG=true leaks full stack traces in API error responses (NFR14). This is a one-line environment-config fix but is currently live in the running dev instance and must not ship to any shared or staged environment as-is.</w:t>
      </w:r>
    </w:p>
    <w:p>
      <w:pPr>
        <w:pStyle w:val="ListBullet"/>
        <w:spacing w:after="60"/>
      </w:pPr>
      <w:r>
        <w:rPr>
          <w:sz w:val="21"/>
        </w:rPr>
        <w:t>No HTTPS/TLS anywhere (NFR9) — expected for local dev, but must be resolved before any deployment, staging or otherwise.</w:t>
      </w:r>
    </w:p>
    <w:p>
      <w:pPr>
        <w:pStyle w:val="ListBullet"/>
        <w:spacing w:after="60"/>
      </w:pPr>
      <w:r>
        <w:rPr>
          <w:sz w:val="21"/>
        </w:rPr>
        <w:t>Git history does not reflect the work. Only 3 commits exist, all from the initial scaffold; the entire backend and all of the FR1-45 rewire and FR49-64 work exist only as uncommitted working-directory changes. This blocks any credible individual-commit-based contribution evidence (SRS Appendix G) until the team commits and pushes its actual work with per-person attribution.</w:t>
      </w:r>
    </w:p>
    <w:p>
      <w:pPr>
        <w:spacing w:before="200" w:after="80"/>
      </w:pPr>
      <w:r>
        <w:rPr>
          <w:b/>
          <w:color w:val="123B36"/>
          <w:sz w:val="23"/>
        </w:rPr>
        <w:t>Medium priority</w:t>
      </w:r>
    </w:p>
    <w:p>
      <w:pPr>
        <w:pStyle w:val="ListBullet"/>
        <w:spacing w:after="60"/>
      </w:pPr>
      <w:r>
        <w:rPr>
          <w:sz w:val="21"/>
        </w:rPr>
        <w:t>Data-scoped access control gaps: no Branch Manager is restricted to their own branch (FR10), and no doctor/nurse is restricted to only their assigned patients (FR15/FR23) — both are open at the API level regardless of what the UI defaults to. This is exactly the “least privilege; assigned-patient rules” mitigation the SRS's own privacy impact assessment (§6.2) calls for.</w:t>
      </w:r>
    </w:p>
    <w:p>
      <w:pPr>
        <w:pStyle w:val="ListBullet"/>
        <w:spacing w:after="60"/>
      </w:pPr>
      <w:r>
        <w:rPr>
          <w:sz w:val="21"/>
        </w:rPr>
        <w:t>FR46-48 (AI chatbot, feedback sentiment, AI report summaries) remain fully deferred by design. Building them requires a vendor/privacy approval decision the team has not yet sought, per the SRS's own constraint that no identifiable health data may reach an external AI provider without approval.</w:t>
      </w:r>
    </w:p>
    <w:p>
      <w:pPr>
        <w:pStyle w:val="ListBullet"/>
        <w:spacing w:after="60"/>
      </w:pPr>
      <w:r>
        <w:rPr>
          <w:sz w:val="21"/>
        </w:rPr>
        <w:t>FR49-64 remain formally “Pending approval” per SRS governance regardless of how complete the prototype is — a supervisor sign-off with a recorded decision (accepted/rejected/deferred, per requirement) is still needed before any of them can be called baseline.</w:t>
      </w:r>
    </w:p>
    <w:p>
      <w:pPr>
        <w:pStyle w:val="ListBullet"/>
        <w:spacing w:after="60"/>
      </w:pPr>
      <w:r>
        <w:rPr>
          <w:sz w:val="21"/>
        </w:rPr>
        <w:t>The FR60 branch-scoped service price catalogue is not wired into invoice creation (FR36) — prices are still entered ad-hoc per invoice rather than pulled from the configured list.</w:t>
      </w:r>
    </w:p>
    <w:p>
      <w:pPr>
        <w:pStyle w:val="ListBullet"/>
        <w:spacing w:after="60"/>
      </w:pPr>
      <w:r>
        <w:rPr>
          <w:sz w:val="21"/>
        </w:rPr>
        <w:t>No 30-day backup retention/rotation exists yet (NFR17) — backup files currently accumulate indefinitely.</w:t>
      </w:r>
    </w:p>
    <w:p>
      <w:pPr>
        <w:pStyle w:val="ListBullet"/>
        <w:spacing w:after="60"/>
      </w:pPr>
      <w:r>
        <w:rPr>
          <w:sz w:val="21"/>
        </w:rPr>
        <w:t>No installation, schema, or administrator documentation exists (NFR20) — the root README.md is stale and describes an earlier, no-longer-accurate version of the project.</w:t>
      </w:r>
    </w:p>
    <w:p>
      <w:pPr>
        <w:spacing w:before="200" w:after="80"/>
      </w:pPr>
      <w:r>
        <w:rPr>
          <w:b/>
          <w:color w:val="123B36"/>
          <w:sz w:val="23"/>
        </w:rPr>
        <w:t>Lower priority / worth tracking</w:t>
      </w:r>
    </w:p>
    <w:p>
      <w:pPr>
        <w:pStyle w:val="ListBullet"/>
        <w:spacing w:after="60"/>
      </w:pPr>
      <w:r>
        <w:rPr>
          <w:sz w:val="21"/>
        </w:rPr>
        <w:t>NFR1/NFR2/NFR4/NFR7/NFR15/NFR16/NFR18 have no test evidence at all and need dedicated tooling (load-test harness, accessibility scanner, timed restore exercise, uptime monitoring on a real deployment) that does not currently exist in this project.</w:t>
      </w:r>
    </w:p>
    <w:p>
      <w:pPr>
        <w:pStyle w:val="ListBullet"/>
        <w:spacing w:after="60"/>
      </w:pPr>
      <w:r>
        <w:rPr>
          <w:sz w:val="21"/>
        </w:rPr>
        <w:t>The SRS's own platform-interpretation conflict (installable native mobile app vs. the responsive PWA actually built) is still listed as “pending confirmation” in the SRS's own Section 10 feedback table and has not been formally resolved with the supervisor.</w:t>
      </w:r>
    </w:p>
    <w:p>
      <w:pPr>
        <w:pStyle w:val="ListBullet"/>
        <w:spacing w:after="60"/>
      </w:pPr>
      <w:r>
        <w:rPr>
          <w:sz w:val="21"/>
        </w:rPr>
        <w:t>One transient environment-specific issue was observed on FR57's manual “Run Backup Now” action (a Windows socket error when triggered a second time from inside a long-lived dev server process) — the underlying scheduled/CLI backup path was retested and is unaffected, but the manual-trigger path is worth a clean-process retest under load before relying on it.</w:t>
      </w:r>
    </w:p>
    <w:p>
      <w:r>
        <w:br w:type="page"/>
      </w:r>
    </w:p>
    <w:p>
      <w:pPr>
        <w:pStyle w:val="Heading1"/>
        <w:spacing w:before="240" w:after="120"/>
      </w:pPr>
      <w:r>
        <w:t>10. Individual Contribution</w:t>
      </w:r>
    </w:p>
    <w:p>
      <w:pPr>
        <w:spacing w:after="240"/>
      </w:pPr>
      <w:r>
        <w:rPr>
          <w:b w:val="0"/>
          <w:i w:val="0"/>
          <w:sz w:val="21"/>
        </w:rPr>
        <w:t>Each team member should complete their own section below with real evidence — specific commits (once the repository reflects the actual work; see Section 9), Trello card links, meeting minutes, or specific files/features owned. This report does not pre-fill any member's contribution, since only that person can accurately describe their own work; the SRS itself warns that “raw Trello activity counts are not fair evidence of effort” (SRS §10), so each entry should point to something checkable.</w:t>
      </w:r>
    </w:p>
    <w:p>
      <w:pPr>
        <w:spacing w:before="200" w:after="80"/>
      </w:pPr>
      <w:r>
        <w:rPr>
          <w:b/>
          <w:color w:val="123B36"/>
          <w:sz w:val="23"/>
        </w:rPr>
        <w:t>Priya Paneru — Project Manager — scope/schedule/risk/decision logs; submission and minutes</w:t>
      </w:r>
    </w:p>
    <w:p>
      <w:pPr>
        <w:spacing w:after="80"/>
      </w:pPr>
      <w:r>
        <w:rPr>
          <w:b/>
          <w:sz w:val="20"/>
        </w:rPr>
        <w:t xml:space="preserve">What I contributed: </w:t>
      </w:r>
      <w:r>
        <w:rPr>
          <w:i/>
          <w:color w:val="5B6B67"/>
          <w:sz w:val="20"/>
        </w:rPr>
        <w:t>[to be completed]</w:t>
      </w:r>
    </w:p>
    <w:p>
      <w:pPr>
        <w:spacing w:after="80"/>
      </w:pPr>
      <w:r>
        <w:rPr>
          <w:b/>
          <w:sz w:val="20"/>
        </w:rPr>
        <w:t xml:space="preserve">Evidence (commits / Trello cards / files owned / meeting actions): </w:t>
      </w:r>
      <w:r>
        <w:rPr>
          <w:i/>
          <w:color w:val="5B6B67"/>
          <w:sz w:val="20"/>
        </w:rPr>
        <w:t>[to be completed]</w:t>
      </w:r>
    </w:p>
    <w:p>
      <w:pPr>
        <w:spacing w:after="280"/>
      </w:pPr>
      <w:r>
        <w:rPr>
          <w:b/>
          <w:sz w:val="20"/>
        </w:rPr>
        <w:t xml:space="preserve">Challenges faced and how they were resolved: </w:t>
      </w:r>
      <w:r>
        <w:rPr>
          <w:i/>
          <w:color w:val="5B6B67"/>
          <w:sz w:val="20"/>
        </w:rPr>
        <w:t>[to be completed]</w:t>
      </w:r>
    </w:p>
    <w:p>
      <w:pPr>
        <w:spacing w:before="200" w:after="80"/>
      </w:pPr>
      <w:r>
        <w:rPr>
          <w:b/>
          <w:color w:val="123B36"/>
          <w:sz w:val="23"/>
        </w:rPr>
        <w:t>Usha Tamang — Systems Analyst — requirements, traceability, use cases, DFD review</w:t>
      </w:r>
    </w:p>
    <w:p>
      <w:pPr>
        <w:spacing w:after="80"/>
      </w:pPr>
      <w:r>
        <w:rPr>
          <w:b/>
          <w:sz w:val="20"/>
        </w:rPr>
        <w:t xml:space="preserve">What I contributed: </w:t>
      </w:r>
      <w:r>
        <w:rPr>
          <w:i/>
          <w:color w:val="5B6B67"/>
          <w:sz w:val="20"/>
        </w:rPr>
        <w:t>[to be completed]</w:t>
      </w:r>
    </w:p>
    <w:p>
      <w:pPr>
        <w:spacing w:after="80"/>
      </w:pPr>
      <w:r>
        <w:rPr>
          <w:b/>
          <w:sz w:val="20"/>
        </w:rPr>
        <w:t xml:space="preserve">Evidence (commits / Trello cards / files owned / meeting actions): </w:t>
      </w:r>
      <w:r>
        <w:rPr>
          <w:i/>
          <w:color w:val="5B6B67"/>
          <w:sz w:val="20"/>
        </w:rPr>
        <w:t>[to be completed]</w:t>
      </w:r>
    </w:p>
    <w:p>
      <w:pPr>
        <w:spacing w:after="280"/>
      </w:pPr>
      <w:r>
        <w:rPr>
          <w:b/>
          <w:sz w:val="20"/>
        </w:rPr>
        <w:t xml:space="preserve">Challenges faced and how they were resolved: </w:t>
      </w:r>
      <w:r>
        <w:rPr>
          <w:i/>
          <w:color w:val="5B6B67"/>
          <w:sz w:val="20"/>
        </w:rPr>
        <w:t>[to be completed]</w:t>
      </w:r>
    </w:p>
    <w:p>
      <w:pPr>
        <w:spacing w:before="200" w:after="80"/>
      </w:pPr>
      <w:r>
        <w:rPr>
          <w:b/>
          <w:color w:val="123B36"/>
          <w:sz w:val="23"/>
        </w:rPr>
        <w:t>Manish Das — Full-stack Developer — PHP/API, database, deployment and security commits</w:t>
      </w:r>
    </w:p>
    <w:p>
      <w:pPr>
        <w:spacing w:after="80"/>
      </w:pPr>
      <w:r>
        <w:rPr>
          <w:b/>
          <w:sz w:val="20"/>
        </w:rPr>
        <w:t xml:space="preserve">What I contributed: </w:t>
      </w:r>
      <w:r>
        <w:rPr>
          <w:i/>
          <w:color w:val="5B6B67"/>
          <w:sz w:val="20"/>
        </w:rPr>
        <w:t>[to be completed]</w:t>
      </w:r>
    </w:p>
    <w:p>
      <w:pPr>
        <w:spacing w:after="80"/>
      </w:pPr>
      <w:r>
        <w:rPr>
          <w:b/>
          <w:sz w:val="20"/>
        </w:rPr>
        <w:t xml:space="preserve">Evidence (commits / Trello cards / files owned / meeting actions): </w:t>
      </w:r>
      <w:r>
        <w:rPr>
          <w:i/>
          <w:color w:val="5B6B67"/>
          <w:sz w:val="20"/>
        </w:rPr>
        <w:t>[to be completed]</w:t>
      </w:r>
    </w:p>
    <w:p>
      <w:pPr>
        <w:spacing w:after="280"/>
      </w:pPr>
      <w:r>
        <w:rPr>
          <w:b/>
          <w:sz w:val="20"/>
        </w:rPr>
        <w:t xml:space="preserve">Challenges faced and how they were resolved: </w:t>
      </w:r>
      <w:r>
        <w:rPr>
          <w:i/>
          <w:color w:val="5B6B67"/>
          <w:sz w:val="20"/>
        </w:rPr>
        <w:t>[to be completed]</w:t>
      </w:r>
    </w:p>
    <w:p>
      <w:pPr>
        <w:spacing w:before="200" w:after="80"/>
      </w:pPr>
      <w:r>
        <w:rPr>
          <w:b/>
          <w:color w:val="123B36"/>
          <w:sz w:val="23"/>
        </w:rPr>
        <w:t>Oyndrila Oyshi Saha — UI/UX &amp; Frontend — storyboards, accessibility and frontend commits</w:t>
      </w:r>
    </w:p>
    <w:p>
      <w:pPr>
        <w:spacing w:after="80"/>
      </w:pPr>
      <w:r>
        <w:rPr>
          <w:b/>
          <w:sz w:val="20"/>
        </w:rPr>
        <w:t xml:space="preserve">What I contributed: </w:t>
      </w:r>
      <w:r>
        <w:rPr>
          <w:i/>
          <w:color w:val="5B6B67"/>
          <w:sz w:val="20"/>
        </w:rPr>
        <w:t>[to be completed]</w:t>
      </w:r>
    </w:p>
    <w:p>
      <w:pPr>
        <w:spacing w:after="80"/>
      </w:pPr>
      <w:r>
        <w:rPr>
          <w:b/>
          <w:sz w:val="20"/>
        </w:rPr>
        <w:t xml:space="preserve">Evidence (commits / Trello cards / files owned / meeting actions): </w:t>
      </w:r>
      <w:r>
        <w:rPr>
          <w:i/>
          <w:color w:val="5B6B67"/>
          <w:sz w:val="20"/>
        </w:rPr>
        <w:t>[to be completed]</w:t>
      </w:r>
    </w:p>
    <w:p>
      <w:pPr>
        <w:spacing w:after="280"/>
      </w:pPr>
      <w:r>
        <w:rPr>
          <w:b/>
          <w:sz w:val="20"/>
        </w:rPr>
        <w:t xml:space="preserve">Challenges faced and how they were resolved: </w:t>
      </w:r>
      <w:r>
        <w:rPr>
          <w:i/>
          <w:color w:val="5B6B67"/>
          <w:sz w:val="20"/>
        </w:rPr>
        <w:t>[to be completed]</w:t>
      </w:r>
    </w:p>
    <w:p>
      <w:pPr>
        <w:spacing w:before="200" w:after="80"/>
      </w:pPr>
      <w:r>
        <w:rPr>
          <w:b/>
          <w:color w:val="123B36"/>
          <w:sz w:val="23"/>
        </w:rPr>
        <w:t>Krishala Niroula — QA / Tester — test cases, defects, regression and acceptance evidence</w:t>
      </w:r>
    </w:p>
    <w:p>
      <w:pPr>
        <w:spacing w:after="80"/>
      </w:pPr>
      <w:r>
        <w:rPr>
          <w:b/>
          <w:sz w:val="20"/>
        </w:rPr>
        <w:t xml:space="preserve">What I contributed: </w:t>
      </w:r>
      <w:r>
        <w:rPr>
          <w:i/>
          <w:color w:val="5B6B67"/>
          <w:sz w:val="20"/>
        </w:rPr>
        <w:t>[to be completed]</w:t>
      </w:r>
    </w:p>
    <w:p>
      <w:pPr>
        <w:spacing w:after="80"/>
      </w:pPr>
      <w:r>
        <w:rPr>
          <w:b/>
          <w:sz w:val="20"/>
        </w:rPr>
        <w:t xml:space="preserve">Evidence (commits / Trello cards / files owned / meeting actions): </w:t>
      </w:r>
      <w:r>
        <w:rPr>
          <w:i/>
          <w:color w:val="5B6B67"/>
          <w:sz w:val="20"/>
        </w:rPr>
        <w:t>[to be completed]</w:t>
      </w:r>
    </w:p>
    <w:p>
      <w:pPr>
        <w:spacing w:after="280"/>
      </w:pPr>
      <w:r>
        <w:rPr>
          <w:b/>
          <w:sz w:val="20"/>
        </w:rPr>
        <w:t xml:space="preserve">Challenges faced and how they were resolved: </w:t>
      </w:r>
      <w:r>
        <w:rPr>
          <w:i/>
          <w:color w:val="5B6B67"/>
          <w:sz w:val="20"/>
        </w:rPr>
        <w:t>[to be completed]</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3B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B3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23B3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