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C9AF" w14:textId="77777777" w:rsidR="00A648C5" w:rsidRPr="00A648C5" w:rsidRDefault="00A648C5" w:rsidP="00A648C5">
      <w:r w:rsidRPr="00A648C5">
        <w:t xml:space="preserve">The database provided contains comprehensive, densely detailed records of South Korean flood </w:t>
      </w:r>
      <w:proofErr w:type="spellStart"/>
      <w:r w:rsidRPr="00A648C5">
        <w:t>defense</w:t>
      </w:r>
      <w:proofErr w:type="spellEnd"/>
      <w:r w:rsidRPr="00A648C5">
        <w:t xml:space="preserve"> infrastructure. Since I cannot generate interactive plots, I will present the results of the requested exploratory data analysis (EDA) by summarizing key distributions and characteristics found in the source material.</w:t>
      </w:r>
    </w:p>
    <w:p w14:paraId="2DB92142" w14:textId="77777777" w:rsidR="00A648C5" w:rsidRPr="00A648C5" w:rsidRDefault="00A648C5" w:rsidP="00A648C5">
      <w:r w:rsidRPr="00A648C5">
        <w:t>1. Exploratory Data Analysis (EDA) Summary</w:t>
      </w:r>
    </w:p>
    <w:p w14:paraId="323D9CEC" w14:textId="77777777" w:rsidR="00A648C5" w:rsidRPr="00A648C5" w:rsidRDefault="00A648C5" w:rsidP="00A648C5">
      <w:r w:rsidRPr="00A648C5">
        <w:t xml:space="preserve">The analysis focuses on three core characteristics: the administrative classification of the rivers, the geographical distribution of the measured flood </w:t>
      </w:r>
      <w:proofErr w:type="spellStart"/>
      <w:r w:rsidRPr="00A648C5">
        <w:t>defenses</w:t>
      </w:r>
      <w:proofErr w:type="spellEnd"/>
      <w:r w:rsidRPr="00A648C5">
        <w:t>, and the materials used for construction.</w:t>
      </w:r>
    </w:p>
    <w:p w14:paraId="00B9C934" w14:textId="77777777" w:rsidR="00A648C5" w:rsidRPr="00A648C5" w:rsidRDefault="00A648C5" w:rsidP="00A648C5">
      <w:r w:rsidRPr="00A648C5">
        <w:t>A. Distribution by River Classification (</w:t>
      </w:r>
      <w:proofErr w:type="spellStart"/>
      <w:r w:rsidRPr="00A648C5">
        <w:t>rivdv</w:t>
      </w:r>
      <w:proofErr w:type="spellEnd"/>
      <w:r w:rsidRPr="00A648C5">
        <w:t>)</w:t>
      </w:r>
    </w:p>
    <w:p w14:paraId="72687D98" w14:textId="77777777" w:rsidR="00A648C5" w:rsidRPr="00A648C5" w:rsidRDefault="00A648C5" w:rsidP="00A648C5">
      <w:r w:rsidRPr="00A648C5">
        <w:t>The river classification (</w:t>
      </w:r>
      <w:proofErr w:type="spellStart"/>
      <w:r w:rsidRPr="00A648C5">
        <w:t>rivdv</w:t>
      </w:r>
      <w:proofErr w:type="spellEnd"/>
      <w:r w:rsidRPr="00A648C5">
        <w:t xml:space="preserve">) categorizes the flood </w:t>
      </w:r>
      <w:proofErr w:type="spellStart"/>
      <w:r w:rsidRPr="00A648C5">
        <w:t>defenses</w:t>
      </w:r>
      <w:proofErr w:type="spellEnd"/>
      <w:r w:rsidRPr="00A648C5">
        <w:t>, indicating their administrative importance and typical scale. The data exhibits high granularity across different tiers of waterway management:</w:t>
      </w:r>
    </w:p>
    <w:p w14:paraId="2DA728C8" w14:textId="77777777" w:rsidR="00A648C5" w:rsidRPr="00A648C5" w:rsidRDefault="00A648C5" w:rsidP="00A648C5">
      <w:r w:rsidRPr="00A648C5">
        <w:t xml:space="preserve">• </w:t>
      </w:r>
      <w:r w:rsidRPr="00A648C5">
        <w:rPr>
          <w:b/>
        </w:rPr>
        <w:t>Local Class 2 (</w:t>
      </w:r>
      <w:proofErr w:type="spellStart"/>
      <w:r w:rsidRPr="00A648C5">
        <w:rPr>
          <w:rFonts w:ascii="Malgun Gothic" w:eastAsia="Malgun Gothic" w:hAnsi="Malgun Gothic" w:cs="Malgun Gothic" w:hint="eastAsia"/>
          <w:b/>
        </w:rPr>
        <w:t>지방</w:t>
      </w:r>
      <w:proofErr w:type="spellEnd"/>
      <w:r w:rsidRPr="00A648C5">
        <w:rPr>
          <w:b/>
        </w:rPr>
        <w:t>2</w:t>
      </w:r>
      <w:r w:rsidRPr="00A648C5">
        <w:rPr>
          <w:rFonts w:ascii="Malgun Gothic" w:eastAsia="Malgun Gothic" w:hAnsi="Malgun Gothic" w:cs="Malgun Gothic" w:hint="eastAsia"/>
          <w:b/>
        </w:rPr>
        <w:t>급</w:t>
      </w:r>
      <w:r w:rsidRPr="00A648C5">
        <w:rPr>
          <w:b/>
        </w:rPr>
        <w:t>):</w:t>
      </w:r>
      <w:r w:rsidRPr="00A648C5">
        <w:t xml:space="preserve"> This category accounts for the largest proportion of unique records. This high density suggests that the database meticulously tracks flood </w:t>
      </w:r>
      <w:proofErr w:type="spellStart"/>
      <w:r w:rsidRPr="00A648C5">
        <w:t>defenses</w:t>
      </w:r>
      <w:proofErr w:type="spellEnd"/>
      <w:r w:rsidRPr="00A648C5">
        <w:t xml:space="preserve"> not only along major basins but also along smaller, localized streams and tributaries (e.g., </w:t>
      </w:r>
      <w:proofErr w:type="spellStart"/>
      <w:r w:rsidRPr="00A648C5">
        <w:rPr>
          <w:rFonts w:ascii="Malgun Gothic" w:eastAsia="Malgun Gothic" w:hAnsi="Malgun Gothic" w:cs="Malgun Gothic" w:hint="eastAsia"/>
        </w:rPr>
        <w:t>묵동천</w:t>
      </w:r>
      <w:proofErr w:type="spellEnd"/>
      <w:r w:rsidRPr="00A648C5">
        <w:t xml:space="preserve">, </w:t>
      </w:r>
      <w:proofErr w:type="spellStart"/>
      <w:r w:rsidRPr="00A648C5">
        <w:rPr>
          <w:rFonts w:ascii="Malgun Gothic" w:eastAsia="Malgun Gothic" w:hAnsi="Malgun Gothic" w:cs="Malgun Gothic" w:hint="eastAsia"/>
        </w:rPr>
        <w:t>도봉천</w:t>
      </w:r>
      <w:proofErr w:type="spellEnd"/>
      <w:r w:rsidRPr="00A648C5">
        <w:t xml:space="preserve">, </w:t>
      </w:r>
      <w:proofErr w:type="spellStart"/>
      <w:r w:rsidRPr="00A648C5">
        <w:rPr>
          <w:rFonts w:ascii="Malgun Gothic" w:eastAsia="Malgun Gothic" w:hAnsi="Malgun Gothic" w:cs="Malgun Gothic" w:hint="eastAsia"/>
        </w:rPr>
        <w:t>오류천</w:t>
      </w:r>
      <w:proofErr w:type="spellEnd"/>
      <w:r w:rsidRPr="00A648C5">
        <w:t xml:space="preserve">, </w:t>
      </w:r>
      <w:proofErr w:type="spellStart"/>
      <w:r w:rsidRPr="00A648C5">
        <w:rPr>
          <w:rFonts w:ascii="Malgun Gothic" w:eastAsia="Malgun Gothic" w:hAnsi="Malgun Gothic" w:cs="Malgun Gothic" w:hint="eastAsia"/>
        </w:rPr>
        <w:t>계정천</w:t>
      </w:r>
      <w:proofErr w:type="spellEnd"/>
      <w:r w:rsidRPr="00A648C5">
        <w:t>), often serving direct urban protection needs.</w:t>
      </w:r>
    </w:p>
    <w:p w14:paraId="00D449B7" w14:textId="77777777" w:rsidR="00A648C5" w:rsidRPr="00A648C5" w:rsidRDefault="00A648C5" w:rsidP="00A648C5">
      <w:r w:rsidRPr="00A648C5">
        <w:t xml:space="preserve">• </w:t>
      </w:r>
      <w:r w:rsidRPr="00A648C5">
        <w:rPr>
          <w:b/>
        </w:rPr>
        <w:t>National (</w:t>
      </w:r>
      <w:proofErr w:type="spellStart"/>
      <w:r w:rsidRPr="00A648C5">
        <w:rPr>
          <w:rFonts w:ascii="Malgun Gothic" w:eastAsia="Malgun Gothic" w:hAnsi="Malgun Gothic" w:cs="Malgun Gothic" w:hint="eastAsia"/>
          <w:b/>
        </w:rPr>
        <w:t>국가</w:t>
      </w:r>
      <w:proofErr w:type="spellEnd"/>
      <w:r w:rsidRPr="00A648C5">
        <w:rPr>
          <w:b/>
        </w:rPr>
        <w:t>):</w:t>
      </w:r>
      <w:r w:rsidRPr="00A648C5">
        <w:t xml:space="preserve"> These entries often correlate with major rivers such as the Han River (</w:t>
      </w:r>
      <w:proofErr w:type="spellStart"/>
      <w:r w:rsidRPr="00A648C5">
        <w:rPr>
          <w:rFonts w:ascii="Malgun Gothic" w:eastAsia="Malgun Gothic" w:hAnsi="Malgun Gothic" w:cs="Malgun Gothic" w:hint="eastAsia"/>
        </w:rPr>
        <w:t>한강</w:t>
      </w:r>
      <w:proofErr w:type="spellEnd"/>
      <w:r w:rsidRPr="00A648C5">
        <w:t>), Nakdong River (</w:t>
      </w:r>
      <w:proofErr w:type="spellStart"/>
      <w:r w:rsidRPr="00A648C5">
        <w:rPr>
          <w:rFonts w:ascii="Malgun Gothic" w:eastAsia="Malgun Gothic" w:hAnsi="Malgun Gothic" w:cs="Malgun Gothic" w:hint="eastAsia"/>
        </w:rPr>
        <w:t>낙동강</w:t>
      </w:r>
      <w:proofErr w:type="spellEnd"/>
      <w:r w:rsidRPr="00A648C5">
        <w:t xml:space="preserve">), and </w:t>
      </w:r>
      <w:proofErr w:type="spellStart"/>
      <w:r w:rsidRPr="00A648C5">
        <w:t>Geumho</w:t>
      </w:r>
      <w:proofErr w:type="spellEnd"/>
      <w:r w:rsidRPr="00A648C5">
        <w:t xml:space="preserve"> River (</w:t>
      </w:r>
      <w:proofErr w:type="spellStart"/>
      <w:r w:rsidRPr="00A648C5">
        <w:rPr>
          <w:rFonts w:ascii="Malgun Gothic" w:eastAsia="Malgun Gothic" w:hAnsi="Malgun Gothic" w:cs="Malgun Gothic" w:hint="eastAsia"/>
        </w:rPr>
        <w:t>금호강</w:t>
      </w:r>
      <w:proofErr w:type="spellEnd"/>
      <w:r w:rsidRPr="00A648C5">
        <w:t xml:space="preserve">). These records tend to cover </w:t>
      </w:r>
      <w:r w:rsidRPr="00A648C5">
        <w:rPr>
          <w:b/>
        </w:rPr>
        <w:t>significantly longer segments</w:t>
      </w:r>
      <w:r w:rsidRPr="00A648C5">
        <w:t xml:space="preserve"> (as detailed below).</w:t>
      </w:r>
    </w:p>
    <w:p w14:paraId="6B1CA8C6" w14:textId="77777777" w:rsidR="00A648C5" w:rsidRPr="00A648C5" w:rsidRDefault="00A648C5" w:rsidP="00A648C5">
      <w:r w:rsidRPr="00A648C5">
        <w:t xml:space="preserve">• </w:t>
      </w:r>
      <w:r w:rsidRPr="00A648C5">
        <w:rPr>
          <w:b/>
        </w:rPr>
        <w:t>Local Class 1 (</w:t>
      </w:r>
      <w:proofErr w:type="spellStart"/>
      <w:r w:rsidRPr="00A648C5">
        <w:rPr>
          <w:rFonts w:ascii="Malgun Gothic" w:eastAsia="Malgun Gothic" w:hAnsi="Malgun Gothic" w:cs="Malgun Gothic" w:hint="eastAsia"/>
          <w:b/>
        </w:rPr>
        <w:t>지방</w:t>
      </w:r>
      <w:proofErr w:type="spellEnd"/>
      <w:r w:rsidRPr="00A648C5">
        <w:rPr>
          <w:b/>
        </w:rPr>
        <w:t>1</w:t>
      </w:r>
      <w:r w:rsidRPr="00A648C5">
        <w:rPr>
          <w:rFonts w:ascii="Malgun Gothic" w:eastAsia="Malgun Gothic" w:hAnsi="Malgun Gothic" w:cs="Malgun Gothic" w:hint="eastAsia"/>
          <w:b/>
        </w:rPr>
        <w:t>급</w:t>
      </w:r>
      <w:r w:rsidRPr="00A648C5">
        <w:rPr>
          <w:b/>
        </w:rPr>
        <w:t>):</w:t>
      </w:r>
      <w:r w:rsidRPr="00A648C5">
        <w:t xml:space="preserve"> These records are present across metropolitan areas (e.g., Daejeon's </w:t>
      </w:r>
      <w:proofErr w:type="spellStart"/>
      <w:r w:rsidRPr="00A648C5">
        <w:rPr>
          <w:rFonts w:ascii="Malgun Gothic" w:eastAsia="Malgun Gothic" w:hAnsi="Malgun Gothic" w:cs="Malgun Gothic" w:hint="eastAsia"/>
        </w:rPr>
        <w:t>유등천</w:t>
      </w:r>
      <w:proofErr w:type="spellEnd"/>
      <w:r w:rsidRPr="00A648C5">
        <w:t xml:space="preserve">, Ulsan's </w:t>
      </w:r>
      <w:proofErr w:type="spellStart"/>
      <w:r w:rsidRPr="00A648C5">
        <w:rPr>
          <w:rFonts w:ascii="Malgun Gothic" w:eastAsia="Malgun Gothic" w:hAnsi="Malgun Gothic" w:cs="Malgun Gothic" w:hint="eastAsia"/>
        </w:rPr>
        <w:t>동천</w:t>
      </w:r>
      <w:proofErr w:type="spellEnd"/>
      <w:r w:rsidRPr="00A648C5">
        <w:t xml:space="preserve">, and regions in Gangwon-do like </w:t>
      </w:r>
      <w:proofErr w:type="spellStart"/>
      <w:r w:rsidRPr="00A648C5">
        <w:rPr>
          <w:rFonts w:ascii="Malgun Gothic" w:eastAsia="Malgun Gothic" w:hAnsi="Malgun Gothic" w:cs="Malgun Gothic" w:hint="eastAsia"/>
        </w:rPr>
        <w:t>홍천강</w:t>
      </w:r>
      <w:proofErr w:type="spellEnd"/>
      <w:r w:rsidRPr="00A648C5">
        <w:t>).</w:t>
      </w:r>
    </w:p>
    <w:p w14:paraId="4583B615" w14:textId="77777777" w:rsidR="00A648C5" w:rsidRPr="00A648C5" w:rsidRDefault="00A648C5" w:rsidP="00A648C5">
      <w:r w:rsidRPr="00A648C5">
        <w:t>B. Analysis of Embankment Length (</w:t>
      </w:r>
      <w:proofErr w:type="spellStart"/>
      <w:r w:rsidRPr="00A648C5">
        <w:t>len</w:t>
      </w:r>
      <w:proofErr w:type="spellEnd"/>
      <w:r w:rsidRPr="00A648C5">
        <w:t>)</w:t>
      </w:r>
    </w:p>
    <w:p w14:paraId="68ED1646" w14:textId="77777777" w:rsidR="00A648C5" w:rsidRPr="00A648C5" w:rsidRDefault="00A648C5" w:rsidP="00A648C5">
      <w:r w:rsidRPr="00A648C5">
        <w:t xml:space="preserve">The </w:t>
      </w:r>
      <w:r w:rsidRPr="00A648C5">
        <w:rPr>
          <w:b/>
        </w:rPr>
        <w:t>Length (</w:t>
      </w:r>
      <w:proofErr w:type="spellStart"/>
      <w:r w:rsidRPr="00A648C5">
        <w:rPr>
          <w:b/>
        </w:rPr>
        <w:t>len</w:t>
      </w:r>
      <w:proofErr w:type="spellEnd"/>
      <w:r w:rsidRPr="00A648C5">
        <w:rPr>
          <w:b/>
        </w:rPr>
        <w:t>)</w:t>
      </w:r>
      <w:r w:rsidRPr="00A648C5">
        <w:t xml:space="preserve"> parameter reveals substantial variability, indicating two primary </w:t>
      </w:r>
      <w:proofErr w:type="spellStart"/>
      <w:r w:rsidRPr="00A648C5">
        <w:t>defense</w:t>
      </w:r>
      <w:proofErr w:type="spellEnd"/>
      <w:r w:rsidRPr="00A648C5">
        <w:t xml:space="preserve"> strategies: long continuous </w:t>
      </w:r>
      <w:proofErr w:type="spellStart"/>
      <w:r w:rsidRPr="00A648C5">
        <w:t>defense</w:t>
      </w:r>
      <w:proofErr w:type="spellEnd"/>
      <w:r w:rsidRPr="00A648C5">
        <w:t xml:space="preserve"> lines and shorter specialized segments.</w:t>
      </w:r>
    </w:p>
    <w:p w14:paraId="6A7C62AE" w14:textId="77777777" w:rsidR="00A648C5" w:rsidRPr="00A648C5" w:rsidRDefault="00A648C5" w:rsidP="00A648C5">
      <w:r w:rsidRPr="00A648C5">
        <w:t xml:space="preserve">1. </w:t>
      </w:r>
      <w:r w:rsidRPr="00A648C5">
        <w:rPr>
          <w:b/>
        </w:rPr>
        <w:t>Macro-Scale Structures (Longest Segments):</w:t>
      </w:r>
      <w:r w:rsidRPr="00A648C5">
        <w:t xml:space="preserve"> The longest structures are overwhelmingly found along major national rivers:</w:t>
      </w:r>
    </w:p>
    <w:p w14:paraId="40E29297" w14:textId="77777777" w:rsidR="00A648C5" w:rsidRPr="00A648C5" w:rsidRDefault="00A648C5" w:rsidP="00A648C5">
      <w:r w:rsidRPr="00A648C5">
        <w:lastRenderedPageBreak/>
        <w:t>    ◦ A section on the Nakdong River (</w:t>
      </w:r>
      <w:proofErr w:type="spellStart"/>
      <w:r w:rsidRPr="00A648C5">
        <w:rPr>
          <w:rFonts w:ascii="Malgun Gothic" w:eastAsia="Malgun Gothic" w:hAnsi="Malgun Gothic" w:cs="Malgun Gothic" w:hint="eastAsia"/>
        </w:rPr>
        <w:t>대저제</w:t>
      </w:r>
      <w:proofErr w:type="spellEnd"/>
      <w:r w:rsidRPr="00A648C5">
        <w:t xml:space="preserve">) spans </w:t>
      </w:r>
      <w:r w:rsidRPr="00A648C5">
        <w:rPr>
          <w:b/>
        </w:rPr>
        <w:t>15,249</w:t>
      </w:r>
      <w:r w:rsidRPr="00A648C5">
        <w:t xml:space="preserve"> units (presumably meters).</w:t>
      </w:r>
    </w:p>
    <w:p w14:paraId="4F1E7B7A" w14:textId="77777777" w:rsidR="00A648C5" w:rsidRPr="00A648C5" w:rsidRDefault="00A648C5" w:rsidP="00A648C5">
      <w:r w:rsidRPr="00A648C5">
        <w:t>    ◦ A section of the Han River (</w:t>
      </w:r>
      <w:proofErr w:type="spellStart"/>
      <w:r w:rsidRPr="00A648C5">
        <w:rPr>
          <w:rFonts w:ascii="Malgun Gothic" w:eastAsia="Malgun Gothic" w:hAnsi="Malgun Gothic" w:cs="Malgun Gothic" w:hint="eastAsia"/>
        </w:rPr>
        <w:t>영등포제</w:t>
      </w:r>
      <w:proofErr w:type="spellEnd"/>
      <w:r w:rsidRPr="00A648C5">
        <w:t xml:space="preserve">) measures </w:t>
      </w:r>
      <w:r w:rsidRPr="00A648C5">
        <w:rPr>
          <w:b/>
        </w:rPr>
        <w:t>7,900</w:t>
      </w:r>
      <w:r w:rsidRPr="00A648C5">
        <w:t xml:space="preserve"> units.</w:t>
      </w:r>
    </w:p>
    <w:p w14:paraId="5F73E23E" w14:textId="77777777" w:rsidR="00A648C5" w:rsidRPr="00A648C5" w:rsidRDefault="00A648C5" w:rsidP="00A648C5">
      <w:r w:rsidRPr="00A648C5">
        <w:t xml:space="preserve">    ◦ The longest single recorded segment in the presented excerpts appears to be the </w:t>
      </w:r>
      <w:proofErr w:type="spellStart"/>
      <w:r w:rsidRPr="00A648C5">
        <w:rPr>
          <w:rFonts w:ascii="Malgun Gothic" w:eastAsia="Malgun Gothic" w:hAnsi="Malgun Gothic" w:cs="Malgun Gothic" w:hint="eastAsia"/>
        </w:rPr>
        <w:t>걸포</w:t>
      </w:r>
      <w:proofErr w:type="spellEnd"/>
      <w:r w:rsidRPr="00A648C5">
        <w:t>1</w:t>
      </w:r>
      <w:r w:rsidRPr="00A648C5">
        <w:rPr>
          <w:rFonts w:ascii="Malgun Gothic" w:eastAsia="Malgun Gothic" w:hAnsi="Malgun Gothic" w:cs="Malgun Gothic" w:hint="eastAsia"/>
        </w:rPr>
        <w:t>제</w:t>
      </w:r>
      <w:r w:rsidRPr="00A648C5">
        <w:t xml:space="preserve"> on the </w:t>
      </w:r>
      <w:proofErr w:type="spellStart"/>
      <w:r w:rsidRPr="00A648C5">
        <w:rPr>
          <w:rFonts w:ascii="Malgun Gothic" w:eastAsia="Malgun Gothic" w:hAnsi="Malgun Gothic" w:cs="Malgun Gothic" w:hint="eastAsia"/>
        </w:rPr>
        <w:t>나진포천</w:t>
      </w:r>
      <w:proofErr w:type="spellEnd"/>
      <w:r w:rsidRPr="00A648C5">
        <w:t xml:space="preserve"> (Local Class 2), covering </w:t>
      </w:r>
      <w:r w:rsidRPr="00A648C5">
        <w:rPr>
          <w:b/>
        </w:rPr>
        <w:t>30,900</w:t>
      </w:r>
      <w:r w:rsidRPr="00A648C5">
        <w:t xml:space="preserve"> units in Gyeonggi Province.</w:t>
      </w:r>
    </w:p>
    <w:p w14:paraId="7BBB4614" w14:textId="77777777" w:rsidR="00A648C5" w:rsidRPr="00A648C5" w:rsidRDefault="00A648C5" w:rsidP="00A648C5">
      <w:r w:rsidRPr="00A648C5">
        <w:t xml:space="preserve">    ◦ The </w:t>
      </w:r>
      <w:proofErr w:type="spellStart"/>
      <w:r w:rsidRPr="00A648C5">
        <w:rPr>
          <w:rFonts w:ascii="Malgun Gothic" w:eastAsia="Malgun Gothic" w:hAnsi="Malgun Gothic" w:cs="Malgun Gothic" w:hint="eastAsia"/>
        </w:rPr>
        <w:t>창릉제</w:t>
      </w:r>
      <w:proofErr w:type="spellEnd"/>
      <w:r w:rsidRPr="00A648C5">
        <w:t xml:space="preserve"> in Gyeonggi Province is noted at </w:t>
      </w:r>
      <w:r w:rsidRPr="00A648C5">
        <w:rPr>
          <w:b/>
        </w:rPr>
        <w:t>13,406</w:t>
      </w:r>
      <w:r w:rsidRPr="00A648C5">
        <w:t xml:space="preserve"> units.</w:t>
      </w:r>
    </w:p>
    <w:p w14:paraId="5A7C5A23" w14:textId="77777777" w:rsidR="00A648C5" w:rsidRPr="00A648C5" w:rsidRDefault="00A648C5" w:rsidP="00A648C5">
      <w:r w:rsidRPr="00A648C5">
        <w:t xml:space="preserve">    ◦ Several other national river </w:t>
      </w:r>
      <w:proofErr w:type="spellStart"/>
      <w:r w:rsidRPr="00A648C5">
        <w:t>defenses</w:t>
      </w:r>
      <w:proofErr w:type="spellEnd"/>
      <w:r w:rsidRPr="00A648C5">
        <w:t xml:space="preserve"> exceed 3,000 to 6,000 units, such as </w:t>
      </w:r>
      <w:proofErr w:type="spellStart"/>
      <w:r w:rsidRPr="00A648C5">
        <w:rPr>
          <w:rFonts w:ascii="Malgun Gothic" w:eastAsia="Malgun Gothic" w:hAnsi="Malgun Gothic" w:cs="Malgun Gothic" w:hint="eastAsia"/>
        </w:rPr>
        <w:t>마포제</w:t>
      </w:r>
      <w:proofErr w:type="spellEnd"/>
      <w:r w:rsidRPr="00A648C5">
        <w:t xml:space="preserve"> (</w:t>
      </w:r>
      <w:r w:rsidRPr="00A648C5">
        <w:rPr>
          <w:b/>
        </w:rPr>
        <w:t>6,350</w:t>
      </w:r>
      <w:r w:rsidRPr="00A648C5">
        <w:t xml:space="preserve">) on the Han River and segments on the </w:t>
      </w:r>
      <w:proofErr w:type="spellStart"/>
      <w:r w:rsidRPr="00A648C5">
        <w:rPr>
          <w:rFonts w:ascii="Malgun Gothic" w:eastAsia="Malgun Gothic" w:hAnsi="Malgun Gothic" w:cs="Malgun Gothic" w:hint="eastAsia"/>
        </w:rPr>
        <w:t>낙동강</w:t>
      </w:r>
      <w:proofErr w:type="spellEnd"/>
      <w:r w:rsidRPr="00A648C5">
        <w:t>.</w:t>
      </w:r>
    </w:p>
    <w:p w14:paraId="6F9AC7B4" w14:textId="77777777" w:rsidR="00A648C5" w:rsidRPr="00A648C5" w:rsidRDefault="00A648C5" w:rsidP="00A648C5">
      <w:r w:rsidRPr="00A648C5">
        <w:t xml:space="preserve">2. </w:t>
      </w:r>
      <w:r w:rsidRPr="00A648C5">
        <w:rPr>
          <w:b/>
        </w:rPr>
        <w:t>Micro-Scale Interventions:</w:t>
      </w:r>
      <w:r w:rsidRPr="00A648C5">
        <w:t xml:space="preserve"> The majority of records represent local, shorter interventions, ranging from just tens of meters (e.g., 96 meters for </w:t>
      </w:r>
      <w:proofErr w:type="spellStart"/>
      <w:proofErr w:type="gramStart"/>
      <w:r w:rsidRPr="00A648C5">
        <w:rPr>
          <w:rFonts w:ascii="Malgun Gothic" w:eastAsia="Malgun Gothic" w:hAnsi="Malgun Gothic" w:cs="Malgun Gothic" w:hint="eastAsia"/>
        </w:rPr>
        <w:t>묵동</w:t>
      </w:r>
      <w:proofErr w:type="spellEnd"/>
      <w:r w:rsidRPr="00A648C5">
        <w:t>(2)</w:t>
      </w:r>
      <w:proofErr w:type="spellStart"/>
      <w:r w:rsidRPr="00A648C5">
        <w:rPr>
          <w:rFonts w:ascii="Malgun Gothic" w:eastAsia="Malgun Gothic" w:hAnsi="Malgun Gothic" w:cs="Malgun Gothic" w:hint="eastAsia"/>
        </w:rPr>
        <w:t>좌안</w:t>
      </w:r>
      <w:proofErr w:type="spellEnd"/>
      <w:proofErr w:type="gramEnd"/>
      <w:r w:rsidRPr="00A648C5">
        <w:t>1</w:t>
      </w:r>
      <w:r w:rsidRPr="00A648C5">
        <w:rPr>
          <w:rFonts w:ascii="Malgun Gothic" w:eastAsia="Malgun Gothic" w:hAnsi="Malgun Gothic" w:cs="Malgun Gothic" w:hint="eastAsia"/>
        </w:rPr>
        <w:t>제</w:t>
      </w:r>
      <w:r w:rsidRPr="00A648C5">
        <w:t xml:space="preserve">, 90 meters for </w:t>
      </w:r>
      <w:proofErr w:type="spellStart"/>
      <w:r w:rsidRPr="00A648C5">
        <w:rPr>
          <w:rFonts w:ascii="Malgun Gothic" w:eastAsia="Malgun Gothic" w:hAnsi="Malgun Gothic" w:cs="Malgun Gothic" w:hint="eastAsia"/>
        </w:rPr>
        <w:t>양재좌안</w:t>
      </w:r>
      <w:proofErr w:type="spellEnd"/>
      <w:r w:rsidRPr="00A648C5">
        <w:t>1</w:t>
      </w:r>
      <w:r w:rsidRPr="00A648C5">
        <w:rPr>
          <w:rFonts w:ascii="Malgun Gothic" w:eastAsia="Malgun Gothic" w:hAnsi="Malgun Gothic" w:cs="Malgun Gothic" w:hint="eastAsia"/>
        </w:rPr>
        <w:t>제</w:t>
      </w:r>
      <w:r w:rsidRPr="00A648C5">
        <w:t xml:space="preserve">) up to a few thousand meters. This highlights the localized nature of many flood </w:t>
      </w:r>
      <w:proofErr w:type="spellStart"/>
      <w:r w:rsidRPr="00A648C5">
        <w:t>defense</w:t>
      </w:r>
      <w:proofErr w:type="spellEnd"/>
      <w:r w:rsidRPr="00A648C5">
        <w:t xml:space="preserve"> measures in densely settled areas, often involving structural reinforcements for specific channel curves or vulnerable </w:t>
      </w:r>
      <w:proofErr w:type="spellStart"/>
      <w:r w:rsidRPr="00A648C5">
        <w:t>neighborhoods</w:t>
      </w:r>
      <w:proofErr w:type="spellEnd"/>
      <w:r w:rsidRPr="00A648C5">
        <w:t>.</w:t>
      </w:r>
    </w:p>
    <w:p w14:paraId="1FEC402D" w14:textId="77777777" w:rsidR="00A648C5" w:rsidRPr="00A648C5" w:rsidRDefault="00A648C5" w:rsidP="00A648C5">
      <w:r w:rsidRPr="00A648C5">
        <w:t>C. Construction Material (</w:t>
      </w:r>
      <w:proofErr w:type="spellStart"/>
      <w:r w:rsidRPr="00A648C5">
        <w:t>ebmttp</w:t>
      </w:r>
      <w:proofErr w:type="spellEnd"/>
      <w:r w:rsidRPr="00A648C5">
        <w:t>) Frequency</w:t>
      </w:r>
    </w:p>
    <w:p w14:paraId="4566B485" w14:textId="77777777" w:rsidR="00A648C5" w:rsidRPr="00A648C5" w:rsidRDefault="00A648C5" w:rsidP="00A648C5">
      <w:r w:rsidRPr="00A648C5">
        <w:t>The selection of embankment materials reflects regional resource availability, flow dynamics, and the surrounding land use (urban vs. rural).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820"/>
        <w:gridCol w:w="5005"/>
      </w:tblGrid>
      <w:tr w:rsidR="00A648C5" w:rsidRPr="00A648C5" w14:paraId="7535AA3E" w14:textId="77777777">
        <w:tc>
          <w:tcPr>
            <w:tcW w:w="0" w:type="auto"/>
            <w:vAlign w:val="center"/>
            <w:hideMark/>
          </w:tcPr>
          <w:p w14:paraId="102838AC" w14:textId="77777777" w:rsidR="00A648C5" w:rsidRPr="00A648C5" w:rsidRDefault="00A648C5" w:rsidP="00A648C5">
            <w:r w:rsidRPr="00A648C5">
              <w:t>Korean Term(s)</w:t>
            </w:r>
          </w:p>
        </w:tc>
        <w:tc>
          <w:tcPr>
            <w:tcW w:w="0" w:type="auto"/>
            <w:vAlign w:val="center"/>
            <w:hideMark/>
          </w:tcPr>
          <w:p w14:paraId="7212D69A" w14:textId="77777777" w:rsidR="00A648C5" w:rsidRPr="00A648C5" w:rsidRDefault="00A648C5" w:rsidP="00A648C5">
            <w:r w:rsidRPr="00A648C5">
              <w:t>English Translation</w:t>
            </w:r>
          </w:p>
        </w:tc>
        <w:tc>
          <w:tcPr>
            <w:tcW w:w="0" w:type="auto"/>
            <w:vAlign w:val="center"/>
            <w:hideMark/>
          </w:tcPr>
          <w:p w14:paraId="57BFD405" w14:textId="77777777" w:rsidR="00A648C5" w:rsidRPr="00A648C5" w:rsidRDefault="00A648C5" w:rsidP="00A648C5">
            <w:r w:rsidRPr="00A648C5">
              <w:t>Usage Context (Observed)</w:t>
            </w:r>
          </w:p>
        </w:tc>
      </w:tr>
      <w:tr w:rsidR="00A648C5" w:rsidRPr="00A648C5" w14:paraId="62A2C6A0" w14:textId="77777777">
        <w:tc>
          <w:tcPr>
            <w:tcW w:w="0" w:type="auto"/>
            <w:vAlign w:val="center"/>
            <w:hideMark/>
          </w:tcPr>
          <w:p w14:paraId="26D0F1FA" w14:textId="77777777" w:rsidR="00A648C5" w:rsidRPr="00A648C5" w:rsidRDefault="00A648C5" w:rsidP="00A648C5"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호안블럭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FDB90" w14:textId="77777777" w:rsidR="00A648C5" w:rsidRPr="00A648C5" w:rsidRDefault="00A648C5" w:rsidP="00A648C5">
            <w:r w:rsidRPr="00A648C5">
              <w:t>Revetment Block (Standard/Concrete Block)</w:t>
            </w:r>
          </w:p>
        </w:tc>
        <w:tc>
          <w:tcPr>
            <w:tcW w:w="0" w:type="auto"/>
            <w:vAlign w:val="center"/>
            <w:hideMark/>
          </w:tcPr>
          <w:p w14:paraId="7EF6F1AF" w14:textId="77777777" w:rsidR="00A648C5" w:rsidRPr="00A648C5" w:rsidRDefault="00A648C5" w:rsidP="00A648C5">
            <w:r w:rsidRPr="00A648C5">
              <w:t>Extremely common, often paired with other materials or used for major river protection.</w:t>
            </w:r>
          </w:p>
        </w:tc>
      </w:tr>
      <w:tr w:rsidR="00A648C5" w:rsidRPr="00A648C5" w14:paraId="7F9D49A0" w14:textId="77777777">
        <w:tc>
          <w:tcPr>
            <w:tcW w:w="0" w:type="auto"/>
            <w:vAlign w:val="center"/>
            <w:hideMark/>
          </w:tcPr>
          <w:p w14:paraId="19AAD24D" w14:textId="77777777" w:rsidR="00A648C5" w:rsidRPr="00A648C5" w:rsidRDefault="00A648C5" w:rsidP="00A648C5"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석축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29636" w14:textId="77777777" w:rsidR="00A648C5" w:rsidRPr="00A648C5" w:rsidRDefault="00A648C5" w:rsidP="00A648C5">
            <w:r w:rsidRPr="00A648C5">
              <w:t>Stone Masonry / Stone Wall</w:t>
            </w:r>
          </w:p>
        </w:tc>
        <w:tc>
          <w:tcPr>
            <w:tcW w:w="0" w:type="auto"/>
            <w:vAlign w:val="center"/>
            <w:hideMark/>
          </w:tcPr>
          <w:p w14:paraId="00595EFA" w14:textId="77777777" w:rsidR="00A648C5" w:rsidRPr="00A648C5" w:rsidRDefault="00A648C5" w:rsidP="00A648C5">
            <w:r w:rsidRPr="00A648C5">
              <w:t>Highly prevalent, used widely across local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</w:rPr>
              <w:t>지방</w:t>
            </w:r>
            <w:proofErr w:type="spellEnd"/>
            <w:r w:rsidRPr="00A648C5">
              <w:t>2</w:t>
            </w:r>
            <w:r w:rsidRPr="00A648C5">
              <w:rPr>
                <w:rFonts w:ascii="Malgun Gothic" w:eastAsia="Malgun Gothic" w:hAnsi="Malgun Gothic" w:cs="Malgun Gothic" w:hint="eastAsia"/>
              </w:rPr>
              <w:t>급</w:t>
            </w:r>
            <w:r w:rsidRPr="00A648C5">
              <w:t>) and smaller national rivers.</w:t>
            </w:r>
          </w:p>
        </w:tc>
      </w:tr>
      <w:tr w:rsidR="00A648C5" w:rsidRPr="00A648C5" w14:paraId="3FBC65CD" w14:textId="77777777">
        <w:tc>
          <w:tcPr>
            <w:tcW w:w="0" w:type="auto"/>
            <w:vAlign w:val="center"/>
            <w:hideMark/>
          </w:tcPr>
          <w:p w14:paraId="501E70CB" w14:textId="77777777" w:rsidR="00A648C5" w:rsidRPr="00A648C5" w:rsidRDefault="00A648C5" w:rsidP="00A648C5"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lastRenderedPageBreak/>
              <w:t>옹벽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9F2BD" w14:textId="77777777" w:rsidR="00A648C5" w:rsidRPr="00A648C5" w:rsidRDefault="00A648C5" w:rsidP="00A648C5">
            <w:r w:rsidRPr="00A648C5">
              <w:t>Retaining/Concrete Wall</w:t>
            </w:r>
          </w:p>
        </w:tc>
        <w:tc>
          <w:tcPr>
            <w:tcW w:w="0" w:type="auto"/>
            <w:vAlign w:val="center"/>
            <w:hideMark/>
          </w:tcPr>
          <w:p w14:paraId="56421214" w14:textId="77777777" w:rsidR="00A648C5" w:rsidRPr="00A648C5" w:rsidRDefault="00A648C5" w:rsidP="00A648C5">
            <w:r w:rsidRPr="00A648C5">
              <w:t>Frequently noted in narrow, high-density urban areas (e.g., Seoul tributaries) or where space is limited.</w:t>
            </w:r>
          </w:p>
        </w:tc>
      </w:tr>
      <w:tr w:rsidR="00A648C5" w:rsidRPr="00A648C5" w14:paraId="5C7F5E06" w14:textId="77777777">
        <w:tc>
          <w:tcPr>
            <w:tcW w:w="0" w:type="auto"/>
            <w:vAlign w:val="center"/>
            <w:hideMark/>
          </w:tcPr>
          <w:p w14:paraId="399A4FD3" w14:textId="77777777" w:rsidR="00A648C5" w:rsidRPr="00A648C5" w:rsidRDefault="00A648C5" w:rsidP="00A648C5"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돌망태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53022" w14:textId="77777777" w:rsidR="00A648C5" w:rsidRPr="00A648C5" w:rsidRDefault="00A648C5" w:rsidP="00A648C5">
            <w:r w:rsidRPr="00A648C5">
              <w:t>Gabion (Wire Basket filled with stones)</w:t>
            </w:r>
          </w:p>
        </w:tc>
        <w:tc>
          <w:tcPr>
            <w:tcW w:w="0" w:type="auto"/>
            <w:vAlign w:val="center"/>
            <w:hideMark/>
          </w:tcPr>
          <w:p w14:paraId="2C448A6E" w14:textId="77777777" w:rsidR="00A648C5" w:rsidRPr="00A648C5" w:rsidRDefault="00A648C5" w:rsidP="00A648C5">
            <w:r w:rsidRPr="00A648C5">
              <w:t>Very common across all river classes, frequently cited in combinations.</w:t>
            </w:r>
          </w:p>
        </w:tc>
      </w:tr>
      <w:tr w:rsidR="00A648C5" w:rsidRPr="00A648C5" w14:paraId="1D973121" w14:textId="77777777">
        <w:tc>
          <w:tcPr>
            <w:tcW w:w="0" w:type="auto"/>
            <w:vAlign w:val="center"/>
            <w:hideMark/>
          </w:tcPr>
          <w:p w14:paraId="1D46F1A3" w14:textId="77777777" w:rsidR="00A648C5" w:rsidRPr="00A648C5" w:rsidRDefault="00A648C5" w:rsidP="00A648C5"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돌붙임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0AB71" w14:textId="77777777" w:rsidR="00A648C5" w:rsidRPr="00A648C5" w:rsidRDefault="00A648C5" w:rsidP="00A648C5">
            <w:r w:rsidRPr="00A648C5">
              <w:t>Stone Facing / Stone Placement</w:t>
            </w:r>
          </w:p>
        </w:tc>
        <w:tc>
          <w:tcPr>
            <w:tcW w:w="0" w:type="auto"/>
            <w:vAlign w:val="center"/>
            <w:hideMark/>
          </w:tcPr>
          <w:p w14:paraId="25ADF4DB" w14:textId="77777777" w:rsidR="00A648C5" w:rsidRPr="00A648C5" w:rsidRDefault="00A648C5" w:rsidP="00A648C5">
            <w:r w:rsidRPr="00A648C5">
              <w:t>Common, particularly noted in older structures or steep sections, including parts of the Nakdong River.</w:t>
            </w:r>
          </w:p>
        </w:tc>
      </w:tr>
      <w:tr w:rsidR="00A648C5" w:rsidRPr="00A648C5" w14:paraId="63BA49E5" w14:textId="77777777">
        <w:tc>
          <w:tcPr>
            <w:tcW w:w="0" w:type="auto"/>
            <w:vAlign w:val="center"/>
            <w:hideMark/>
          </w:tcPr>
          <w:p w14:paraId="4C4481F9" w14:textId="77777777" w:rsidR="00A648C5" w:rsidRPr="00A648C5" w:rsidRDefault="00A648C5" w:rsidP="00A648C5"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자연식생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B1621" w14:textId="77777777" w:rsidR="00A648C5" w:rsidRPr="00A648C5" w:rsidRDefault="00A648C5" w:rsidP="00A648C5">
            <w:r w:rsidRPr="00A648C5">
              <w:t>Natural Vegetation / Ecological</w:t>
            </w:r>
          </w:p>
        </w:tc>
        <w:tc>
          <w:tcPr>
            <w:tcW w:w="0" w:type="auto"/>
            <w:vAlign w:val="center"/>
            <w:hideMark/>
          </w:tcPr>
          <w:p w14:paraId="24CCE6AD" w14:textId="77777777" w:rsidR="00A648C5" w:rsidRPr="00A648C5" w:rsidRDefault="00A648C5" w:rsidP="00A648C5">
            <w:r w:rsidRPr="00A648C5">
              <w:t xml:space="preserve">Found in more rural or ecologically sensitive areas, sometimes mixed with hard structures (e.g., 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</w:rPr>
              <w:t>일광천</w:t>
            </w:r>
            <w:proofErr w:type="spellEnd"/>
            <w:r w:rsidRPr="00A648C5">
              <w:t xml:space="preserve">, 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</w:rPr>
              <w:t>맹산천</w:t>
            </w:r>
            <w:proofErr w:type="spellEnd"/>
            <w:r w:rsidRPr="00A648C5">
              <w:t>).</w:t>
            </w:r>
          </w:p>
        </w:tc>
      </w:tr>
    </w:tbl>
    <w:p w14:paraId="7CB1C83B" w14:textId="77777777" w:rsidR="00A648C5" w:rsidRPr="00A648C5" w:rsidRDefault="00A648C5" w:rsidP="00A648C5">
      <w:r w:rsidRPr="00A648C5">
        <w:t xml:space="preserve">The prevalence of composite materials (e.g., </w:t>
      </w:r>
      <w:proofErr w:type="spellStart"/>
      <w:proofErr w:type="gramStart"/>
      <w:r w:rsidRPr="00A648C5">
        <w:rPr>
          <w:rFonts w:ascii="Malgun Gothic" w:eastAsia="Malgun Gothic" w:hAnsi="Malgun Gothic" w:cs="Malgun Gothic" w:hint="eastAsia"/>
        </w:rPr>
        <w:t>돌쌓기</w:t>
      </w:r>
      <w:proofErr w:type="spellEnd"/>
      <w:r w:rsidRPr="00A648C5">
        <w:t>,</w:t>
      </w:r>
      <w:proofErr w:type="spellStart"/>
      <w:r w:rsidRPr="00A648C5">
        <w:rPr>
          <w:rFonts w:ascii="Malgun Gothic" w:eastAsia="Malgun Gothic" w:hAnsi="Malgun Gothic" w:cs="Malgun Gothic" w:hint="eastAsia"/>
        </w:rPr>
        <w:t>옹벽</w:t>
      </w:r>
      <w:proofErr w:type="spellEnd"/>
      <w:proofErr w:type="gramEnd"/>
      <w:r w:rsidRPr="00A648C5">
        <w:t xml:space="preserve">, </w:t>
      </w:r>
      <w:proofErr w:type="spellStart"/>
      <w:r w:rsidRPr="00A648C5">
        <w:rPr>
          <w:rFonts w:ascii="Malgun Gothic" w:eastAsia="Malgun Gothic" w:hAnsi="Malgun Gothic" w:cs="Malgun Gothic" w:hint="eastAsia"/>
        </w:rPr>
        <w:t>옹벽</w:t>
      </w:r>
      <w:proofErr w:type="spellEnd"/>
      <w:r w:rsidRPr="00A648C5">
        <w:t>/</w:t>
      </w:r>
      <w:proofErr w:type="spellStart"/>
      <w:r w:rsidRPr="00A648C5">
        <w:rPr>
          <w:rFonts w:ascii="Malgun Gothic" w:eastAsia="Malgun Gothic" w:hAnsi="Malgun Gothic" w:cs="Malgun Gothic" w:hint="eastAsia"/>
        </w:rPr>
        <w:t>석축</w:t>
      </w:r>
      <w:proofErr w:type="spellEnd"/>
      <w:r w:rsidRPr="00A648C5">
        <w:t>/</w:t>
      </w:r>
      <w:proofErr w:type="spellStart"/>
      <w:r w:rsidRPr="00A648C5">
        <w:rPr>
          <w:rFonts w:ascii="Malgun Gothic" w:eastAsia="Malgun Gothic" w:hAnsi="Malgun Gothic" w:cs="Malgun Gothic" w:hint="eastAsia"/>
        </w:rPr>
        <w:t>돌붙임</w:t>
      </w:r>
      <w:proofErr w:type="spellEnd"/>
      <w:r w:rsidRPr="00A648C5">
        <w:t xml:space="preserve">, </w:t>
      </w:r>
      <w:proofErr w:type="spellStart"/>
      <w:proofErr w:type="gramStart"/>
      <w:r w:rsidRPr="00A648C5">
        <w:rPr>
          <w:rFonts w:ascii="Malgun Gothic" w:eastAsia="Malgun Gothic" w:hAnsi="Malgun Gothic" w:cs="Malgun Gothic" w:hint="eastAsia"/>
        </w:rPr>
        <w:t>호안블럭</w:t>
      </w:r>
      <w:proofErr w:type="spellEnd"/>
      <w:r w:rsidRPr="00A648C5">
        <w:t>,</w:t>
      </w:r>
      <w:proofErr w:type="spellStart"/>
      <w:r w:rsidRPr="00A648C5">
        <w:rPr>
          <w:rFonts w:ascii="Malgun Gothic" w:eastAsia="Malgun Gothic" w:hAnsi="Malgun Gothic" w:cs="Malgun Gothic" w:hint="eastAsia"/>
        </w:rPr>
        <w:t>옹벽</w:t>
      </w:r>
      <w:proofErr w:type="spellEnd"/>
      <w:proofErr w:type="gramEnd"/>
      <w:r w:rsidRPr="00A648C5">
        <w:t xml:space="preserve">) indicates complex engineering solutions are typically implemented, adapting the </w:t>
      </w:r>
      <w:proofErr w:type="spellStart"/>
      <w:r w:rsidRPr="00A648C5">
        <w:t>defense</w:t>
      </w:r>
      <w:proofErr w:type="spellEnd"/>
      <w:r w:rsidRPr="00A648C5">
        <w:t xml:space="preserve"> structure type over a single stretch of river.</w:t>
      </w:r>
    </w:p>
    <w:p w14:paraId="4B5B6ACE" w14:textId="77777777" w:rsidR="00A648C5" w:rsidRPr="00A648C5" w:rsidRDefault="00A648C5" w:rsidP="00A648C5">
      <w:r w:rsidRPr="00A648C5">
        <w:t>2. Geographical Coverage (Provinces/Major Cities)</w:t>
      </w:r>
    </w:p>
    <w:p w14:paraId="0D1D45EB" w14:textId="77777777" w:rsidR="00A648C5" w:rsidRPr="00A648C5" w:rsidRDefault="00A648C5" w:rsidP="00A648C5">
      <w:r w:rsidRPr="00A648C5">
        <w:t>An introductory map or administrative breakdown would show the following concentration of activity based on the listed start addresses (</w:t>
      </w:r>
      <w:proofErr w:type="spellStart"/>
      <w:r w:rsidRPr="00A648C5">
        <w:t>staddr</w:t>
      </w:r>
      <w:proofErr w:type="spellEnd"/>
      <w:r w:rsidRPr="00A648C5"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729"/>
        <w:gridCol w:w="4177"/>
      </w:tblGrid>
      <w:tr w:rsidR="00A648C5" w:rsidRPr="00A648C5" w14:paraId="5E2B026F" w14:textId="77777777">
        <w:tc>
          <w:tcPr>
            <w:tcW w:w="0" w:type="auto"/>
            <w:vAlign w:val="center"/>
            <w:hideMark/>
          </w:tcPr>
          <w:p w14:paraId="370FFD1F" w14:textId="77777777" w:rsidR="00A648C5" w:rsidRPr="00A648C5" w:rsidRDefault="00A648C5" w:rsidP="00A648C5">
            <w:r w:rsidRPr="00A648C5">
              <w:t>Region (City/Province)</w:t>
            </w:r>
          </w:p>
        </w:tc>
        <w:tc>
          <w:tcPr>
            <w:tcW w:w="0" w:type="auto"/>
            <w:vAlign w:val="center"/>
            <w:hideMark/>
          </w:tcPr>
          <w:p w14:paraId="7B6E634D" w14:textId="77777777" w:rsidR="00A648C5" w:rsidRPr="00A648C5" w:rsidRDefault="00A648C5" w:rsidP="00A648C5">
            <w:r w:rsidRPr="00A648C5">
              <w:t>Example Rivers/Areas</w:t>
            </w:r>
          </w:p>
        </w:tc>
        <w:tc>
          <w:tcPr>
            <w:tcW w:w="0" w:type="auto"/>
            <w:vAlign w:val="center"/>
            <w:hideMark/>
          </w:tcPr>
          <w:p w14:paraId="54E48765" w14:textId="77777777" w:rsidR="00A648C5" w:rsidRPr="00A648C5" w:rsidRDefault="00A648C5" w:rsidP="00A648C5">
            <w:r w:rsidRPr="00A648C5">
              <w:t>Key Observations from Data</w:t>
            </w:r>
          </w:p>
        </w:tc>
      </w:tr>
      <w:tr w:rsidR="00A648C5" w:rsidRPr="00A648C5" w14:paraId="03C3F7A4" w14:textId="77777777">
        <w:tc>
          <w:tcPr>
            <w:tcW w:w="0" w:type="auto"/>
            <w:vAlign w:val="center"/>
            <w:hideMark/>
          </w:tcPr>
          <w:p w14:paraId="330946E0" w14:textId="77777777" w:rsidR="00A648C5" w:rsidRPr="00A648C5" w:rsidRDefault="00A648C5" w:rsidP="00A648C5">
            <w:r w:rsidRPr="00A648C5">
              <w:rPr>
                <w:b/>
              </w:rPr>
              <w:t>Seoul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서울특별시</w:t>
            </w:r>
            <w:proofErr w:type="spellEnd"/>
            <w:r w:rsidRPr="00A648C5">
              <w:rPr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F0BE18" w14:textId="77777777" w:rsidR="00A648C5" w:rsidRPr="00A648C5" w:rsidRDefault="00A648C5" w:rsidP="00A648C5">
            <w:r w:rsidRPr="00A648C5">
              <w:t xml:space="preserve">Han River, </w:t>
            </w:r>
            <w:proofErr w:type="spellStart"/>
            <w:r w:rsidRPr="00A648C5">
              <w:t>Yangjaecheon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Mukhocheon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Dorimcheon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Dobongcheon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95377" w14:textId="77777777" w:rsidR="00A648C5" w:rsidRPr="00A648C5" w:rsidRDefault="00A648C5" w:rsidP="00A648C5">
            <w:r w:rsidRPr="00A648C5">
              <w:t>Dense, fine-grained coverage, often featuring highly engineered solutions (retaining walls/concrete) due to high urbanization.</w:t>
            </w:r>
          </w:p>
        </w:tc>
      </w:tr>
      <w:tr w:rsidR="00A648C5" w:rsidRPr="00A648C5" w14:paraId="165C86FC" w14:textId="77777777">
        <w:tc>
          <w:tcPr>
            <w:tcW w:w="0" w:type="auto"/>
            <w:vAlign w:val="center"/>
            <w:hideMark/>
          </w:tcPr>
          <w:p w14:paraId="1000085A" w14:textId="77777777" w:rsidR="00A648C5" w:rsidRPr="00A648C5" w:rsidRDefault="00A648C5" w:rsidP="00A648C5">
            <w:r w:rsidRPr="00A648C5">
              <w:rPr>
                <w:b/>
              </w:rPr>
              <w:t>Gyeonggi-do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경기도</w:t>
            </w:r>
            <w:proofErr w:type="spellEnd"/>
            <w:r w:rsidRPr="00A648C5">
              <w:rPr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4D19E4" w14:textId="77777777" w:rsidR="00A648C5" w:rsidRPr="00A648C5" w:rsidRDefault="00A648C5" w:rsidP="00A648C5">
            <w:r w:rsidRPr="00A648C5">
              <w:t xml:space="preserve">Han River, </w:t>
            </w:r>
            <w:proofErr w:type="spellStart"/>
            <w:r w:rsidRPr="00A648C5">
              <w:t>Cheongmicheon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Sincheon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lastRenderedPageBreak/>
              <w:t>Gyopo</w:t>
            </w:r>
            <w:proofErr w:type="spellEnd"/>
            <w:r w:rsidRPr="00A648C5">
              <w:t xml:space="preserve"> Cheon, </w:t>
            </w:r>
            <w:proofErr w:type="spellStart"/>
            <w:r w:rsidRPr="00A648C5">
              <w:t>Jeongamcheon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73EAE" w14:textId="77777777" w:rsidR="00A648C5" w:rsidRPr="00A648C5" w:rsidRDefault="00A648C5" w:rsidP="00A648C5">
            <w:r w:rsidRPr="00A648C5">
              <w:lastRenderedPageBreak/>
              <w:t xml:space="preserve">Wide-ranging coverage, including long national river segments and localized repairs (Paju, Icheon, </w:t>
            </w:r>
            <w:proofErr w:type="spellStart"/>
            <w:r w:rsidRPr="00A648C5">
              <w:t>Gapyeong</w:t>
            </w:r>
            <w:proofErr w:type="spellEnd"/>
            <w:r w:rsidRPr="00A648C5">
              <w:t>).</w:t>
            </w:r>
          </w:p>
        </w:tc>
      </w:tr>
      <w:tr w:rsidR="00A648C5" w:rsidRPr="00A648C5" w14:paraId="175B1F56" w14:textId="77777777">
        <w:tc>
          <w:tcPr>
            <w:tcW w:w="0" w:type="auto"/>
            <w:vAlign w:val="center"/>
            <w:hideMark/>
          </w:tcPr>
          <w:p w14:paraId="76B328FE" w14:textId="77777777" w:rsidR="00A648C5" w:rsidRPr="00A648C5" w:rsidRDefault="00A648C5" w:rsidP="00A648C5">
            <w:r w:rsidRPr="00A648C5">
              <w:rPr>
                <w:b/>
              </w:rPr>
              <w:t>Busan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부산광역시</w:t>
            </w:r>
            <w:proofErr w:type="spellEnd"/>
            <w:r w:rsidRPr="00A648C5">
              <w:rPr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3881FF" w14:textId="77777777" w:rsidR="00A648C5" w:rsidRPr="00A648C5" w:rsidRDefault="00A648C5" w:rsidP="00A648C5">
            <w:r w:rsidRPr="00A648C5">
              <w:t xml:space="preserve">Nakdong River, </w:t>
            </w:r>
            <w:proofErr w:type="spellStart"/>
            <w:r w:rsidRPr="00A648C5">
              <w:t>Chuncheon</w:t>
            </w:r>
            <w:proofErr w:type="spellEnd"/>
            <w:r w:rsidRPr="00A648C5">
              <w:t xml:space="preserve">, Udoncheon, </w:t>
            </w:r>
            <w:proofErr w:type="spellStart"/>
            <w:r w:rsidRPr="00A648C5">
              <w:t>Jwagwangcheon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FF8DD" w14:textId="77777777" w:rsidR="00A648C5" w:rsidRPr="00A648C5" w:rsidRDefault="00A648C5" w:rsidP="00A648C5">
            <w:r w:rsidRPr="00A648C5">
              <w:t>Focus on major river sections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</w:rPr>
              <w:t>낙동강</w:t>
            </w:r>
            <w:proofErr w:type="spellEnd"/>
            <w:r w:rsidRPr="00A648C5">
              <w:t xml:space="preserve"> - National) and local streams feeding the sea.</w:t>
            </w:r>
          </w:p>
        </w:tc>
      </w:tr>
      <w:tr w:rsidR="00A648C5" w:rsidRPr="00A648C5" w14:paraId="2AB420BB" w14:textId="77777777">
        <w:tc>
          <w:tcPr>
            <w:tcW w:w="0" w:type="auto"/>
            <w:vAlign w:val="center"/>
            <w:hideMark/>
          </w:tcPr>
          <w:p w14:paraId="1DCDF30C" w14:textId="77777777" w:rsidR="00A648C5" w:rsidRPr="00A648C5" w:rsidRDefault="00A648C5" w:rsidP="00A648C5">
            <w:r w:rsidRPr="00A648C5">
              <w:rPr>
                <w:b/>
              </w:rPr>
              <w:t>Daejeon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대전광역시</w:t>
            </w:r>
            <w:proofErr w:type="spellEnd"/>
            <w:r w:rsidRPr="00A648C5">
              <w:rPr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F1CDCF" w14:textId="77777777" w:rsidR="00A648C5" w:rsidRPr="00A648C5" w:rsidRDefault="00A648C5" w:rsidP="00A648C5">
            <w:proofErr w:type="spellStart"/>
            <w:r w:rsidRPr="00A648C5">
              <w:t>Daedongcheon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Yudongcheon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Tandoncheon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12563" w14:textId="77777777" w:rsidR="00A648C5" w:rsidRPr="00A648C5" w:rsidRDefault="00A648C5" w:rsidP="00A648C5">
            <w:r w:rsidRPr="00A648C5">
              <w:t>Significant presence on national rivers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</w:rPr>
              <w:t>유등천</w:t>
            </w:r>
            <w:proofErr w:type="spellEnd"/>
            <w:r w:rsidRPr="00A648C5">
              <w:t>) and urban tributaries.</w:t>
            </w:r>
          </w:p>
        </w:tc>
      </w:tr>
      <w:tr w:rsidR="00A648C5" w:rsidRPr="00A648C5" w14:paraId="39511088" w14:textId="77777777">
        <w:tc>
          <w:tcPr>
            <w:tcW w:w="0" w:type="auto"/>
            <w:vAlign w:val="center"/>
            <w:hideMark/>
          </w:tcPr>
          <w:p w14:paraId="5B587C1A" w14:textId="77777777" w:rsidR="00A648C5" w:rsidRPr="00A648C5" w:rsidRDefault="00A648C5" w:rsidP="00A648C5">
            <w:r w:rsidRPr="00A648C5">
              <w:rPr>
                <w:b/>
              </w:rPr>
              <w:t>Gangwon-do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강원도</w:t>
            </w:r>
            <w:proofErr w:type="spellEnd"/>
            <w:r w:rsidRPr="00A648C5">
              <w:rPr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9DC6F0" w14:textId="77777777" w:rsidR="00A648C5" w:rsidRPr="00A648C5" w:rsidRDefault="00A648C5" w:rsidP="00A648C5">
            <w:proofErr w:type="spellStart"/>
            <w:r w:rsidRPr="00A648C5">
              <w:t>Bukhangang</w:t>
            </w:r>
            <w:proofErr w:type="spellEnd"/>
            <w:r w:rsidRPr="00A648C5">
              <w:t xml:space="preserve">, Hongcheon River, </w:t>
            </w:r>
            <w:proofErr w:type="spellStart"/>
            <w:r w:rsidRPr="00A648C5">
              <w:t>Imgyecheon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Namdaecheon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5C8B0" w14:textId="77777777" w:rsidR="00A648C5" w:rsidRPr="00A648C5" w:rsidRDefault="00A648C5" w:rsidP="00A648C5">
            <w:r w:rsidRPr="00A648C5">
              <w:t xml:space="preserve">Extensive records, particularly around </w:t>
            </w:r>
            <w:proofErr w:type="spellStart"/>
            <w:r w:rsidRPr="00A648C5">
              <w:t>Chuncheon</w:t>
            </w:r>
            <w:proofErr w:type="spellEnd"/>
            <w:r w:rsidRPr="00A648C5">
              <w:t xml:space="preserve"> and the eastern coast (Gangneung, Donghae, </w:t>
            </w:r>
            <w:proofErr w:type="spellStart"/>
            <w:r w:rsidRPr="00A648C5">
              <w:t>Samcheok</w:t>
            </w:r>
            <w:proofErr w:type="spellEnd"/>
            <w:r w:rsidRPr="00A648C5">
              <w:t>), utilizing diverse natural and hard materials.</w:t>
            </w:r>
          </w:p>
        </w:tc>
      </w:tr>
      <w:tr w:rsidR="00A648C5" w:rsidRPr="00A648C5" w14:paraId="65F2B95C" w14:textId="77777777">
        <w:tc>
          <w:tcPr>
            <w:tcW w:w="0" w:type="auto"/>
            <w:vAlign w:val="center"/>
            <w:hideMark/>
          </w:tcPr>
          <w:p w14:paraId="75F41056" w14:textId="77777777" w:rsidR="00A648C5" w:rsidRPr="00A648C5" w:rsidRDefault="00A648C5" w:rsidP="00A648C5">
            <w:proofErr w:type="spellStart"/>
            <w:r w:rsidRPr="00A648C5">
              <w:rPr>
                <w:b/>
              </w:rPr>
              <w:t>Chungcheongbuk</w:t>
            </w:r>
            <w:proofErr w:type="spellEnd"/>
            <w:r w:rsidRPr="00A648C5">
              <w:rPr>
                <w:b/>
              </w:rPr>
              <w:t>-do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충북</w:t>
            </w:r>
            <w:proofErr w:type="spellEnd"/>
            <w:r w:rsidRPr="00A648C5">
              <w:rPr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23B8C4" w14:textId="77777777" w:rsidR="00A648C5" w:rsidRPr="00A648C5" w:rsidRDefault="00A648C5" w:rsidP="00A648C5">
            <w:r w:rsidRPr="00A648C5">
              <w:t xml:space="preserve">Geum River, </w:t>
            </w:r>
            <w:proofErr w:type="spellStart"/>
            <w:r w:rsidRPr="00A648C5">
              <w:t>Mihocheon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Yeongdongcheon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4050F" w14:textId="77777777" w:rsidR="00A648C5" w:rsidRPr="00A648C5" w:rsidRDefault="00A648C5" w:rsidP="00A648C5">
            <w:r w:rsidRPr="00A648C5">
              <w:t>Records concentrated around Cheongju, Chungju, and areas along the upper Geum River basin.</w:t>
            </w:r>
          </w:p>
        </w:tc>
      </w:tr>
      <w:tr w:rsidR="00A648C5" w:rsidRPr="00A648C5" w14:paraId="0DE3FF29" w14:textId="77777777">
        <w:tc>
          <w:tcPr>
            <w:tcW w:w="0" w:type="auto"/>
            <w:vAlign w:val="center"/>
            <w:hideMark/>
          </w:tcPr>
          <w:p w14:paraId="2BBDDF02" w14:textId="77777777" w:rsidR="00A648C5" w:rsidRPr="00A648C5" w:rsidRDefault="00A648C5" w:rsidP="00A648C5">
            <w:proofErr w:type="spellStart"/>
            <w:r w:rsidRPr="00A648C5">
              <w:rPr>
                <w:b/>
              </w:rPr>
              <w:t>Jeollabuk</w:t>
            </w:r>
            <w:proofErr w:type="spellEnd"/>
            <w:r w:rsidRPr="00A648C5">
              <w:rPr>
                <w:b/>
              </w:rPr>
              <w:t>-do (</w:t>
            </w:r>
            <w:proofErr w:type="spellStart"/>
            <w:r w:rsidRPr="00A648C5">
              <w:rPr>
                <w:rFonts w:ascii="Malgun Gothic" w:eastAsia="Malgun Gothic" w:hAnsi="Malgun Gothic" w:cs="Malgun Gothic" w:hint="eastAsia"/>
                <w:b/>
              </w:rPr>
              <w:t>전북</w:t>
            </w:r>
            <w:proofErr w:type="spellEnd"/>
            <w:r w:rsidRPr="00A648C5">
              <w:rPr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210860" w14:textId="77777777" w:rsidR="00A648C5" w:rsidRPr="00A648C5" w:rsidRDefault="00A648C5" w:rsidP="00A648C5">
            <w:proofErr w:type="spellStart"/>
            <w:r w:rsidRPr="00A648C5">
              <w:t>Mangyeonggang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Seomjingang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Jeonjucheon</w:t>
            </w:r>
            <w:proofErr w:type="spellEnd"/>
            <w:r w:rsidRPr="00A648C5">
              <w:t xml:space="preserve">, </w:t>
            </w:r>
            <w:proofErr w:type="spellStart"/>
            <w:r w:rsidRPr="00A648C5">
              <w:t>Nonsancheon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B0AA4" w14:textId="77777777" w:rsidR="00A648C5" w:rsidRPr="00A648C5" w:rsidRDefault="00A648C5" w:rsidP="00A648C5">
            <w:r w:rsidRPr="00A648C5">
              <w:t xml:space="preserve">High density across metropolitan areas (Jeonju, </w:t>
            </w:r>
            <w:proofErr w:type="spellStart"/>
            <w:r w:rsidRPr="00A648C5">
              <w:t>Iksan</w:t>
            </w:r>
            <w:proofErr w:type="spellEnd"/>
            <w:r w:rsidRPr="00A648C5">
              <w:t>) and rural regions (</w:t>
            </w:r>
            <w:proofErr w:type="spellStart"/>
            <w:r w:rsidRPr="00A648C5">
              <w:t>Wanju</w:t>
            </w:r>
            <w:proofErr w:type="spellEnd"/>
            <w:r w:rsidRPr="00A648C5">
              <w:t xml:space="preserve">, Namwon, </w:t>
            </w:r>
            <w:proofErr w:type="spellStart"/>
            <w:r w:rsidRPr="00A648C5">
              <w:t>Gimje</w:t>
            </w:r>
            <w:proofErr w:type="spellEnd"/>
            <w:r w:rsidRPr="00A648C5">
              <w:t>).</w:t>
            </w:r>
          </w:p>
        </w:tc>
      </w:tr>
    </w:tbl>
    <w:p w14:paraId="7EC0899A" w14:textId="77777777" w:rsidR="00A648C5" w:rsidRPr="00A648C5" w:rsidRDefault="00A648C5" w:rsidP="00A648C5">
      <w:r w:rsidRPr="00A648C5">
        <w:t>These patterns collectively suggest that the database captures the full complexity of South Korea’s flood risk landscape, documenting major infrastructural projects alongside highly specific, localized protection efforts.</w:t>
      </w:r>
    </w:p>
    <w:p w14:paraId="23EB9E3A" w14:textId="77777777" w:rsidR="0049594C" w:rsidRDefault="0049594C"/>
    <w:sectPr w:rsidR="0049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A2C04"/>
    <w:multiLevelType w:val="multilevel"/>
    <w:tmpl w:val="6284CAB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554" w:hanging="576"/>
      </w:pPr>
    </w:lvl>
    <w:lvl w:ilvl="2">
      <w:start w:val="1"/>
      <w:numFmt w:val="decimal"/>
      <w:lvlText w:val="%1.%2.%3"/>
      <w:lvlJc w:val="left"/>
      <w:pPr>
        <w:ind w:left="297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366BBC"/>
    <w:multiLevelType w:val="hybridMultilevel"/>
    <w:tmpl w:val="017EA1E6"/>
    <w:lvl w:ilvl="0" w:tplc="50764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4DC4"/>
    <w:multiLevelType w:val="multilevel"/>
    <w:tmpl w:val="A562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0291404">
    <w:abstractNumId w:val="1"/>
  </w:num>
  <w:num w:numId="2" w16cid:durableId="909001567">
    <w:abstractNumId w:val="2"/>
  </w:num>
  <w:num w:numId="3" w16cid:durableId="1411080103">
    <w:abstractNumId w:val="0"/>
  </w:num>
  <w:num w:numId="4" w16cid:durableId="381291540">
    <w:abstractNumId w:val="0"/>
  </w:num>
  <w:num w:numId="5" w16cid:durableId="1103919480">
    <w:abstractNumId w:val="0"/>
  </w:num>
  <w:num w:numId="6" w16cid:durableId="1275561">
    <w:abstractNumId w:val="0"/>
  </w:num>
  <w:num w:numId="7" w16cid:durableId="478496559">
    <w:abstractNumId w:val="0"/>
  </w:num>
  <w:num w:numId="8" w16cid:durableId="729621183">
    <w:abstractNumId w:val="0"/>
  </w:num>
  <w:num w:numId="9" w16cid:durableId="1155030040">
    <w:abstractNumId w:val="0"/>
  </w:num>
  <w:num w:numId="10" w16cid:durableId="246578830">
    <w:abstractNumId w:val="0"/>
  </w:num>
  <w:num w:numId="11" w16cid:durableId="1063059719">
    <w:abstractNumId w:val="0"/>
  </w:num>
  <w:num w:numId="12" w16cid:durableId="1842354217">
    <w:abstractNumId w:val="0"/>
  </w:num>
  <w:num w:numId="13" w16cid:durableId="999038203">
    <w:abstractNumId w:val="0"/>
  </w:num>
  <w:num w:numId="14" w16cid:durableId="231279330">
    <w:abstractNumId w:val="0"/>
  </w:num>
  <w:num w:numId="15" w16cid:durableId="121570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C5"/>
    <w:rsid w:val="00017B83"/>
    <w:rsid w:val="00060FDB"/>
    <w:rsid w:val="001165EA"/>
    <w:rsid w:val="00173BFD"/>
    <w:rsid w:val="002B0A4E"/>
    <w:rsid w:val="002E6DFD"/>
    <w:rsid w:val="00310889"/>
    <w:rsid w:val="00337DCB"/>
    <w:rsid w:val="0049594C"/>
    <w:rsid w:val="00530940"/>
    <w:rsid w:val="005321A8"/>
    <w:rsid w:val="008E6F23"/>
    <w:rsid w:val="00A648C5"/>
    <w:rsid w:val="00AC1B81"/>
    <w:rsid w:val="00AD2095"/>
    <w:rsid w:val="00BD6C4E"/>
    <w:rsid w:val="00D117BE"/>
    <w:rsid w:val="00E1476C"/>
    <w:rsid w:val="00FA25FD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D81DA"/>
  <w15:chartTrackingRefBased/>
  <w15:docId w15:val="{43FD5219-FF8A-4053-9DA1-D2561A32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76C"/>
    <w:pPr>
      <w:keepNext/>
      <w:keepLines/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476C"/>
    <w:pPr>
      <w:keepNext/>
      <w:keepLines/>
      <w:numPr>
        <w:ilvl w:val="1"/>
        <w:numId w:val="1"/>
      </w:numPr>
      <w:spacing w:before="40" w:after="0"/>
      <w:ind w:left="576" w:hanging="576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476C"/>
    <w:pPr>
      <w:keepNext/>
      <w:keepLines/>
      <w:numPr>
        <w:ilvl w:val="2"/>
        <w:numId w:val="1"/>
      </w:numPr>
      <w:spacing w:before="40" w:after="0"/>
      <w:ind w:left="720" w:hanging="720"/>
      <w:outlineLvl w:val="2"/>
    </w:pPr>
    <w:rPr>
      <w:rFonts w:eastAsiaTheme="majorEastAsia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76C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C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C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C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C5"/>
    <w:pPr>
      <w:keepNext/>
      <w:keepLines/>
      <w:spacing w:before="0"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C5"/>
    <w:pPr>
      <w:keepNext/>
      <w:keepLines/>
      <w:spacing w:before="0"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76C"/>
    <w:rPr>
      <w:rFonts w:eastAsiaTheme="majorEastAsia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B8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76C"/>
    <w:rPr>
      <w:rFonts w:eastAsiaTheme="majorEastAsia"/>
      <w:b/>
      <w:sz w:val="26"/>
      <w:szCs w:val="24"/>
    </w:rPr>
  </w:style>
  <w:style w:type="paragraph" w:styleId="NoSpacing">
    <w:name w:val="No Spacing"/>
    <w:autoRedefine/>
    <w:uiPriority w:val="1"/>
    <w:qFormat/>
    <w:rsid w:val="00AC1B81"/>
    <w:pPr>
      <w:spacing w:after="0" w:line="240" w:lineRule="auto"/>
      <w:ind w:firstLine="720"/>
    </w:pPr>
  </w:style>
  <w:style w:type="character" w:customStyle="1" w:styleId="Heading4Char">
    <w:name w:val="Heading 4 Char"/>
    <w:basedOn w:val="DefaultParagraphFont"/>
    <w:link w:val="Heading4"/>
    <w:uiPriority w:val="9"/>
    <w:rsid w:val="00AC1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C5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C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C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C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C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8C5"/>
    <w:pPr>
      <w:spacing w:before="0"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8C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8C5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8C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8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8C5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931</Words>
  <Characters>4886</Characters>
  <Application>Microsoft Office Word</Application>
  <DocSecurity>0</DocSecurity>
  <Lines>141</Lines>
  <Paragraphs>68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Dhasmana</dc:creator>
  <cp:keywords/>
  <dc:description/>
  <cp:lastModifiedBy>Manish Kumar Dhasmana</cp:lastModifiedBy>
  <cp:revision>1</cp:revision>
  <dcterms:created xsi:type="dcterms:W3CDTF">2025-10-21T04:50:00Z</dcterms:created>
  <dcterms:modified xsi:type="dcterms:W3CDTF">2025-10-21T04:56:00Z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3dfa054b-afc6-4201-95b3-2dff2dde6580</vt:lpwstr>
  </property>
</Properties>
</file>