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159D" w14:textId="77777777" w:rsidR="00D115BF" w:rsidRDefault="00000000">
      <w:pPr>
        <w:pStyle w:val="Heading1"/>
      </w:pPr>
      <w:r>
        <w:t>Statement of Work (SOW)</w:t>
      </w:r>
      <w:r>
        <w:br/>
        <w:t>Managed Security Operations Services</w:t>
      </w:r>
    </w:p>
    <w:p w14:paraId="7499E9E5" w14:textId="1821F90E" w:rsidR="00D115BF" w:rsidRDefault="00000000">
      <w:r>
        <w:rPr>
          <w:b/>
        </w:rPr>
        <w:t xml:space="preserve">Document Status: </w:t>
      </w:r>
      <w:r w:rsidR="007845E0">
        <w:t>approved</w:t>
      </w:r>
      <w:r>
        <w:br/>
      </w:r>
      <w:r>
        <w:rPr>
          <w:b/>
        </w:rPr>
        <w:t xml:space="preserve">Customer: </w:t>
      </w:r>
      <w:r>
        <w:t>NovaRetail Software Solutions Pvt. Ltd.</w:t>
      </w:r>
      <w:r>
        <w:br/>
      </w:r>
      <w:r>
        <w:rPr>
          <w:b/>
        </w:rPr>
        <w:t xml:space="preserve">Service Provider: </w:t>
      </w:r>
      <w:r>
        <w:t>Sentinel Crest Cyber Defense Services Pvt. Ltd.</w:t>
      </w:r>
      <w:r>
        <w:br/>
        <w:t>Effective Date: 01 August 2026</w:t>
      </w:r>
      <w:r>
        <w:br/>
        <w:t>Term: 24 Months</w:t>
      </w:r>
      <w:r>
        <w:br/>
      </w:r>
    </w:p>
    <w:p w14:paraId="4FAEE96E" w14:textId="77777777" w:rsidR="00D115BF" w:rsidRDefault="00000000">
      <w:pPr>
        <w:pStyle w:val="Heading2"/>
      </w:pPr>
      <w:r>
        <w:t>1. Purpose</w:t>
      </w:r>
    </w:p>
    <w:p w14:paraId="043E08E4" w14:textId="77777777" w:rsidR="00D115BF" w:rsidRDefault="00000000">
      <w:r>
        <w:t>This Statement of Work (SOW) defines the managed cybersecurity services to be delivered by Sentinel Crest Cyber Defense Services Pvt. Ltd. to NovaRetail Software Solutions Pvt. Ltd. The document is intended to establish responsibilities, scope, deliverables, assumptions, governance, commercial expectations, and service levels for Security Operations Center (SOC), Threat Intelligence (TI), Threat Hunting (TH), Incident Response (IR), SIEM engineering, and related security services.</w:t>
      </w:r>
      <w:r>
        <w:br/>
      </w:r>
    </w:p>
    <w:p w14:paraId="5AE7C3D4" w14:textId="77777777" w:rsidR="00D115BF" w:rsidRDefault="00000000">
      <w:pPr>
        <w:pStyle w:val="Heading2"/>
      </w:pPr>
      <w:r>
        <w:t>2. Customer Environment</w:t>
      </w:r>
    </w:p>
    <w:p w14:paraId="08509447" w14:textId="77777777" w:rsidR="00D115BF" w:rsidRDefault="00000000">
      <w:r>
        <w:t>Approximately 4,800 employees across North America, Europe, and APAC. Hybrid cloud environment using Microsoft Azure and AWS, Microsoft Sentinel SIEM, Microsoft Defender XDR, Entra ID, Palo Alto firewalls, Zscaler Internet Access, CrowdStrike Falcon, Qualys VMDR, Microsoft 365, SAP workloads, Kubernetes clusters, and approximately 7 TB of security logs ingested daily.</w:t>
      </w:r>
      <w:r>
        <w:br/>
      </w:r>
    </w:p>
    <w:p w14:paraId="16552FBA" w14:textId="77777777" w:rsidR="00D115BF" w:rsidRDefault="00000000">
      <w:pPr>
        <w:pStyle w:val="Heading2"/>
      </w:pPr>
      <w:r>
        <w:t>3. Scope of Services</w:t>
      </w:r>
    </w:p>
    <w:p w14:paraId="5D14B46E" w14:textId="77777777" w:rsidR="00D115BF" w:rsidRDefault="00000000">
      <w:r>
        <w:t>24x7 Security Operations Center monitoring.</w:t>
      </w:r>
      <w:r>
        <w:br/>
        <w:t>Alert triage, investigation and escalation.</w:t>
      </w:r>
      <w:r>
        <w:br/>
        <w:t>Microsoft Sentinel administration and content engineering.</w:t>
      </w:r>
      <w:r>
        <w:br/>
        <w:t>Threat Intelligence collection, enrichment and dissemination.</w:t>
      </w:r>
      <w:r>
        <w:br/>
        <w:t>Proactive Threat Hunting aligned to MITRE ATT&amp;CK.</w:t>
      </w:r>
      <w:r>
        <w:br/>
        <w:t>Digital Incident Response coordination.</w:t>
      </w:r>
      <w:r>
        <w:br/>
        <w:t>Detection engineering and use case development.</w:t>
      </w:r>
      <w:r>
        <w:br/>
        <w:t>Monthly security posture reporting.</w:t>
      </w:r>
      <w:r>
        <w:br/>
        <w:t>Support for security audits and customer questionnaires.</w:t>
      </w:r>
      <w:r>
        <w:br/>
        <w:t>Limited support for cloud security monitoring.</w:t>
      </w:r>
      <w:r>
        <w:br/>
      </w:r>
    </w:p>
    <w:p w14:paraId="7E5AD332" w14:textId="77777777" w:rsidR="00D115BF" w:rsidRDefault="00000000">
      <w:pPr>
        <w:pStyle w:val="Heading2"/>
      </w:pPr>
      <w:r>
        <w:t>4. Deliverables</w:t>
      </w:r>
    </w:p>
    <w:p w14:paraId="7D65334D" w14:textId="77777777" w:rsidR="00D115BF" w:rsidRDefault="00000000">
      <w:r>
        <w:t>Daily incident queue review.</w:t>
      </w:r>
      <w:r>
        <w:br/>
        <w:t>Weekly threat hunting report.</w:t>
      </w:r>
      <w:r>
        <w:br/>
        <w:t>Monthly SOC operational report.</w:t>
      </w:r>
      <w:r>
        <w:br/>
        <w:t>Executive dashboard.</w:t>
      </w:r>
      <w:r>
        <w:br/>
        <w:t>Quarterly service review.</w:t>
      </w:r>
      <w:r>
        <w:br/>
        <w:t>Detection coverage assessment.</w:t>
      </w:r>
      <w:r>
        <w:br/>
        <w:t>Playbooks and SOP updates.</w:t>
      </w:r>
      <w:r>
        <w:br/>
      </w:r>
      <w:r>
        <w:lastRenderedPageBreak/>
        <w:t>Knowledge transfer sessions.</w:t>
      </w:r>
      <w:r>
        <w:br/>
        <w:t>Runbooks for critical use cases.</w:t>
      </w:r>
      <w:r>
        <w:br/>
      </w:r>
    </w:p>
    <w:p w14:paraId="2E6E00D8" w14:textId="77777777" w:rsidR="00D115BF" w:rsidRDefault="00000000">
      <w:pPr>
        <w:pStyle w:val="Heading2"/>
      </w:pPr>
      <w:r>
        <w:t>5. Service Levels</w:t>
      </w:r>
    </w:p>
    <w:p w14:paraId="4D231949" w14:textId="77777777" w:rsidR="00D115BF" w:rsidRDefault="00000000">
      <w:r>
        <w:t>Critical incidents acknowledged within 15 minutes and initial analysis within 30 minutes.</w:t>
      </w:r>
      <w:r>
        <w:br/>
        <w:t>High severity within 30 minutes.</w:t>
      </w:r>
      <w:r>
        <w:br/>
        <w:t>Medium within 4 hours.</w:t>
      </w:r>
      <w:r>
        <w:br/>
        <w:t>Low within next business day.</w:t>
      </w:r>
      <w:r>
        <w:br/>
        <w:t>Availability target for SOC service: 99.9%.</w:t>
      </w:r>
      <w:r>
        <w:br/>
      </w:r>
    </w:p>
    <w:p w14:paraId="568DF5E9" w14:textId="77777777" w:rsidR="00D115BF" w:rsidRDefault="00000000">
      <w:pPr>
        <w:pStyle w:val="Heading2"/>
      </w:pPr>
      <w:r>
        <w:t>6. Roles and Responsibilities</w:t>
      </w:r>
    </w:p>
    <w:p w14:paraId="1F1FD72B" w14:textId="77777777" w:rsidR="00D115BF" w:rsidRDefault="00000000">
      <w:r>
        <w:t>Provider: SOC Analysts L1-L3, Threat Hunter, Threat Intelligence Analyst, Incident Responder, SIEM Engineer, Service Delivery Manager.</w:t>
      </w:r>
      <w:r>
        <w:br/>
        <w:t>Customer: Security Manager, Infrastructure Team, Identity Team, Cloud Team, Application Owners, Executive Sponsor.</w:t>
      </w:r>
      <w:r>
        <w:br/>
      </w:r>
    </w:p>
    <w:p w14:paraId="238E5933" w14:textId="77777777" w:rsidR="00D115BF" w:rsidRDefault="00000000">
      <w:pPr>
        <w:pStyle w:val="Heading2"/>
      </w:pPr>
      <w:r>
        <w:t>7. Governance</w:t>
      </w:r>
    </w:p>
    <w:p w14:paraId="2700C56E" w14:textId="77777777" w:rsidR="00D115BF" w:rsidRDefault="00000000">
      <w:r>
        <w:t>Weekly operational meeting.</w:t>
      </w:r>
      <w:r>
        <w:br/>
        <w:t>Monthly service review.</w:t>
      </w:r>
      <w:r>
        <w:br/>
        <w:t>Quarterly executive governance review.</w:t>
      </w:r>
      <w:r>
        <w:br/>
        <w:t>Ad hoc meetings may be scheduled based on business priorities.</w:t>
      </w:r>
      <w:r>
        <w:br/>
      </w:r>
    </w:p>
    <w:p w14:paraId="63A2E6DF" w14:textId="77777777" w:rsidR="00D115BF" w:rsidRDefault="00000000">
      <w:pPr>
        <w:pStyle w:val="Heading2"/>
      </w:pPr>
      <w:r>
        <w:t>8. Assumptions</w:t>
      </w:r>
    </w:p>
    <w:p w14:paraId="7B7FF803" w14:textId="77777777" w:rsidR="00D115BF" w:rsidRDefault="00000000">
      <w:r>
        <w:t>Customer will provide required administrative access, asset inventory, network connectivity, log sources and designated points of contact.</w:t>
      </w:r>
      <w:r>
        <w:br/>
        <w:t>Required licenses are expected to remain valid throughout the engagement.</w:t>
      </w:r>
      <w:r>
        <w:br/>
        <w:t>Changes outside the agreed scope may require commercial review.</w:t>
      </w:r>
      <w:r>
        <w:br/>
        <w:t>Some integrations may depend on third-party vendors and timelines outside the provider's control.</w:t>
      </w:r>
      <w:r>
        <w:br/>
      </w:r>
    </w:p>
    <w:p w14:paraId="775A86B8" w14:textId="77777777" w:rsidR="00D115BF" w:rsidRDefault="00000000">
      <w:pPr>
        <w:pStyle w:val="Heading2"/>
      </w:pPr>
      <w:r>
        <w:t>9. Exclusions</w:t>
      </w:r>
    </w:p>
    <w:p w14:paraId="66EF35F4" w14:textId="77777777" w:rsidR="00D115BF" w:rsidRDefault="00000000">
      <w:r>
        <w:t>OT monitoring, red teaming, penetration testing, malware reverse engineering, forensic imaging, compliance consulting, security awareness training unless separately agreed.</w:t>
      </w:r>
      <w:r>
        <w:br/>
      </w:r>
    </w:p>
    <w:p w14:paraId="01F5CE40" w14:textId="77777777" w:rsidR="00D115BF" w:rsidRDefault="00000000">
      <w:pPr>
        <w:pStyle w:val="Heading2"/>
      </w:pPr>
      <w:r>
        <w:t>10. Transition Plan</w:t>
      </w:r>
    </w:p>
    <w:p w14:paraId="4DF62359" w14:textId="77777777" w:rsidR="00D115BF" w:rsidRDefault="00000000">
      <w:r>
        <w:t>Discovery, onboarding, knowledge transfer, use-case validation, hypercare for 30 days, then transition to BAU.</w:t>
      </w:r>
      <w:r>
        <w:br/>
      </w:r>
    </w:p>
    <w:p w14:paraId="76B6ECB7" w14:textId="77777777" w:rsidR="00D115BF" w:rsidRDefault="00000000">
      <w:pPr>
        <w:pStyle w:val="Heading2"/>
      </w:pPr>
      <w:r>
        <w:lastRenderedPageBreak/>
        <w:t>11. Commercial Model</w:t>
      </w:r>
    </w:p>
    <w:p w14:paraId="62A42216" w14:textId="77777777" w:rsidR="00D115BF" w:rsidRDefault="00000000">
      <w:r>
        <w:t>Fixed monthly managed service fee with optional consumption-based engineering work.</w:t>
      </w:r>
      <w:r>
        <w:br/>
        <w:t>Travel, emergency onsite support and major project activities may be billed separately.</w:t>
      </w:r>
      <w:r>
        <w:br/>
      </w:r>
    </w:p>
    <w:p w14:paraId="4DBC9EB3" w14:textId="77777777" w:rsidR="00D115BF" w:rsidRDefault="00000000">
      <w:pPr>
        <w:pStyle w:val="Heading2"/>
      </w:pPr>
      <w:r>
        <w:t>12. Open Items / Intentional Ambiguities</w:t>
      </w:r>
    </w:p>
    <w:p w14:paraId="58212AC4" w14:textId="77777777" w:rsidR="00D115BF" w:rsidRDefault="00000000">
      <w:r>
        <w:t>The provider will make commercially reasonable efforts to onboard additional log sources as requested.</w:t>
      </w:r>
      <w:r>
        <w:br/>
        <w:t>Threat hunting frequency may be adjusted based on the evolving threat landscape.</w:t>
      </w:r>
      <w:r>
        <w:br/>
        <w:t>Additional integrations will be prioritized jointly by both parties.</w:t>
      </w:r>
      <w:r>
        <w:br/>
        <w:t>The definition of critical business applications may be refined during onboarding.</w:t>
      </w:r>
      <w:r>
        <w:br/>
        <w:t>The provider may recommend additional security controls where deemed appropriate.</w:t>
      </w:r>
      <w:r>
        <w:br/>
        <w:t>Automation opportunities will be evaluated periodically.</w:t>
      </w:r>
      <w:r>
        <w:br/>
        <w:t>Resource allocation may be adjusted to meet operational requirements.</w:t>
      </w:r>
      <w:r>
        <w:br/>
        <w:t>Reporting format may evolve over time based on stakeholder feedback.</w:t>
      </w:r>
      <w:r>
        <w:br/>
      </w:r>
    </w:p>
    <w:p w14:paraId="0B729712" w14:textId="77777777" w:rsidR="00D115BF" w:rsidRDefault="00000000">
      <w:pPr>
        <w:pStyle w:val="Heading2"/>
      </w:pPr>
      <w:r>
        <w:t>13. Risk Register</w:t>
      </w:r>
    </w:p>
    <w:p w14:paraId="461A364D" w14:textId="77777777" w:rsidR="00D115BF" w:rsidRDefault="00000000">
      <w:r>
        <w:t>Incomplete log onboarding.</w:t>
      </w:r>
      <w:r>
        <w:br/>
        <w:t>Third-party API limitations.</w:t>
      </w:r>
      <w:r>
        <w:br/>
        <w:t>Delayed customer approvals.</w:t>
      </w:r>
      <w:r>
        <w:br/>
        <w:t>Cloud service outages.</w:t>
      </w:r>
      <w:r>
        <w:br/>
        <w:t>Unexpected increase in alert volume.</w:t>
      </w:r>
      <w:r>
        <w:br/>
      </w:r>
    </w:p>
    <w:p w14:paraId="76A1FA9E" w14:textId="77777777" w:rsidR="00D115BF" w:rsidRDefault="00000000">
      <w:pPr>
        <w:pStyle w:val="Heading2"/>
      </w:pPr>
      <w:r>
        <w:t>14. Acceptance Criteria</w:t>
      </w:r>
    </w:p>
    <w:p w14:paraId="3F1866A6" w14:textId="77777777" w:rsidR="00D115BF" w:rsidRDefault="00000000">
      <w:r>
        <w:t>Deliverables shall be deemed accepted if no material objections are raised within five business days after delivery.</w:t>
      </w:r>
      <w:r>
        <w:br/>
      </w:r>
    </w:p>
    <w:p w14:paraId="2626D3D6" w14:textId="77777777" w:rsidR="00D115BF" w:rsidRDefault="00000000">
      <w:pPr>
        <w:pStyle w:val="Heading2"/>
      </w:pPr>
      <w:r>
        <w:t>15. Confidentiality</w:t>
      </w:r>
    </w:p>
    <w:p w14:paraId="3A9970F0" w14:textId="77777777" w:rsidR="00D115BF" w:rsidRDefault="00000000">
      <w:r>
        <w:t>Both parties shall protect confidential information using industry-standard safeguards.</w:t>
      </w:r>
      <w:r>
        <w:br/>
      </w:r>
    </w:p>
    <w:p w14:paraId="2B8E89DF" w14:textId="77777777" w:rsidR="00D115BF" w:rsidRDefault="00000000">
      <w:pPr>
        <w:pStyle w:val="Heading2"/>
      </w:pPr>
      <w:r>
        <w:t>16. Change Management</w:t>
      </w:r>
    </w:p>
    <w:p w14:paraId="164BEBF5" w14:textId="77777777" w:rsidR="00D115BF" w:rsidRDefault="00000000">
      <w:r>
        <w:t>Any change impacting scope, timeline, staffing, assumptions, service levels or commercial terms shall follow a documented change request process.</w:t>
      </w:r>
      <w:r>
        <w:br/>
      </w:r>
    </w:p>
    <w:p w14:paraId="79A7D577" w14:textId="77777777" w:rsidR="00D115BF" w:rsidRDefault="00000000">
      <w:pPr>
        <w:pStyle w:val="Heading2"/>
      </w:pPr>
      <w:r>
        <w:t>17. Appendix A - Initial Log Sources</w:t>
      </w:r>
    </w:p>
    <w:p w14:paraId="36B530AA" w14:textId="77777777" w:rsidR="00D115BF" w:rsidRDefault="00000000">
      <w:r>
        <w:t>Microsoft Defender XDR</w:t>
      </w:r>
      <w:r>
        <w:br/>
        <w:t>Microsoft Entra ID</w:t>
      </w:r>
      <w:r>
        <w:br/>
        <w:t>Microsoft Sentinel</w:t>
      </w:r>
      <w:r>
        <w:br/>
        <w:t>AWS CloudTrail</w:t>
      </w:r>
      <w:r>
        <w:br/>
        <w:t>Azure Activity Logs</w:t>
      </w:r>
      <w:r>
        <w:br/>
        <w:t>Palo Alto Firewalls</w:t>
      </w:r>
      <w:r>
        <w:br/>
        <w:t>Zscaler</w:t>
      </w:r>
      <w:r>
        <w:br/>
      </w:r>
      <w:r>
        <w:lastRenderedPageBreak/>
        <w:t>CrowdStrike Falcon</w:t>
      </w:r>
      <w:r>
        <w:br/>
        <w:t>Qualys VMDR</w:t>
      </w:r>
      <w:r>
        <w:br/>
        <w:t>Microsoft 365</w:t>
      </w:r>
      <w:r>
        <w:br/>
        <w:t>VPN Gateway</w:t>
      </w:r>
      <w:r>
        <w:br/>
        <w:t>Windows Servers</w:t>
      </w:r>
      <w:r>
        <w:br/>
        <w:t>Linux Servers</w:t>
      </w:r>
      <w:r>
        <w:br/>
        <w:t>Kubernetes Audit Logs</w:t>
      </w:r>
      <w:r>
        <w:br/>
        <w:t>Custom Application Logs</w:t>
      </w:r>
      <w:r>
        <w:br/>
      </w:r>
    </w:p>
    <w:p w14:paraId="6018BC1A" w14:textId="77777777" w:rsidR="00D115BF" w:rsidRDefault="00000000">
      <w:pPr>
        <w:pStyle w:val="Heading2"/>
      </w:pPr>
      <w:r>
        <w:t>18. Appendix B - Example Resource Plan</w:t>
      </w:r>
    </w:p>
    <w:p w14:paraId="2FF52330" w14:textId="77777777" w:rsidR="00D115BF" w:rsidRDefault="00000000">
      <w:r>
        <w:t>1 Service Delivery Manager</w:t>
      </w:r>
      <w:r>
        <w:br/>
        <w:t>2 L3 Analysts</w:t>
      </w:r>
      <w:r>
        <w:br/>
        <w:t>4 L2 Analysts</w:t>
      </w:r>
      <w:r>
        <w:br/>
        <w:t>6 L1 Analysts</w:t>
      </w:r>
      <w:r>
        <w:br/>
        <w:t>1 Threat Hunter</w:t>
      </w:r>
      <w:r>
        <w:br/>
        <w:t>1 Threat Intelligence Analyst</w:t>
      </w:r>
      <w:r>
        <w:br/>
        <w:t>1 SIEM Engineer</w:t>
      </w:r>
      <w:r>
        <w:br/>
        <w:t>Shared Incident Response Specialist</w:t>
      </w:r>
      <w:r>
        <w:br/>
      </w:r>
    </w:p>
    <w:p w14:paraId="6A53B7EF" w14:textId="77777777" w:rsidR="00D115BF" w:rsidRDefault="00000000">
      <w:pPr>
        <w:pStyle w:val="Heading2"/>
      </w:pPr>
      <w:r>
        <w:t>Signature</w:t>
      </w:r>
    </w:p>
    <w:tbl>
      <w:tblPr>
        <w:tblStyle w:val="TableGrid"/>
        <w:tblW w:w="0" w:type="auto"/>
        <w:tblLook w:val="04A0" w:firstRow="1" w:lastRow="0" w:firstColumn="1" w:lastColumn="0" w:noHBand="0" w:noVBand="1"/>
      </w:tblPr>
      <w:tblGrid>
        <w:gridCol w:w="4320"/>
        <w:gridCol w:w="4320"/>
      </w:tblGrid>
      <w:tr w:rsidR="00D115BF" w14:paraId="06F94302" w14:textId="77777777">
        <w:tc>
          <w:tcPr>
            <w:tcW w:w="4320" w:type="dxa"/>
          </w:tcPr>
          <w:p w14:paraId="28C44150" w14:textId="77777777" w:rsidR="00D115BF" w:rsidRDefault="00000000">
            <w:r>
              <w:t>Service Provider</w:t>
            </w:r>
          </w:p>
        </w:tc>
        <w:tc>
          <w:tcPr>
            <w:tcW w:w="4320" w:type="dxa"/>
          </w:tcPr>
          <w:p w14:paraId="0C0A6CB6" w14:textId="77777777" w:rsidR="00D115BF" w:rsidRDefault="00000000">
            <w:r>
              <w:t>Customer</w:t>
            </w:r>
          </w:p>
        </w:tc>
      </w:tr>
      <w:tr w:rsidR="00D115BF" w14:paraId="458E1BDD" w14:textId="77777777">
        <w:tc>
          <w:tcPr>
            <w:tcW w:w="4320" w:type="dxa"/>
          </w:tcPr>
          <w:p w14:paraId="238C62BE" w14:textId="77777777" w:rsidR="00D115BF" w:rsidRDefault="00000000">
            <w:r>
              <w:t>Name:</w:t>
            </w:r>
            <w:r>
              <w:br/>
              <w:t>Title:</w:t>
            </w:r>
            <w:r>
              <w:br/>
              <w:t>Signature:</w:t>
            </w:r>
          </w:p>
        </w:tc>
        <w:tc>
          <w:tcPr>
            <w:tcW w:w="4320" w:type="dxa"/>
          </w:tcPr>
          <w:p w14:paraId="5BB4E3A5" w14:textId="77777777" w:rsidR="00D115BF" w:rsidRDefault="00000000">
            <w:r>
              <w:t>Name:</w:t>
            </w:r>
            <w:r>
              <w:br/>
              <w:t>Title:</w:t>
            </w:r>
            <w:r>
              <w:br/>
              <w:t>Signature:</w:t>
            </w:r>
          </w:p>
        </w:tc>
      </w:tr>
      <w:tr w:rsidR="00D115BF" w14:paraId="5D2F1FD0" w14:textId="77777777">
        <w:tc>
          <w:tcPr>
            <w:tcW w:w="4320" w:type="dxa"/>
          </w:tcPr>
          <w:p w14:paraId="77CFCED7" w14:textId="77777777" w:rsidR="00D115BF" w:rsidRDefault="00000000">
            <w:r>
              <w:t>Date:</w:t>
            </w:r>
          </w:p>
        </w:tc>
        <w:tc>
          <w:tcPr>
            <w:tcW w:w="4320" w:type="dxa"/>
          </w:tcPr>
          <w:p w14:paraId="7A3EFAF9" w14:textId="77777777" w:rsidR="00D115BF" w:rsidRDefault="00000000">
            <w:r>
              <w:t>Date:</w:t>
            </w:r>
          </w:p>
        </w:tc>
      </w:tr>
    </w:tbl>
    <w:p w14:paraId="73E4440E" w14:textId="77777777" w:rsidR="005B3C82" w:rsidRDefault="005B3C82"/>
    <w:sectPr w:rsidR="005B3C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874862">
    <w:abstractNumId w:val="8"/>
  </w:num>
  <w:num w:numId="2" w16cid:durableId="121652995">
    <w:abstractNumId w:val="6"/>
  </w:num>
  <w:num w:numId="3" w16cid:durableId="1625620904">
    <w:abstractNumId w:val="5"/>
  </w:num>
  <w:num w:numId="4" w16cid:durableId="332536395">
    <w:abstractNumId w:val="4"/>
  </w:num>
  <w:num w:numId="5" w16cid:durableId="1071544614">
    <w:abstractNumId w:val="7"/>
  </w:num>
  <w:num w:numId="6" w16cid:durableId="155926933">
    <w:abstractNumId w:val="3"/>
  </w:num>
  <w:num w:numId="7" w16cid:durableId="861944110">
    <w:abstractNumId w:val="2"/>
  </w:num>
  <w:num w:numId="8" w16cid:durableId="954098733">
    <w:abstractNumId w:val="1"/>
  </w:num>
  <w:num w:numId="9" w16cid:durableId="42920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C82"/>
    <w:rsid w:val="007845E0"/>
    <w:rsid w:val="00AA1D8D"/>
    <w:rsid w:val="00B47730"/>
    <w:rsid w:val="00CB0664"/>
    <w:rsid w:val="00D115BF"/>
    <w:rsid w:val="00E05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DF1DA"/>
  <w14:defaultImageDpi w14:val="300"/>
  <w15:docId w15:val="{4475DBD5-EA78-4DE8-80D6-08287001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Manish  (WIPRO)</cp:lastModifiedBy>
  <cp:revision>2</cp:revision>
  <dcterms:created xsi:type="dcterms:W3CDTF">2013-12-23T23:15:00Z</dcterms:created>
  <dcterms:modified xsi:type="dcterms:W3CDTF">2026-07-21T11:34:00Z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c77bae-9cad-4b1a-aac3-2a4ad557d70b_Enabled">
    <vt:lpwstr>true</vt:lpwstr>
  </property>
  <property fmtid="{D5CDD505-2E9C-101B-9397-08002B2CF9AE}" pid="3" name="MSIP_Label_a7c77bae-9cad-4b1a-aac3-2a4ad557d70b_SetDate">
    <vt:lpwstr>2026-07-21T11:33:19Z</vt:lpwstr>
  </property>
  <property fmtid="{D5CDD505-2E9C-101B-9397-08002B2CF9AE}" pid="4" name="MSIP_Label_a7c77bae-9cad-4b1a-aac3-2a4ad557d70b_Method">
    <vt:lpwstr>Privileged</vt:lpwstr>
  </property>
  <property fmtid="{D5CDD505-2E9C-101B-9397-08002B2CF9AE}" pid="5" name="MSIP_Label_a7c77bae-9cad-4b1a-aac3-2a4ad557d70b_Name">
    <vt:lpwstr>General</vt:lpwstr>
  </property>
  <property fmtid="{D5CDD505-2E9C-101B-9397-08002B2CF9AE}" pid="6" name="MSIP_Label_a7c77bae-9cad-4b1a-aac3-2a4ad557d70b_SiteId">
    <vt:lpwstr>88ed286b-88d8-4faf-918f-883d693321ae</vt:lpwstr>
  </property>
  <property fmtid="{D5CDD505-2E9C-101B-9397-08002B2CF9AE}" pid="7" name="MSIP_Label_a7c77bae-9cad-4b1a-aac3-2a4ad557d70b_ActionId">
    <vt:lpwstr>e04ad926-8869-4284-a955-64d7f1034fb8</vt:lpwstr>
  </property>
  <property fmtid="{D5CDD505-2E9C-101B-9397-08002B2CF9AE}" pid="8" name="MSIP_Label_a7c77bae-9cad-4b1a-aac3-2a4ad557d70b_ContentBits">
    <vt:lpwstr>0</vt:lpwstr>
  </property>
  <property fmtid="{D5CDD505-2E9C-101B-9397-08002B2CF9AE}" pid="9" name="MSIP_Label_a7c77bae-9cad-4b1a-aac3-2a4ad557d70b_Tag">
    <vt:lpwstr>10, 0, 1, 1</vt:lpwstr>
  </property>
</Properties>
</file>