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 for Proposal: Data Warehouse Modernization</w:t>
      </w:r>
    </w:p>
    <w:p/>
    <w:p>
      <w:pPr>
        <w:pStyle w:val="Heading1"/>
      </w:pPr>
      <w:r>
        <w:t>Scope</w:t>
      </w:r>
    </w:p>
    <w:p>
      <w:r>
        <w:t>The issuing organization seeks proposals for modernizing its legacy data warehouse to a cloud-native platform.</w:t>
      </w:r>
    </w:p>
    <w:p>
      <w:r>
        <w:t>Vendors must address all sections below in their response.</w:t>
      </w:r>
    </w:p>
    <w:p>
      <w:pPr>
        <w:pStyle w:val="Heading1"/>
      </w:pPr>
      <w:r>
        <w:t>Evaluation Criteria</w:t>
      </w:r>
    </w:p>
    <w:p>
      <w:r>
        <w:t>Proposals will be evaluated on technical approach, team experience, and cost.</w:t>
      </w:r>
    </w:p>
    <w:p>
      <w:r>
        <w:t>Technical approach: 40%. Team experience: 30%. Cost: 30%.</w:t>
      </w:r>
    </w:p>
    <w:p>
      <w:pPr>
        <w:pStyle w:val="Heading1"/>
      </w:pPr>
      <w:r>
        <w:t>Vendor Qualifications</w:t>
      </w:r>
    </w:p>
    <w:p>
      <w:r>
        <w:t>Bidders must have a minimum of 5 years of relevant industry experience</w:t>
      </w:r>
    </w:p>
    <w:p>
      <w:r>
        <w:t>and at least 10 employees dedicated to this practice area.</w:t>
      </w:r>
    </w:p>
    <w:p>
      <w:pPr>
        <w:pStyle w:val="Heading1"/>
      </w:pPr>
      <w:r>
        <w:t>References</w:t>
      </w:r>
    </w:p>
    <w:p>
      <w:r>
        <w:t>Vendors must submit 3 references from past engagements of similar scope</w:t>
      </w:r>
    </w:p>
    <w:p>
      <w:r>
        <w:t>within the last 3 years.</w:t>
      </w:r>
    </w:p>
    <w:p>
      <w:pPr>
        <w:pStyle w:val="Heading1"/>
      </w:pPr>
      <w:r>
        <w:t>Certifications</w:t>
      </w:r>
    </w:p>
    <w:p>
      <w:r>
        <w:t>Bidders must hold ISO 27001 certification or provide an equivalent</w:t>
      </w:r>
    </w:p>
    <w:p>
      <w:r>
        <w:t>security attestation.</w:t>
      </w:r>
    </w:p>
    <w:p>
      <w:pPr>
        <w:pStyle w:val="Heading1"/>
      </w:pPr>
      <w:r>
        <w:t>Submission Format</w:t>
      </w:r>
    </w:p>
    <w:p>
      <w:r>
        <w:t>Proposals must be submitted as a single PDF, no more than 20 pages,</w:t>
      </w:r>
    </w:p>
    <w:p>
      <w:r>
        <w:t>via the vendor portal.</w:t>
      </w:r>
    </w:p>
    <w:p>
      <w:pPr>
        <w:pStyle w:val="Heading1"/>
      </w:pPr>
      <w:r>
        <w:t>Timeline</w:t>
      </w:r>
    </w:p>
    <w:p>
      <w:r>
        <w:t>Submission deadline: 2026-09-01.</w:t>
      </w:r>
    </w:p>
    <w:p>
      <w:r>
        <w:t>Q&amp;A window: 2026-08-01 to 2026-08-10, answers published 2026-08-15.</w:t>
      </w:r>
    </w:p>
    <w:p>
      <w:r>
        <w:t>Award decision expected: 2026-09-20.</w:t>
      </w:r>
    </w:p>
    <w:p>
      <w:pPr>
        <w:pStyle w:val="Heading1"/>
      </w:pPr>
      <w:r>
        <w:t>Budget</w:t>
      </w:r>
    </w:p>
    <w:p>
      <w:r>
        <w:t>The estimated budget range for this engagement is $150,000-$250,000.</w:t>
      </w:r>
    </w:p>
    <w:p>
      <w:pPr>
        <w:pStyle w:val="Heading1"/>
      </w:pPr>
      <w:r>
        <w:t>Contract Terms Preview</w:t>
      </w:r>
    </w:p>
    <w:p>
      <w:r>
        <w:t>The resulting contract will be governed by the laws of the State of Delaware.</w:t>
      </w:r>
    </w:p>
    <w:p>
      <w:r>
        <w:t>Standard indemnification and a liability cap of 1x contract value will apply.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