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 (SOW)</w:t>
        <w:br/>
        <w:t>Managed Application Support Services</w:t>
      </w:r>
    </w:p>
    <w:p>
      <w:pPr>
        <w:pStyle w:val="Heading2"/>
      </w:pPr>
      <w:r>
        <w:t>1. Purpose</w:t>
      </w:r>
    </w:p>
    <w:p>
      <w:r>
        <w:t>Provider will support and maintain the Customer application estate for the 24-month term of this SOW.</w:t>
      </w:r>
    </w:p>
    <w:p>
      <w:pPr>
        <w:pStyle w:val="Heading2"/>
      </w:pPr>
      <w:r>
        <w:t>2. Scope of Services</w:t>
      </w:r>
    </w:p>
    <w:p>
      <w:r>
        <w:t>Application monitoring, incident management, minor enhancements up to 40 hours per month, and quarterly health reviews.</w:t>
      </w:r>
    </w:p>
    <w:p>
      <w:pPr>
        <w:pStyle w:val="Heading2"/>
      </w:pPr>
      <w:r>
        <w:t>3. Term and Termination</w:t>
      </w:r>
    </w:p>
    <w:p>
      <w:r>
        <w:t>Either party may terminate this SOW for convenience with thirty (30) days written notice. Customer commits to the full 24-month term; early exit for any reason other than material breach incurs an exit charge equal to 100% of the fees for the remaining term.</w:t>
      </w:r>
    </w:p>
    <w:p>
      <w:pPr>
        <w:pStyle w:val="Heading2"/>
      </w:pPr>
      <w:r>
        <w:t>4. Commercial Terms</w:t>
      </w:r>
    </w:p>
    <w:p>
      <w:r>
        <w:t>A fixed monthly fee of USD 18,000 applies, invoiced monthly in advance. Invoices are due Net 45 from invoice date. Invoices unpaid thirty (30) days after issue accrue interest at 1.5% per month.</w:t>
      </w:r>
    </w:p>
    <w:p>
      <w:pPr>
        <w:pStyle w:val="Heading2"/>
      </w:pPr>
      <w:r>
        <w:t>5. Liability</w:t>
      </w:r>
    </w:p>
    <w:p>
      <w:r>
        <w:t>Provider's aggregate liability under this SOW is capped at the fees paid by Customer in the twelve (12) months preceding the claim.</w:t>
      </w:r>
    </w:p>
    <w:p>
      <w:pPr>
        <w:pStyle w:val="Heading2"/>
      </w:pPr>
      <w:r>
        <w:t>6. Data Protection and Indemnity</w:t>
      </w:r>
    </w:p>
    <w:p>
      <w:r>
        <w:t>Provider shall indemnify Customer for all losses, without limitation, arising from any breach of personal data caused by Provider personnel.</w:t>
      </w:r>
    </w:p>
    <w:p>
      <w:pPr>
        <w:pStyle w:val="Heading2"/>
      </w:pPr>
      <w:r>
        <w:t>7. Intellectual Property</w:t>
      </w:r>
    </w:p>
    <w:p>
      <w:r>
        <w:t>All work product created under this SOW vests exclusively in Customer upon payment. Provider grants Customer a perpetual, non-exclusive license to use the deliverables for its internal business purposes.</w:t>
      </w:r>
    </w:p>
    <w:p>
      <w:pPr>
        <w:pStyle w:val="Heading2"/>
      </w:pPr>
      <w:r>
        <w:t>8. Governing Law and Disputes</w:t>
      </w:r>
    </w:p>
    <w:p>
      <w:r>
        <w:t>This SOW is governed by the laws of England and Wales. Any dispute arising under this SOW shall be resolved exclusively in the courts of Singapore.</w:t>
      </w:r>
    </w:p>
    <w:p>
      <w:pPr>
        <w:pStyle w:val="Heading2"/>
      </w:pPr>
      <w:r>
        <w:t>9. Service Levels</w:t>
      </w:r>
    </w:p>
    <w:p>
      <w:r>
        <w:t>Priority 1 incidents: response within 30 minutes, 24x7. Priority 2: response within 4 business hours. Service credits per the MSA apply for missed targets.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