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3B82A0"/>
          <w:sz w:val="18"/>
        </w:rPr>
        <w:t>FOUNDING PRODUCT CHARTER</w:t>
      </w:r>
    </w:p>
    <w:p>
      <w:pPr>
        <w:spacing w:after="120"/>
      </w:pPr>
      <w:r>
        <w:rPr>
          <w:rFonts w:ascii="Calibri" w:hAnsi="Calibri"/>
          <w:b/>
          <w:i w:val="0"/>
          <w:color w:val="0B2545"/>
          <w:sz w:val="56"/>
        </w:rPr>
        <w:t>Vision &amp; Mission</w:t>
      </w:r>
    </w:p>
    <w:p>
      <w:pPr>
        <w:spacing w:after="360"/>
      </w:pPr>
      <w:r>
        <w:rPr>
          <w:rFonts w:ascii="Calibri" w:hAnsi="Calibri"/>
          <w:b w:val="0"/>
          <w:i w:val="0"/>
          <w:color w:val="657180"/>
          <w:sz w:val="27"/>
        </w:rPr>
        <w:t>A secure, portable infrastructure for building and operating vertical AI agents.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80" w:type="dxa"/>
              <w:start w:w="120" w:type="dxa"/>
              <w:bottom w:w="80" w:type="dxa"/>
              <w:end w:w="120" w:type="dxa"/>
            </w:tcMar>
            <w:shd w:fill="E8EEF5"/>
          </w:tcPr>
          <w:p>
            <w:r/>
            <w:r>
              <w:rPr>
                <w:rFonts w:ascii="Calibri" w:hAnsi="Calibri"/>
                <w:b/>
                <w:i w:val="0"/>
                <w:color w:val="0B2545"/>
                <w:sz w:val="19"/>
              </w:rPr>
              <w:t>Version</w:t>
            </w:r>
          </w:p>
        </w:tc>
        <w:tc>
          <w:tcPr>
            <w:tcW w:type="dxa" w:w="7660"/>
            <w:vAlign w:val="center"/>
            <w:tcMar>
              <w:top w:w="80" w:type="dxa"/>
              <w:start w:w="120" w:type="dxa"/>
              <w:bottom w:w="80" w:type="dxa"/>
              <w:end w:w="120" w:type="dxa"/>
            </w:tcMar>
          </w:tcPr>
          <w:p>
            <w:r/>
            <w:r>
              <w:rPr>
                <w:rFonts w:ascii="Calibri" w:hAnsi="Calibri"/>
                <w:b w:val="0"/>
                <w:i w:val="0"/>
                <w:color w:val="20262E"/>
                <w:sz w:val="19"/>
              </w:rPr>
              <w:t>0.1 - Founding draft</w:t>
            </w:r>
          </w:p>
        </w:tc>
      </w:tr>
      <w:tr>
        <w:tc>
          <w:tcPr>
            <w:tcW w:type="dxa" w:w="1700"/>
            <w:vAlign w:val="center"/>
            <w:tcMar>
              <w:top w:w="80" w:type="dxa"/>
              <w:start w:w="120" w:type="dxa"/>
              <w:bottom w:w="80" w:type="dxa"/>
              <w:end w:w="120" w:type="dxa"/>
            </w:tcMar>
            <w:shd w:fill="E8EEF5"/>
          </w:tcPr>
          <w:p>
            <w:r/>
            <w:r>
              <w:rPr>
                <w:rFonts w:ascii="Calibri" w:hAnsi="Calibri"/>
                <w:b/>
                <w:i w:val="0"/>
                <w:color w:val="0B2545"/>
                <w:sz w:val="19"/>
              </w:rPr>
              <w:t>Date</w:t>
            </w:r>
          </w:p>
        </w:tc>
        <w:tc>
          <w:tcPr>
            <w:tcW w:type="dxa" w:w="7660"/>
            <w:vAlign w:val="center"/>
            <w:tcMar>
              <w:top w:w="80" w:type="dxa"/>
              <w:start w:w="120" w:type="dxa"/>
              <w:bottom w:w="80" w:type="dxa"/>
              <w:end w:w="120" w:type="dxa"/>
            </w:tcMar>
          </w:tcPr>
          <w:p>
            <w:r/>
            <w:r>
              <w:rPr>
                <w:rFonts w:ascii="Calibri" w:hAnsi="Calibri"/>
                <w:b w:val="0"/>
                <w:i w:val="0"/>
                <w:color w:val="20262E"/>
                <w:sz w:val="19"/>
              </w:rPr>
              <w:t>11 August 2026</w:t>
            </w:r>
          </w:p>
        </w:tc>
      </w:tr>
      <w:tr>
        <w:tc>
          <w:tcPr>
            <w:tcW w:type="dxa" w:w="1700"/>
            <w:vAlign w:val="center"/>
            <w:tcMar>
              <w:top w:w="80" w:type="dxa"/>
              <w:start w:w="120" w:type="dxa"/>
              <w:bottom w:w="80" w:type="dxa"/>
              <w:end w:w="120" w:type="dxa"/>
            </w:tcMar>
            <w:shd w:fill="E8EEF5"/>
          </w:tcPr>
          <w:p>
            <w:r/>
            <w:r>
              <w:rPr>
                <w:rFonts w:ascii="Calibri" w:hAnsi="Calibri"/>
                <w:b/>
                <w:i w:val="0"/>
                <w:color w:val="0B2545"/>
                <w:sz w:val="19"/>
              </w:rPr>
              <w:t>Audience</w:t>
            </w:r>
          </w:p>
        </w:tc>
        <w:tc>
          <w:tcPr>
            <w:tcW w:type="dxa" w:w="7660"/>
            <w:vAlign w:val="center"/>
            <w:tcMar>
              <w:top w:w="80" w:type="dxa"/>
              <w:start w:w="120" w:type="dxa"/>
              <w:bottom w:w="80" w:type="dxa"/>
              <w:end w:w="120" w:type="dxa"/>
            </w:tcMar>
          </w:tcPr>
          <w:p>
            <w:r/>
            <w:r>
              <w:rPr>
                <w:rFonts w:ascii="Calibri" w:hAnsi="Calibri"/>
                <w:b w:val="0"/>
                <w:i w:val="0"/>
                <w:color w:val="20262E"/>
                <w:sz w:val="19"/>
              </w:rPr>
              <w:t>Founders, early team, design partners and investors</w:t>
            </w:r>
          </w:p>
        </w:tc>
      </w:tr>
      <w:tr>
        <w:tc>
          <w:tcPr>
            <w:tcW w:type="dxa" w:w="1700"/>
            <w:vAlign w:val="center"/>
            <w:tcMar>
              <w:top w:w="80" w:type="dxa"/>
              <w:start w:w="120" w:type="dxa"/>
              <w:bottom w:w="80" w:type="dxa"/>
              <w:end w:w="120" w:type="dxa"/>
            </w:tcMar>
            <w:shd w:fill="E8EEF5"/>
          </w:tcPr>
          <w:p>
            <w:r/>
            <w:r>
              <w:rPr>
                <w:rFonts w:ascii="Calibri" w:hAnsi="Calibri"/>
                <w:b/>
                <w:i w:val="0"/>
                <w:color w:val="0B2545"/>
                <w:sz w:val="19"/>
              </w:rPr>
              <w:t>Decision</w:t>
            </w:r>
          </w:p>
        </w:tc>
        <w:tc>
          <w:tcPr>
            <w:tcW w:type="dxa" w:w="7660"/>
            <w:vAlign w:val="center"/>
            <w:tcMar>
              <w:top w:w="80" w:type="dxa"/>
              <w:start w:w="120" w:type="dxa"/>
              <w:bottom w:w="80" w:type="dxa"/>
              <w:end w:w="120" w:type="dxa"/>
            </w:tcMar>
          </w:tcPr>
          <w:p>
            <w:r/>
            <w:r>
              <w:rPr>
                <w:rFonts w:ascii="Calibri" w:hAnsi="Calibri"/>
                <w:b w:val="0"/>
                <w:i w:val="0"/>
                <w:color w:val="20262E"/>
                <w:sz w:val="19"/>
              </w:rPr>
              <w:t>Defines the initial category, product promise and strategic boundaries</w:t>
            </w:r>
          </w:p>
        </w:tc>
      </w:tr>
    </w:tbl>
    <w:p>
      <w:pPr>
        <w:spacing w:after="20"/>
      </w:pPr>
    </w:p>
    <w:p>
      <w:pPr>
        <w:pStyle w:val="Heading1"/>
      </w:pPr>
      <w:r>
        <w:t>1. Executive statement</w:t>
      </w:r>
    </w:p>
    <w:p>
      <w:r>
        <w:rPr>
          <w:rFonts w:ascii="Calibri" w:hAnsi="Calibri"/>
          <w:b w:val="0"/>
          <w:i w:val="0"/>
          <w:color w:val="20262E"/>
          <w:sz w:val="22"/>
        </w:rPr>
        <w:t>Enterprises are beginning to create agents for specialized roles, workflows and industries. Yet most teams still assemble the same infrastructure repeatedly: model access, tool permissions, identity, evaluations, runtime controls, audit evidence and deployment packaging. The result is a growing collection of fragile agents tied to individual clouds, frameworks and business applications.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i w:val="0"/>
                <w:color w:val="0B2545"/>
                <w:sz w:val="22"/>
              </w:rPr>
              <w:t xml:space="preserve">Our thesis  </w:t>
            </w:r>
            <w:r>
              <w:rPr>
                <w:rFonts w:ascii="Calibri" w:hAnsi="Calibri"/>
                <w:b w:val="0"/>
                <w:i w:val="0"/>
                <w:color w:val="20262E"/>
                <w:sz w:val="22"/>
              </w:rPr>
              <w:t>The durable platform opportunity is not another general-purpose chatbot or workflow canvas. It is the secure agent factory that turns domain knowledge, business tools and enterprise policies into tested, portable and governable agent products.</w:t>
            </w:r>
          </w:p>
        </w:tc>
      </w:tr>
    </w:tbl>
    <w:p>
      <w:pPr>
        <w:spacing w:after="0"/>
      </w:pPr>
    </w:p>
    <w:p>
      <w:pPr>
        <w:pStyle w:val="Heading1"/>
      </w:pPr>
      <w:r>
        <w:t>2. Vision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2E74B5"/>
                <w:sz w:val="22"/>
              </w:rPr>
              <w:t xml:space="preserve">Vision  </w:t>
            </w:r>
            <w:r>
              <w:rPr>
                <w:rFonts w:ascii="Calibri" w:hAnsi="Calibri"/>
                <w:b w:val="0"/>
                <w:i w:val="0"/>
                <w:color w:val="20262E"/>
                <w:sz w:val="22"/>
              </w:rPr>
              <w:t>Every organization can safely turn its domain expertise into AI agents that work wherever the business operates.</w:t>
            </w:r>
          </w:p>
        </w:tc>
      </w:tr>
    </w:tbl>
    <w:p>
      <w:pPr>
        <w:spacing w:after="0"/>
      </w:pPr>
    </w:p>
    <w:p>
      <w:r>
        <w:rPr>
          <w:rFonts w:ascii="Calibri" w:hAnsi="Calibri"/>
          <w:b w:val="0"/>
          <w:i w:val="0"/>
          <w:color w:val="20262E"/>
          <w:sz w:val="22"/>
        </w:rPr>
        <w:t>We envision agents becoming a standard software delivery unit: versioned, testable, permissioned, portable and independently deployable. Domain specialists should be able to shape agent behavior while engineering and security teams retain control over runtime, access, evidence and change management.</w:t>
      </w:r>
    </w:p>
    <w:p>
      <w:pPr>
        <w:pStyle w:val="Heading1"/>
      </w:pPr>
      <w:r>
        <w:t>3. Mission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2E74B5"/>
                <w:sz w:val="22"/>
              </w:rPr>
              <w:t xml:space="preserve">Mission  </w:t>
            </w:r>
            <w:r>
              <w:rPr>
                <w:rFonts w:ascii="Calibri" w:hAnsi="Calibri"/>
                <w:b w:val="0"/>
                <w:i w:val="0"/>
                <w:color w:val="20262E"/>
                <w:sz w:val="22"/>
              </w:rPr>
              <w:t>Provide the simplest enterprise platform to create, secure, evaluate and deploy vertical AI agents across any approved model, channel or infrastructure.</w:t>
            </w:r>
          </w:p>
        </w:tc>
      </w:tr>
    </w:tbl>
    <w:p>
      <w:pPr>
        <w:spacing w:after="0"/>
      </w:pPr>
    </w:p>
    <w:p>
      <w:r>
        <w:rPr>
          <w:rFonts w:ascii="Calibri" w:hAnsi="Calibri"/>
          <w:b w:val="0"/>
          <w:i w:val="0"/>
          <w:color w:val="20262E"/>
          <w:sz w:val="22"/>
        </w:rPr>
        <w:t>Our mission joins ease of creation with operational trust. We will reduce the distance between an agent concept and a production deployment without shifting unresolved security, compliance or reliability burdens onto the customer.</w:t>
      </w:r>
    </w:p>
    <w:p>
      <w:pPr>
        <w:pStyle w:val="Heading1"/>
      </w:pPr>
      <w:r>
        <w:t>4. The problem we exist to solve</w:t>
      </w:r>
    </w:p>
    <w:p>
      <w:pPr>
        <w:pStyle w:val="ListBullet"/>
      </w:pPr>
      <w:r>
        <w:rPr>
          <w:rFonts w:ascii="Calibri" w:hAnsi="Calibri"/>
          <w:b w:val="0"/>
          <w:i w:val="0"/>
          <w:color w:val="20262E"/>
          <w:sz w:val="22"/>
        </w:rPr>
        <w:t xml:space="preserve"> </w:t>
      </w:r>
      <w:r>
        <w:rPr>
          <w:rFonts w:ascii="Calibri" w:hAnsi="Calibri"/>
          <w:b/>
          <w:i w:val="0"/>
          <w:color w:val="20262E"/>
          <w:sz w:val="22"/>
        </w:rPr>
        <w:t xml:space="preserve">Fragmented construction. </w:t>
      </w:r>
      <w:r>
        <w:rPr>
          <w:rFonts w:ascii="Calibri" w:hAnsi="Calibri"/>
          <w:b w:val="0"/>
          <w:i w:val="0"/>
          <w:color w:val="20262E"/>
          <w:sz w:val="22"/>
        </w:rPr>
        <w:t>Teams combine prompts, model SDKs, retrieval systems, tools and workflow code differently for every agent.</w:t>
      </w:r>
    </w:p>
    <w:p>
      <w:pPr>
        <w:pStyle w:val="ListBullet"/>
      </w:pPr>
      <w:r>
        <w:rPr>
          <w:rFonts w:ascii="Calibri" w:hAnsi="Calibri"/>
          <w:b w:val="0"/>
          <w:i w:val="0"/>
          <w:color w:val="20262E"/>
          <w:sz w:val="22"/>
        </w:rPr>
        <w:t xml:space="preserve"> </w:t>
      </w:r>
      <w:r>
        <w:rPr>
          <w:rFonts w:ascii="Calibri" w:hAnsi="Calibri"/>
          <w:b/>
          <w:i w:val="0"/>
          <w:color w:val="20262E"/>
          <w:sz w:val="22"/>
        </w:rPr>
        <w:t xml:space="preserve">Ecosystem lock-in. </w:t>
      </w:r>
      <w:r>
        <w:rPr>
          <w:rFonts w:ascii="Calibri" w:hAnsi="Calibri"/>
          <w:b w:val="0"/>
          <w:i w:val="0"/>
          <w:color w:val="20262E"/>
          <w:sz w:val="22"/>
        </w:rPr>
        <w:t>Agent definitions and runtime assumptions become coupled to a cloud provider, SaaS platform or orchestration framework.</w:t>
      </w:r>
    </w:p>
    <w:p>
      <w:pPr>
        <w:pStyle w:val="ListBullet"/>
      </w:pPr>
      <w:r>
        <w:rPr>
          <w:rFonts w:ascii="Calibri" w:hAnsi="Calibri"/>
          <w:b w:val="0"/>
          <w:i w:val="0"/>
          <w:color w:val="20262E"/>
          <w:sz w:val="22"/>
        </w:rPr>
        <w:t xml:space="preserve"> </w:t>
      </w:r>
      <w:r>
        <w:rPr>
          <w:rFonts w:ascii="Calibri" w:hAnsi="Calibri"/>
          <w:b/>
          <w:i w:val="0"/>
          <w:color w:val="20262E"/>
          <w:sz w:val="22"/>
        </w:rPr>
        <w:t xml:space="preserve">Security after the fact. </w:t>
      </w:r>
      <w:r>
        <w:rPr>
          <w:rFonts w:ascii="Calibri" w:hAnsi="Calibri"/>
          <w:b w:val="0"/>
          <w:i w:val="0"/>
          <w:color w:val="20262E"/>
          <w:sz w:val="22"/>
        </w:rPr>
        <w:t>Permissions, data boundaries, approval controls and auditability are frequently added after a prototype is already in use.</w:t>
      </w:r>
    </w:p>
    <w:p>
      <w:pPr>
        <w:pStyle w:val="ListBullet"/>
      </w:pPr>
      <w:r>
        <w:rPr>
          <w:rFonts w:ascii="Calibri" w:hAnsi="Calibri"/>
          <w:b w:val="0"/>
          <w:i w:val="0"/>
          <w:color w:val="20262E"/>
          <w:sz w:val="22"/>
        </w:rPr>
        <w:t xml:space="preserve"> </w:t>
      </w:r>
      <w:r>
        <w:rPr>
          <w:rFonts w:ascii="Calibri" w:hAnsi="Calibri"/>
          <w:b/>
          <w:i w:val="0"/>
          <w:color w:val="20262E"/>
          <w:sz w:val="22"/>
        </w:rPr>
        <w:t xml:space="preserve">Unproven behavior. </w:t>
      </w:r>
      <w:r>
        <w:rPr>
          <w:rFonts w:ascii="Calibri" w:hAnsi="Calibri"/>
          <w:b w:val="0"/>
          <w:i w:val="0"/>
          <w:color w:val="20262E"/>
          <w:sz w:val="22"/>
        </w:rPr>
        <w:t>Agents are released without domain-specific evaluation datasets, tool-call tests or measurable promotion criteria.</w:t>
      </w:r>
    </w:p>
    <w:p>
      <w:pPr>
        <w:pStyle w:val="ListBullet"/>
      </w:pPr>
      <w:r>
        <w:rPr>
          <w:rFonts w:ascii="Calibri" w:hAnsi="Calibri"/>
          <w:b w:val="0"/>
          <w:i w:val="0"/>
          <w:color w:val="20262E"/>
          <w:sz w:val="22"/>
        </w:rPr>
        <w:t xml:space="preserve"> </w:t>
      </w:r>
      <w:r>
        <w:rPr>
          <w:rFonts w:ascii="Calibri" w:hAnsi="Calibri"/>
          <w:b/>
          <w:i w:val="0"/>
          <w:color w:val="20262E"/>
          <w:sz w:val="22"/>
        </w:rPr>
        <w:t xml:space="preserve">Deployment friction. </w:t>
      </w:r>
      <w:r>
        <w:rPr>
          <w:rFonts w:ascii="Calibri" w:hAnsi="Calibri"/>
          <w:b w:val="0"/>
          <w:i w:val="0"/>
          <w:color w:val="20262E"/>
          <w:sz w:val="22"/>
        </w:rPr>
        <w:t>An agent that works through an API cannot automatically be trusted or packaged for a website, workplace suite, SaaS platform or customer-managed environment.</w:t>
      </w:r>
    </w:p>
    <w:p>
      <w:pPr>
        <w:pStyle w:val="ListBullet"/>
      </w:pPr>
      <w:r>
        <w:rPr>
          <w:rFonts w:ascii="Calibri" w:hAnsi="Calibri"/>
          <w:b w:val="0"/>
          <w:i w:val="0"/>
          <w:color w:val="20262E"/>
          <w:sz w:val="22"/>
        </w:rPr>
        <w:t xml:space="preserve"> </w:t>
      </w:r>
      <w:r>
        <w:rPr>
          <w:rFonts w:ascii="Calibri" w:hAnsi="Calibri"/>
          <w:b/>
          <w:i w:val="0"/>
          <w:color w:val="20262E"/>
          <w:sz w:val="22"/>
        </w:rPr>
        <w:t xml:space="preserve">Operational duplication. </w:t>
      </w:r>
      <w:r>
        <w:rPr>
          <w:rFonts w:ascii="Calibri" w:hAnsi="Calibri"/>
          <w:b w:val="0"/>
          <w:i w:val="0"/>
          <w:color w:val="20262E"/>
          <w:sz w:val="22"/>
        </w:rPr>
        <w:t>Every team rebuilds tracing, cost controls, rate limits, fallbacks, secrets handling and incident response.</w:t>
      </w:r>
    </w:p>
    <w:p>
      <w:pPr>
        <w:pStyle w:val="Heading1"/>
      </w:pPr>
      <w:r>
        <w:t>5. Category and product promise</w:t>
      </w:r>
    </w:p>
    <w:p>
      <w:r>
        <w:rPr>
          <w:rFonts w:ascii="Calibri" w:hAnsi="Calibri"/>
          <w:b w:val="0"/>
          <w:i w:val="0"/>
          <w:color w:val="20262E"/>
          <w:sz w:val="22"/>
        </w:rPr>
        <w:t>We are building an enterprise vertical-agent infrastructure platform: a control plane, portable runtime and packaging standard for specialized AI agents.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i w:val="0"/>
                <w:color w:val="0B2545"/>
                <w:sz w:val="22"/>
              </w:rPr>
              <w:t xml:space="preserve">Product promise  </w:t>
            </w:r>
            <w:r>
              <w:rPr>
                <w:rFonts w:ascii="Calibri" w:hAnsi="Calibri"/>
                <w:b w:val="0"/>
                <w:i w:val="0"/>
                <w:color w:val="20262E"/>
                <w:sz w:val="22"/>
              </w:rPr>
              <w:t>Build once. Validate before release. Deploy to the required environment. Govern every execution.</w:t>
            </w:r>
          </w:p>
        </w:tc>
      </w:tr>
    </w:tbl>
    <w:p>
      <w:pPr>
        <w:spacing w:after="0"/>
      </w:pPr>
    </w:p>
    <w:p>
      <w:pPr>
        <w:pStyle w:val="Heading1"/>
      </w:pPr>
      <w:r>
        <w:t>6. What makes a vertical agent</w:t>
      </w:r>
    </w:p>
    <w:p>
      <w:r>
        <w:rPr>
          <w:rFonts w:ascii="Calibri" w:hAnsi="Calibri"/>
          <w:b w:val="0"/>
          <w:i w:val="0"/>
          <w:color w:val="20262E"/>
          <w:sz w:val="22"/>
        </w:rPr>
        <w:t>A vertical agent is not merely a role prompt. It packages the domain and operational context required to perform a bounded business job.</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vAlign w:val="center"/>
            <w:tcMar>
              <w:top w:w="80" w:type="dxa"/>
              <w:start w:w="120" w:type="dxa"/>
              <w:bottom w:w="80" w:type="dxa"/>
              <w:end w:w="120" w:type="dxa"/>
            </w:tcMar>
            <w:shd w:fill="F2F4F7"/>
          </w:tcPr>
          <w:p>
            <w:pPr>
              <w:jc w:val="left"/>
            </w:pPr>
            <w:r/>
            <w:r>
              <w:rPr>
                <w:rFonts w:ascii="Calibri" w:hAnsi="Calibri"/>
                <w:b/>
                <w:i w:val="0"/>
                <w:color w:val="0B2545"/>
                <w:sz w:val="18"/>
              </w:rPr>
              <w:t>Component</w:t>
            </w:r>
          </w:p>
        </w:tc>
        <w:tc>
          <w:tcPr>
            <w:tcW w:type="dxa" w:w="7360"/>
            <w:vAlign w:val="center"/>
            <w:tcMar>
              <w:top w:w="80" w:type="dxa"/>
              <w:start w:w="120" w:type="dxa"/>
              <w:bottom w:w="80" w:type="dxa"/>
              <w:end w:w="120" w:type="dxa"/>
            </w:tcMar>
            <w:shd w:fill="F2F4F7"/>
          </w:tcPr>
          <w:p>
            <w:pPr>
              <w:jc w:val="left"/>
            </w:pPr>
            <w:r/>
            <w:r>
              <w:rPr>
                <w:rFonts w:ascii="Calibri" w:hAnsi="Calibri"/>
                <w:b/>
                <w:i w:val="0"/>
                <w:color w:val="0B2545"/>
                <w:sz w:val="18"/>
              </w:rPr>
              <w:t>Meaning</w:t>
            </w:r>
          </w:p>
        </w:tc>
      </w:tr>
      <w:tr>
        <w:tc>
          <w:tcPr>
            <w:tcW w:type="dxa" w:w="2000"/>
          </w:tcPr>
          <w:p>
            <w:pPr>
              <w:spacing w:after="0"/>
            </w:pPr>
            <w:r/>
            <w:r>
              <w:rPr>
                <w:rFonts w:ascii="Calibri" w:hAnsi="Calibri"/>
                <w:b w:val="0"/>
                <w:i w:val="0"/>
                <w:color w:val="20262E"/>
                <w:sz w:val="18"/>
              </w:rPr>
              <w:t>Domain model</w:t>
            </w:r>
          </w:p>
        </w:tc>
        <w:tc>
          <w:tcPr>
            <w:tcW w:type="dxa" w:w="7360"/>
          </w:tcPr>
          <w:p>
            <w:pPr>
              <w:spacing w:after="0"/>
            </w:pPr>
            <w:r/>
            <w:r>
              <w:rPr>
                <w:rFonts w:ascii="Calibri" w:hAnsi="Calibri"/>
                <w:b w:val="0"/>
                <w:i w:val="0"/>
                <w:color w:val="20262E"/>
                <w:sz w:val="18"/>
              </w:rPr>
              <w:t>Entities, terminology, relationships and constraints understood by the agent.</w:t>
            </w:r>
          </w:p>
        </w:tc>
      </w:tr>
      <w:tr>
        <w:tc>
          <w:tcPr>
            <w:tcW w:type="dxa" w:w="2000"/>
            <w:shd w:fill="FAFBFC"/>
          </w:tcPr>
          <w:p>
            <w:pPr>
              <w:spacing w:after="0"/>
            </w:pPr>
            <w:r/>
            <w:r>
              <w:rPr>
                <w:rFonts w:ascii="Calibri" w:hAnsi="Calibri"/>
                <w:b w:val="0"/>
                <w:i w:val="0"/>
                <w:color w:val="20262E"/>
                <w:sz w:val="18"/>
              </w:rPr>
              <w:t>Instructions</w:t>
            </w:r>
          </w:p>
        </w:tc>
        <w:tc>
          <w:tcPr>
            <w:tcW w:type="dxa" w:w="7360"/>
            <w:shd w:fill="FAFBFC"/>
          </w:tcPr>
          <w:p>
            <w:pPr>
              <w:spacing w:after="0"/>
            </w:pPr>
            <w:r/>
            <w:r>
              <w:rPr>
                <w:rFonts w:ascii="Calibri" w:hAnsi="Calibri"/>
                <w:b w:val="0"/>
                <w:i w:val="0"/>
                <w:color w:val="20262E"/>
                <w:sz w:val="18"/>
              </w:rPr>
              <w:t>Role, objectives, boundaries, decision rules and response contracts.</w:t>
            </w:r>
          </w:p>
        </w:tc>
      </w:tr>
      <w:tr>
        <w:tc>
          <w:tcPr>
            <w:tcW w:type="dxa" w:w="2000"/>
          </w:tcPr>
          <w:p>
            <w:pPr>
              <w:spacing w:after="0"/>
            </w:pPr>
            <w:r/>
            <w:r>
              <w:rPr>
                <w:rFonts w:ascii="Calibri" w:hAnsi="Calibri"/>
                <w:b w:val="0"/>
                <w:i w:val="0"/>
                <w:color w:val="20262E"/>
                <w:sz w:val="18"/>
              </w:rPr>
              <w:t>Tools</w:t>
            </w:r>
          </w:p>
        </w:tc>
        <w:tc>
          <w:tcPr>
            <w:tcW w:type="dxa" w:w="7360"/>
          </w:tcPr>
          <w:p>
            <w:pPr>
              <w:spacing w:after="0"/>
            </w:pPr>
            <w:r/>
            <w:r>
              <w:rPr>
                <w:rFonts w:ascii="Calibri" w:hAnsi="Calibri"/>
                <w:b w:val="0"/>
                <w:i w:val="0"/>
                <w:color w:val="20262E"/>
                <w:sz w:val="18"/>
              </w:rPr>
              <w:t>Permissioned business capabilities the agent can inspect or invoke.</w:t>
            </w:r>
          </w:p>
        </w:tc>
      </w:tr>
      <w:tr>
        <w:tc>
          <w:tcPr>
            <w:tcW w:type="dxa" w:w="2000"/>
            <w:shd w:fill="FAFBFC"/>
          </w:tcPr>
          <w:p>
            <w:pPr>
              <w:spacing w:after="0"/>
            </w:pPr>
            <w:r/>
            <w:r>
              <w:rPr>
                <w:rFonts w:ascii="Calibri" w:hAnsi="Calibri"/>
                <w:b w:val="0"/>
                <w:i w:val="0"/>
                <w:color w:val="20262E"/>
                <w:sz w:val="18"/>
              </w:rPr>
              <w:t>Knowledge</w:t>
            </w:r>
          </w:p>
        </w:tc>
        <w:tc>
          <w:tcPr>
            <w:tcW w:type="dxa" w:w="7360"/>
            <w:shd w:fill="FAFBFC"/>
          </w:tcPr>
          <w:p>
            <w:pPr>
              <w:spacing w:after="0"/>
            </w:pPr>
            <w:r/>
            <w:r>
              <w:rPr>
                <w:rFonts w:ascii="Calibri" w:hAnsi="Calibri"/>
                <w:b w:val="0"/>
                <w:i w:val="0"/>
                <w:color w:val="20262E"/>
                <w:sz w:val="18"/>
              </w:rPr>
              <w:t>Approved sources, retrieval rules, freshness and citation requirements.</w:t>
            </w:r>
          </w:p>
        </w:tc>
      </w:tr>
      <w:tr>
        <w:tc>
          <w:tcPr>
            <w:tcW w:type="dxa" w:w="2000"/>
          </w:tcPr>
          <w:p>
            <w:pPr>
              <w:spacing w:after="0"/>
            </w:pPr>
            <w:r/>
            <w:r>
              <w:rPr>
                <w:rFonts w:ascii="Calibri" w:hAnsi="Calibri"/>
                <w:b w:val="0"/>
                <w:i w:val="0"/>
                <w:color w:val="20262E"/>
                <w:sz w:val="18"/>
              </w:rPr>
              <w:t>Policies</w:t>
            </w:r>
          </w:p>
        </w:tc>
        <w:tc>
          <w:tcPr>
            <w:tcW w:type="dxa" w:w="7360"/>
          </w:tcPr>
          <w:p>
            <w:pPr>
              <w:spacing w:after="0"/>
            </w:pPr>
            <w:r/>
            <w:r>
              <w:rPr>
                <w:rFonts w:ascii="Calibri" w:hAnsi="Calibri"/>
                <w:b w:val="0"/>
                <w:i w:val="0"/>
                <w:color w:val="20262E"/>
                <w:sz w:val="18"/>
              </w:rPr>
              <w:t>Data, model, tool, cost, approval and retention controls.</w:t>
            </w:r>
          </w:p>
        </w:tc>
      </w:tr>
      <w:tr>
        <w:tc>
          <w:tcPr>
            <w:tcW w:type="dxa" w:w="2000"/>
            <w:shd w:fill="FAFBFC"/>
          </w:tcPr>
          <w:p>
            <w:pPr>
              <w:spacing w:after="0"/>
            </w:pPr>
            <w:r/>
            <w:r>
              <w:rPr>
                <w:rFonts w:ascii="Calibri" w:hAnsi="Calibri"/>
                <w:b w:val="0"/>
                <w:i w:val="0"/>
                <w:color w:val="20262E"/>
                <w:sz w:val="18"/>
              </w:rPr>
              <w:t>Evaluations</w:t>
            </w:r>
          </w:p>
        </w:tc>
        <w:tc>
          <w:tcPr>
            <w:tcW w:type="dxa" w:w="7360"/>
            <w:shd w:fill="FAFBFC"/>
          </w:tcPr>
          <w:p>
            <w:pPr>
              <w:spacing w:after="0"/>
            </w:pPr>
            <w:r/>
            <w:r>
              <w:rPr>
                <w:rFonts w:ascii="Calibri" w:hAnsi="Calibri"/>
                <w:b w:val="0"/>
                <w:i w:val="0"/>
                <w:color w:val="20262E"/>
                <w:sz w:val="18"/>
              </w:rPr>
              <w:t>Domain cases, expected outcomes and release thresholds.</w:t>
            </w:r>
          </w:p>
        </w:tc>
      </w:tr>
      <w:tr>
        <w:tc>
          <w:tcPr>
            <w:tcW w:type="dxa" w:w="2000"/>
          </w:tcPr>
          <w:p>
            <w:pPr>
              <w:spacing w:after="0"/>
            </w:pPr>
            <w:r/>
            <w:r>
              <w:rPr>
                <w:rFonts w:ascii="Calibri" w:hAnsi="Calibri"/>
                <w:b w:val="0"/>
                <w:i w:val="0"/>
                <w:color w:val="20262E"/>
                <w:sz w:val="18"/>
              </w:rPr>
              <w:t>Deployment</w:t>
            </w:r>
          </w:p>
        </w:tc>
        <w:tc>
          <w:tcPr>
            <w:tcW w:type="dxa" w:w="7360"/>
          </w:tcPr>
          <w:p>
            <w:pPr>
              <w:spacing w:after="0"/>
            </w:pPr>
            <w:r/>
            <w:r>
              <w:rPr>
                <w:rFonts w:ascii="Calibri" w:hAnsi="Calibri"/>
                <w:b w:val="0"/>
                <w:i w:val="0"/>
                <w:color w:val="20262E"/>
                <w:sz w:val="18"/>
              </w:rPr>
              <w:t>Runtime and channel configuration for each target environment.</w:t>
            </w:r>
          </w:p>
        </w:tc>
      </w:tr>
    </w:tbl>
    <w:p>
      <w:pPr>
        <w:spacing w:after="0"/>
      </w:pPr>
    </w:p>
    <w:p>
      <w:pPr>
        <w:pStyle w:val="Heading1"/>
      </w:pPr>
      <w:r>
        <w:t>7. Primary customers</w:t>
      </w:r>
    </w:p>
    <w:p>
      <w:r>
        <w:rPr>
          <w:rFonts w:ascii="Calibri" w:hAnsi="Calibri"/>
          <w:b w:val="0"/>
          <w:i w:val="0"/>
          <w:color w:val="20262E"/>
          <w:sz w:val="22"/>
        </w:rPr>
        <w:t>The platform initially serves organizations that must build more than one production agent and cannot accept a different security and deployment stack for every use case.</w:t>
      </w:r>
    </w:p>
    <w:p>
      <w:pPr>
        <w:pStyle w:val="ListBullet"/>
      </w:pPr>
      <w:r>
        <w:rPr>
          <w:rFonts w:ascii="Calibri" w:hAnsi="Calibri"/>
          <w:b w:val="0"/>
          <w:i w:val="0"/>
          <w:color w:val="20262E"/>
          <w:sz w:val="22"/>
        </w:rPr>
        <w:t xml:space="preserve"> </w:t>
      </w:r>
      <w:r>
        <w:rPr>
          <w:rFonts w:ascii="Calibri" w:hAnsi="Calibri"/>
          <w:b/>
          <w:i w:val="0"/>
          <w:color w:val="20262E"/>
          <w:sz w:val="22"/>
        </w:rPr>
        <w:t xml:space="preserve">Enterprise AI platform teams </w:t>
      </w:r>
      <w:r>
        <w:rPr>
          <w:rFonts w:ascii="Calibri" w:hAnsi="Calibri"/>
          <w:b w:val="0"/>
          <w:i w:val="0"/>
          <w:color w:val="20262E"/>
          <w:sz w:val="22"/>
        </w:rPr>
        <w:t>standardizing agent creation across business units.</w:t>
      </w:r>
    </w:p>
    <w:p>
      <w:pPr>
        <w:pStyle w:val="ListBullet"/>
      </w:pPr>
      <w:r>
        <w:rPr>
          <w:rFonts w:ascii="Calibri" w:hAnsi="Calibri"/>
          <w:b w:val="0"/>
          <w:i w:val="0"/>
          <w:color w:val="20262E"/>
          <w:sz w:val="22"/>
        </w:rPr>
        <w:t xml:space="preserve"> </w:t>
      </w:r>
      <w:r>
        <w:rPr>
          <w:rFonts w:ascii="Calibri" w:hAnsi="Calibri"/>
          <w:b/>
          <w:i w:val="0"/>
          <w:color w:val="20262E"/>
          <w:sz w:val="22"/>
        </w:rPr>
        <w:t xml:space="preserve">Software vendors </w:t>
      </w:r>
      <w:r>
        <w:rPr>
          <w:rFonts w:ascii="Calibri" w:hAnsi="Calibri"/>
          <w:b w:val="0"/>
          <w:i w:val="0"/>
          <w:color w:val="20262E"/>
          <w:sz w:val="22"/>
        </w:rPr>
        <w:t>embedding specialized agents into their products.</w:t>
      </w:r>
    </w:p>
    <w:p>
      <w:pPr>
        <w:pStyle w:val="ListBullet"/>
      </w:pPr>
      <w:r>
        <w:rPr>
          <w:rFonts w:ascii="Calibri" w:hAnsi="Calibri"/>
          <w:b w:val="0"/>
          <w:i w:val="0"/>
          <w:color w:val="20262E"/>
          <w:sz w:val="22"/>
        </w:rPr>
        <w:t xml:space="preserve"> </w:t>
      </w:r>
      <w:r>
        <w:rPr>
          <w:rFonts w:ascii="Calibri" w:hAnsi="Calibri"/>
          <w:b/>
          <w:i w:val="0"/>
          <w:color w:val="20262E"/>
          <w:sz w:val="22"/>
        </w:rPr>
        <w:t xml:space="preserve">System integrators and consultancies </w:t>
      </w:r>
      <w:r>
        <w:rPr>
          <w:rFonts w:ascii="Calibri" w:hAnsi="Calibri"/>
          <w:b w:val="0"/>
          <w:i w:val="0"/>
          <w:color w:val="20262E"/>
          <w:sz w:val="22"/>
        </w:rPr>
        <w:t>delivering repeatable vertical solutions to multiple customers.</w:t>
      </w:r>
    </w:p>
    <w:p>
      <w:pPr>
        <w:pStyle w:val="ListBullet"/>
      </w:pPr>
      <w:r>
        <w:rPr>
          <w:rFonts w:ascii="Calibri" w:hAnsi="Calibri"/>
          <w:b w:val="0"/>
          <w:i w:val="0"/>
          <w:color w:val="20262E"/>
          <w:sz w:val="22"/>
        </w:rPr>
        <w:t xml:space="preserve"> </w:t>
      </w:r>
      <w:r>
        <w:rPr>
          <w:rFonts w:ascii="Calibri" w:hAnsi="Calibri"/>
          <w:b/>
          <w:i w:val="0"/>
          <w:color w:val="20262E"/>
          <w:sz w:val="22"/>
        </w:rPr>
        <w:t xml:space="preserve">Regulated or data-sensitive organizations </w:t>
      </w:r>
      <w:r>
        <w:rPr>
          <w:rFonts w:ascii="Calibri" w:hAnsi="Calibri"/>
          <w:b w:val="0"/>
          <w:i w:val="0"/>
          <w:color w:val="20262E"/>
          <w:sz w:val="22"/>
        </w:rPr>
        <w:t>requiring private-cloud, VPC or on-premises execution.</w:t>
      </w:r>
    </w:p>
    <w:p>
      <w:pPr>
        <w:pStyle w:val="ListBullet"/>
      </w:pPr>
      <w:r>
        <w:rPr>
          <w:rFonts w:ascii="Calibri" w:hAnsi="Calibri"/>
          <w:b w:val="0"/>
          <w:i w:val="0"/>
          <w:color w:val="20262E"/>
          <w:sz w:val="22"/>
        </w:rPr>
        <w:t xml:space="preserve"> </w:t>
      </w:r>
      <w:r>
        <w:rPr>
          <w:rFonts w:ascii="Calibri" w:hAnsi="Calibri"/>
          <w:b/>
          <w:i w:val="0"/>
          <w:color w:val="20262E"/>
          <w:sz w:val="22"/>
        </w:rPr>
        <w:t xml:space="preserve">Domain solution providers </w:t>
      </w:r>
      <w:r>
        <w:rPr>
          <w:rFonts w:ascii="Calibri" w:hAnsi="Calibri"/>
          <w:b w:val="0"/>
          <w:i w:val="0"/>
          <w:color w:val="20262E"/>
          <w:sz w:val="22"/>
        </w:rPr>
        <w:t>packaging proprietary knowledge, tools and evaluations as reusable agents.</w:t>
      </w:r>
    </w:p>
    <w:p>
      <w:pPr>
        <w:pStyle w:val="Heading1"/>
      </w:pPr>
      <w:r>
        <w:t>8. Strategic pillars</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vAlign w:val="center"/>
            <w:tcMar>
              <w:top w:w="80" w:type="dxa"/>
              <w:start w:w="120" w:type="dxa"/>
              <w:bottom w:w="80" w:type="dxa"/>
              <w:end w:w="120" w:type="dxa"/>
            </w:tcMar>
            <w:shd w:fill="F2F4F7"/>
          </w:tcPr>
          <w:p>
            <w:pPr>
              <w:jc w:val="left"/>
            </w:pPr>
            <w:r/>
            <w:r>
              <w:rPr>
                <w:rFonts w:ascii="Calibri" w:hAnsi="Calibri"/>
                <w:b/>
                <w:i w:val="0"/>
                <w:color w:val="0B2545"/>
                <w:sz w:val="17"/>
              </w:rPr>
              <w:t>Pillar</w:t>
            </w:r>
          </w:p>
        </w:tc>
        <w:tc>
          <w:tcPr>
            <w:tcW w:type="dxa" w:w="3900"/>
            <w:vAlign w:val="center"/>
            <w:tcMar>
              <w:top w:w="80" w:type="dxa"/>
              <w:start w:w="120" w:type="dxa"/>
              <w:bottom w:w="80" w:type="dxa"/>
              <w:end w:w="120" w:type="dxa"/>
            </w:tcMar>
            <w:shd w:fill="F2F4F7"/>
          </w:tcPr>
          <w:p>
            <w:pPr>
              <w:jc w:val="left"/>
            </w:pPr>
            <w:r/>
            <w:r>
              <w:rPr>
                <w:rFonts w:ascii="Calibri" w:hAnsi="Calibri"/>
                <w:b/>
                <w:i w:val="0"/>
                <w:color w:val="0B2545"/>
                <w:sz w:val="17"/>
              </w:rPr>
              <w:t>Commitment</w:t>
            </w:r>
          </w:p>
        </w:tc>
        <w:tc>
          <w:tcPr>
            <w:tcW w:type="dxa" w:w="3760"/>
            <w:vAlign w:val="center"/>
            <w:tcMar>
              <w:top w:w="80" w:type="dxa"/>
              <w:start w:w="120" w:type="dxa"/>
              <w:bottom w:w="80" w:type="dxa"/>
              <w:end w:w="120" w:type="dxa"/>
            </w:tcMar>
            <w:shd w:fill="F2F4F7"/>
          </w:tcPr>
          <w:p>
            <w:pPr>
              <w:jc w:val="left"/>
            </w:pPr>
            <w:r/>
            <w:r>
              <w:rPr>
                <w:rFonts w:ascii="Calibri" w:hAnsi="Calibri"/>
                <w:b/>
                <w:i w:val="0"/>
                <w:color w:val="0B2545"/>
                <w:sz w:val="17"/>
              </w:rPr>
              <w:t>Customer outcome</w:t>
            </w:r>
          </w:p>
        </w:tc>
      </w:tr>
      <w:tr>
        <w:tc>
          <w:tcPr>
            <w:tcW w:type="dxa" w:w="1700"/>
          </w:tcPr>
          <w:p>
            <w:pPr>
              <w:spacing w:after="0"/>
            </w:pPr>
            <w:r/>
            <w:r>
              <w:rPr>
                <w:rFonts w:ascii="Calibri" w:hAnsi="Calibri"/>
                <w:b w:val="0"/>
                <w:i w:val="0"/>
                <w:color w:val="20262E"/>
                <w:sz w:val="17"/>
              </w:rPr>
              <w:t>Portable by design</w:t>
            </w:r>
          </w:p>
        </w:tc>
        <w:tc>
          <w:tcPr>
            <w:tcW w:type="dxa" w:w="3900"/>
          </w:tcPr>
          <w:p>
            <w:pPr>
              <w:spacing w:after="0"/>
            </w:pPr>
            <w:r/>
            <w:r>
              <w:rPr>
                <w:rFonts w:ascii="Calibri" w:hAnsi="Calibri"/>
                <w:b w:val="0"/>
                <w:i w:val="0"/>
                <w:color w:val="20262E"/>
                <w:sz w:val="17"/>
              </w:rPr>
              <w:t>The agent definition is separable from model provider, runtime location and presentation channel.</w:t>
            </w:r>
          </w:p>
        </w:tc>
        <w:tc>
          <w:tcPr>
            <w:tcW w:type="dxa" w:w="3760"/>
          </w:tcPr>
          <w:p>
            <w:pPr>
              <w:spacing w:after="0"/>
            </w:pPr>
            <w:r/>
            <w:r>
              <w:rPr>
                <w:rFonts w:ascii="Calibri" w:hAnsi="Calibri"/>
                <w:b w:val="0"/>
                <w:i w:val="0"/>
                <w:color w:val="20262E"/>
                <w:sz w:val="17"/>
              </w:rPr>
              <w:t>Customers retain architectural choice and negotiating leverage.</w:t>
            </w:r>
          </w:p>
        </w:tc>
      </w:tr>
      <w:tr>
        <w:tc>
          <w:tcPr>
            <w:tcW w:type="dxa" w:w="1700"/>
            <w:shd w:fill="FAFBFC"/>
          </w:tcPr>
          <w:p>
            <w:pPr>
              <w:spacing w:after="0"/>
            </w:pPr>
            <w:r/>
            <w:r>
              <w:rPr>
                <w:rFonts w:ascii="Calibri" w:hAnsi="Calibri"/>
                <w:b w:val="0"/>
                <w:i w:val="0"/>
                <w:color w:val="20262E"/>
                <w:sz w:val="17"/>
              </w:rPr>
              <w:t>Secure by construction</w:t>
            </w:r>
          </w:p>
        </w:tc>
        <w:tc>
          <w:tcPr>
            <w:tcW w:type="dxa" w:w="3900"/>
            <w:shd w:fill="FAFBFC"/>
          </w:tcPr>
          <w:p>
            <w:pPr>
              <w:spacing w:after="0"/>
            </w:pPr>
            <w:r/>
            <w:r>
              <w:rPr>
                <w:rFonts w:ascii="Calibri" w:hAnsi="Calibri"/>
                <w:b w:val="0"/>
                <w:i w:val="0"/>
                <w:color w:val="20262E"/>
                <w:sz w:val="17"/>
              </w:rPr>
              <w:t>Identity, least privilege, approvals, secrets, audit and isolation are native primitives.</w:t>
            </w:r>
          </w:p>
        </w:tc>
        <w:tc>
          <w:tcPr>
            <w:tcW w:type="dxa" w:w="3760"/>
            <w:shd w:fill="FAFBFC"/>
          </w:tcPr>
          <w:p>
            <w:pPr>
              <w:spacing w:after="0"/>
            </w:pPr>
            <w:r/>
            <w:r>
              <w:rPr>
                <w:rFonts w:ascii="Calibri" w:hAnsi="Calibri"/>
                <w:b w:val="0"/>
                <w:i w:val="0"/>
                <w:color w:val="20262E"/>
                <w:sz w:val="17"/>
              </w:rPr>
              <w:t>Security teams can approve a governed system rather than inspect ad hoc code.</w:t>
            </w:r>
          </w:p>
        </w:tc>
      </w:tr>
      <w:tr>
        <w:tc>
          <w:tcPr>
            <w:tcW w:type="dxa" w:w="1700"/>
          </w:tcPr>
          <w:p>
            <w:pPr>
              <w:spacing w:after="0"/>
            </w:pPr>
            <w:r/>
            <w:r>
              <w:rPr>
                <w:rFonts w:ascii="Calibri" w:hAnsi="Calibri"/>
                <w:b w:val="0"/>
                <w:i w:val="0"/>
                <w:color w:val="20262E"/>
                <w:sz w:val="17"/>
              </w:rPr>
              <w:t>Evidence before autonomy</w:t>
            </w:r>
          </w:p>
        </w:tc>
        <w:tc>
          <w:tcPr>
            <w:tcW w:type="dxa" w:w="3900"/>
          </w:tcPr>
          <w:p>
            <w:pPr>
              <w:spacing w:after="0"/>
            </w:pPr>
            <w:r/>
            <w:r>
              <w:rPr>
                <w:rFonts w:ascii="Calibri" w:hAnsi="Calibri"/>
                <w:b w:val="0"/>
                <w:i w:val="0"/>
                <w:color w:val="20262E"/>
                <w:sz w:val="17"/>
              </w:rPr>
              <w:t>Every agent version is evaluated, approved and observable before production promotion.</w:t>
            </w:r>
          </w:p>
        </w:tc>
        <w:tc>
          <w:tcPr>
            <w:tcW w:type="dxa" w:w="3760"/>
          </w:tcPr>
          <w:p>
            <w:pPr>
              <w:spacing w:after="0"/>
            </w:pPr>
            <w:r/>
            <w:r>
              <w:rPr>
                <w:rFonts w:ascii="Calibri" w:hAnsi="Calibri"/>
                <w:b w:val="0"/>
                <w:i w:val="0"/>
                <w:color w:val="20262E"/>
                <w:sz w:val="17"/>
              </w:rPr>
              <w:t>Teams increase autonomy based on measured evidence.</w:t>
            </w:r>
          </w:p>
        </w:tc>
      </w:tr>
      <w:tr>
        <w:tc>
          <w:tcPr>
            <w:tcW w:type="dxa" w:w="1700"/>
            <w:shd w:fill="FAFBFC"/>
          </w:tcPr>
          <w:p>
            <w:pPr>
              <w:spacing w:after="0"/>
            </w:pPr>
            <w:r/>
            <w:r>
              <w:rPr>
                <w:rFonts w:ascii="Calibri" w:hAnsi="Calibri"/>
                <w:b w:val="0"/>
                <w:i w:val="0"/>
                <w:color w:val="20262E"/>
                <w:sz w:val="17"/>
              </w:rPr>
              <w:t>Domain extensibility</w:t>
            </w:r>
          </w:p>
        </w:tc>
        <w:tc>
          <w:tcPr>
            <w:tcW w:type="dxa" w:w="3900"/>
            <w:shd w:fill="FAFBFC"/>
          </w:tcPr>
          <w:p>
            <w:pPr>
              <w:spacing w:after="0"/>
            </w:pPr>
            <w:r/>
            <w:r>
              <w:rPr>
                <w:rFonts w:ascii="Calibri" w:hAnsi="Calibri"/>
                <w:b w:val="0"/>
                <w:i w:val="0"/>
                <w:color w:val="20262E"/>
                <w:sz w:val="17"/>
              </w:rPr>
              <w:t>Vertical knowledge, policies, tools and test suites are installable packages.</w:t>
            </w:r>
          </w:p>
        </w:tc>
        <w:tc>
          <w:tcPr>
            <w:tcW w:type="dxa" w:w="3760"/>
            <w:shd w:fill="FAFBFC"/>
          </w:tcPr>
          <w:p>
            <w:pPr>
              <w:spacing w:after="0"/>
            </w:pPr>
            <w:r/>
            <w:r>
              <w:rPr>
                <w:rFonts w:ascii="Calibri" w:hAnsi="Calibri"/>
                <w:b w:val="0"/>
                <w:i w:val="0"/>
                <w:color w:val="20262E"/>
                <w:sz w:val="17"/>
              </w:rPr>
              <w:t>Partners supply expertise without forking the platform.</w:t>
            </w:r>
          </w:p>
        </w:tc>
      </w:tr>
      <w:tr>
        <w:tc>
          <w:tcPr>
            <w:tcW w:type="dxa" w:w="1700"/>
          </w:tcPr>
          <w:p>
            <w:pPr>
              <w:spacing w:after="0"/>
            </w:pPr>
            <w:r/>
            <w:r>
              <w:rPr>
                <w:rFonts w:ascii="Calibri" w:hAnsi="Calibri"/>
                <w:b w:val="0"/>
                <w:i w:val="0"/>
                <w:color w:val="20262E"/>
                <w:sz w:val="17"/>
              </w:rPr>
              <w:t>Operational simplicity</w:t>
            </w:r>
          </w:p>
        </w:tc>
        <w:tc>
          <w:tcPr>
            <w:tcW w:type="dxa" w:w="3900"/>
          </w:tcPr>
          <w:p>
            <w:pPr>
              <w:spacing w:after="0"/>
            </w:pPr>
            <w:r/>
            <w:r>
              <w:rPr>
                <w:rFonts w:ascii="Calibri" w:hAnsi="Calibri"/>
                <w:b w:val="0"/>
                <w:i w:val="0"/>
                <w:color w:val="20262E"/>
                <w:sz w:val="17"/>
              </w:rPr>
              <w:t>Creation, release, rollback and runtime management use one lifecycle.</w:t>
            </w:r>
          </w:p>
        </w:tc>
        <w:tc>
          <w:tcPr>
            <w:tcW w:type="dxa" w:w="3760"/>
          </w:tcPr>
          <w:p>
            <w:pPr>
              <w:spacing w:after="0"/>
            </w:pPr>
            <w:r/>
            <w:r>
              <w:rPr>
                <w:rFonts w:ascii="Calibri" w:hAnsi="Calibri"/>
                <w:b w:val="0"/>
                <w:i w:val="0"/>
                <w:color w:val="20262E"/>
                <w:sz w:val="17"/>
              </w:rPr>
              <w:t>Teams move from experiment to production without rebuilding.</w:t>
            </w:r>
          </w:p>
        </w:tc>
      </w:tr>
      <w:tr>
        <w:tc>
          <w:tcPr>
            <w:tcW w:type="dxa" w:w="1700"/>
            <w:shd w:fill="FAFBFC"/>
          </w:tcPr>
          <w:p>
            <w:pPr>
              <w:spacing w:after="0"/>
            </w:pPr>
            <w:r/>
            <w:r>
              <w:rPr>
                <w:rFonts w:ascii="Calibri" w:hAnsi="Calibri"/>
                <w:b w:val="0"/>
                <w:i w:val="0"/>
                <w:color w:val="20262E"/>
                <w:sz w:val="17"/>
              </w:rPr>
              <w:t>Economic control</w:t>
            </w:r>
          </w:p>
        </w:tc>
        <w:tc>
          <w:tcPr>
            <w:tcW w:type="dxa" w:w="3900"/>
            <w:shd w:fill="FAFBFC"/>
          </w:tcPr>
          <w:p>
            <w:pPr>
              <w:spacing w:after="0"/>
            </w:pPr>
            <w:r/>
            <w:r>
              <w:rPr>
                <w:rFonts w:ascii="Calibri" w:hAnsi="Calibri"/>
                <w:b w:val="0"/>
                <w:i w:val="0"/>
                <w:color w:val="20262E"/>
                <w:sz w:val="17"/>
              </w:rPr>
              <w:t>Models are selected and routed against quality, risk, latency and cost policies.</w:t>
            </w:r>
          </w:p>
        </w:tc>
        <w:tc>
          <w:tcPr>
            <w:tcW w:type="dxa" w:w="3760"/>
            <w:shd w:fill="FAFBFC"/>
          </w:tcPr>
          <w:p>
            <w:pPr>
              <w:spacing w:after="0"/>
            </w:pPr>
            <w:r/>
            <w:r>
              <w:rPr>
                <w:rFonts w:ascii="Calibri" w:hAnsi="Calibri"/>
                <w:b w:val="0"/>
                <w:i w:val="0"/>
                <w:color w:val="20262E"/>
                <w:sz w:val="17"/>
              </w:rPr>
              <w:t>Customers optimize cost per successful task, not cost per token.</w:t>
            </w:r>
          </w:p>
        </w:tc>
      </w:tr>
    </w:tbl>
    <w:p>
      <w:pPr>
        <w:spacing w:after="0"/>
      </w:pPr>
    </w:p>
    <w:p>
      <w:pPr>
        <w:pStyle w:val="Heading1"/>
      </w:pPr>
      <w:r>
        <w:t>9. Product principles</w:t>
      </w:r>
    </w:p>
    <w:p>
      <w:pPr>
        <w:pStyle w:val="ListBullet"/>
      </w:pPr>
      <w:r>
        <w:rPr>
          <w:rFonts w:ascii="Calibri" w:hAnsi="Calibri"/>
          <w:b w:val="0"/>
          <w:i w:val="0"/>
          <w:color w:val="20262E"/>
          <w:sz w:val="22"/>
        </w:rPr>
        <w:t xml:space="preserve"> </w:t>
      </w:r>
      <w:r>
        <w:rPr>
          <w:rFonts w:ascii="Calibri" w:hAnsi="Calibri"/>
          <w:b/>
          <w:i w:val="0"/>
          <w:color w:val="20262E"/>
          <w:sz w:val="22"/>
        </w:rPr>
        <w:t xml:space="preserve">Bounded autonomy over unrestricted autonomy. </w:t>
      </w:r>
      <w:r>
        <w:rPr>
          <w:rFonts w:ascii="Calibri" w:hAnsi="Calibri"/>
          <w:b w:val="0"/>
          <w:i w:val="0"/>
          <w:color w:val="20262E"/>
          <w:sz w:val="22"/>
        </w:rPr>
        <w:t>High-impact actions require explicit scopes, validations and approvals.</w:t>
      </w:r>
    </w:p>
    <w:p>
      <w:pPr>
        <w:pStyle w:val="ListBullet"/>
      </w:pPr>
      <w:r>
        <w:rPr>
          <w:rFonts w:ascii="Calibri" w:hAnsi="Calibri"/>
          <w:b w:val="0"/>
          <w:i w:val="0"/>
          <w:color w:val="20262E"/>
          <w:sz w:val="22"/>
        </w:rPr>
        <w:t xml:space="preserve"> </w:t>
      </w:r>
      <w:r>
        <w:rPr>
          <w:rFonts w:ascii="Calibri" w:hAnsi="Calibri"/>
          <w:b/>
          <w:i w:val="0"/>
          <w:color w:val="20262E"/>
          <w:sz w:val="22"/>
        </w:rPr>
        <w:t xml:space="preserve">One definition, multiple runtimes. </w:t>
      </w:r>
      <w:r>
        <w:rPr>
          <w:rFonts w:ascii="Calibri" w:hAnsi="Calibri"/>
          <w:b w:val="0"/>
          <w:i w:val="0"/>
          <w:color w:val="20262E"/>
          <w:sz w:val="22"/>
        </w:rPr>
        <w:t>Cloud, dedicated and customer-managed execution share the same agent contract.</w:t>
      </w:r>
    </w:p>
    <w:p>
      <w:pPr>
        <w:pStyle w:val="ListBullet"/>
      </w:pPr>
      <w:r>
        <w:rPr>
          <w:rFonts w:ascii="Calibri" w:hAnsi="Calibri"/>
          <w:b w:val="0"/>
          <w:i w:val="0"/>
          <w:color w:val="20262E"/>
          <w:sz w:val="22"/>
        </w:rPr>
        <w:t xml:space="preserve"> </w:t>
      </w:r>
      <w:r>
        <w:rPr>
          <w:rFonts w:ascii="Calibri" w:hAnsi="Calibri"/>
          <w:b/>
          <w:i w:val="0"/>
          <w:color w:val="20262E"/>
          <w:sz w:val="22"/>
        </w:rPr>
        <w:t xml:space="preserve">Configuration where possible, code where necessary. </w:t>
      </w:r>
      <w:r>
        <w:rPr>
          <w:rFonts w:ascii="Calibri" w:hAnsi="Calibri"/>
          <w:b w:val="0"/>
          <w:i w:val="0"/>
          <w:color w:val="20262E"/>
          <w:sz w:val="22"/>
        </w:rPr>
        <w:t>Visual, declarative and SDK authoring converge on one representation.</w:t>
      </w:r>
    </w:p>
    <w:p>
      <w:pPr>
        <w:pStyle w:val="ListBullet"/>
      </w:pPr>
      <w:r>
        <w:rPr>
          <w:rFonts w:ascii="Calibri" w:hAnsi="Calibri"/>
          <w:b w:val="0"/>
          <w:i w:val="0"/>
          <w:color w:val="20262E"/>
          <w:sz w:val="22"/>
        </w:rPr>
        <w:t xml:space="preserve"> </w:t>
      </w:r>
      <w:r>
        <w:rPr>
          <w:rFonts w:ascii="Calibri" w:hAnsi="Calibri"/>
          <w:b/>
          <w:i w:val="0"/>
          <w:color w:val="20262E"/>
          <w:sz w:val="22"/>
        </w:rPr>
        <w:t xml:space="preserve">Policies are executable. </w:t>
      </w:r>
      <w:r>
        <w:rPr>
          <w:rFonts w:ascii="Calibri" w:hAnsi="Calibri"/>
          <w:b w:val="0"/>
          <w:i w:val="0"/>
          <w:color w:val="20262E"/>
          <w:sz w:val="22"/>
        </w:rPr>
        <w:t>Governance must be enforced during execution rather than described only in documentation.</w:t>
      </w:r>
    </w:p>
    <w:p>
      <w:pPr>
        <w:pStyle w:val="ListBullet"/>
      </w:pPr>
      <w:r>
        <w:rPr>
          <w:rFonts w:ascii="Calibri" w:hAnsi="Calibri"/>
          <w:b w:val="0"/>
          <w:i w:val="0"/>
          <w:color w:val="20262E"/>
          <w:sz w:val="22"/>
        </w:rPr>
        <w:t xml:space="preserve"> </w:t>
      </w:r>
      <w:r>
        <w:rPr>
          <w:rFonts w:ascii="Calibri" w:hAnsi="Calibri"/>
          <w:b/>
          <w:i w:val="0"/>
          <w:color w:val="20262E"/>
          <w:sz w:val="22"/>
        </w:rPr>
        <w:t xml:space="preserve">Every release is reversible. </w:t>
      </w:r>
      <w:r>
        <w:rPr>
          <w:rFonts w:ascii="Calibri" w:hAnsi="Calibri"/>
          <w:b w:val="0"/>
          <w:i w:val="0"/>
          <w:color w:val="20262E"/>
          <w:sz w:val="22"/>
        </w:rPr>
        <w:t>Version pinning, staged promotion, kill switches and rollback are required.</w:t>
      </w:r>
    </w:p>
    <w:p>
      <w:pPr>
        <w:pStyle w:val="ListBullet"/>
      </w:pPr>
      <w:r>
        <w:rPr>
          <w:rFonts w:ascii="Calibri" w:hAnsi="Calibri"/>
          <w:b w:val="0"/>
          <w:i w:val="0"/>
          <w:color w:val="20262E"/>
          <w:sz w:val="22"/>
        </w:rPr>
        <w:t xml:space="preserve"> </w:t>
      </w:r>
      <w:r>
        <w:rPr>
          <w:rFonts w:ascii="Calibri" w:hAnsi="Calibri"/>
          <w:b/>
          <w:i w:val="0"/>
          <w:color w:val="20262E"/>
          <w:sz w:val="22"/>
        </w:rPr>
        <w:t xml:space="preserve">Open standards at the boundaries. </w:t>
      </w:r>
      <w:r>
        <w:rPr>
          <w:rFonts w:ascii="Calibri" w:hAnsi="Calibri"/>
          <w:b w:val="0"/>
          <w:i w:val="0"/>
          <w:color w:val="20262E"/>
          <w:sz w:val="22"/>
        </w:rPr>
        <w:t>OpenAPI, OAuth, MCP and portable telemetry reduce proprietary coupling.</w:t>
      </w:r>
    </w:p>
    <w:p>
      <w:pPr>
        <w:pStyle w:val="ListBullet"/>
      </w:pPr>
      <w:r>
        <w:rPr>
          <w:rFonts w:ascii="Calibri" w:hAnsi="Calibri"/>
          <w:b w:val="0"/>
          <w:i w:val="0"/>
          <w:color w:val="20262E"/>
          <w:sz w:val="22"/>
        </w:rPr>
        <w:t xml:space="preserve"> </w:t>
      </w:r>
      <w:r>
        <w:rPr>
          <w:rFonts w:ascii="Calibri" w:hAnsi="Calibri"/>
          <w:b/>
          <w:i w:val="0"/>
          <w:color w:val="20262E"/>
          <w:sz w:val="22"/>
        </w:rPr>
        <w:t xml:space="preserve">Human responsibility remains visible. </w:t>
      </w:r>
      <w:r>
        <w:rPr>
          <w:rFonts w:ascii="Calibri" w:hAnsi="Calibri"/>
          <w:b w:val="0"/>
          <w:i w:val="0"/>
          <w:color w:val="20262E"/>
          <w:sz w:val="22"/>
        </w:rPr>
        <w:t>The platform records who authored, approved, deployed and supervised each agent.</w:t>
      </w:r>
    </w:p>
    <w:p>
      <w:pPr>
        <w:pStyle w:val="Heading1"/>
      </w:pPr>
      <w:r>
        <w:t>10. What we will not become</w:t>
      </w:r>
    </w:p>
    <w:p>
      <w:pPr>
        <w:pStyle w:val="ListBullet"/>
      </w:pPr>
      <w:r>
        <w:rPr>
          <w:rFonts w:ascii="Calibri" w:hAnsi="Calibri"/>
          <w:b w:val="0"/>
          <w:i w:val="0"/>
          <w:color w:val="20262E"/>
          <w:sz w:val="22"/>
        </w:rPr>
        <w:t xml:space="preserve"> </w:t>
      </w:r>
      <w:r>
        <w:rPr>
          <w:rFonts w:ascii="Calibri" w:hAnsi="Calibri"/>
          <w:b w:val="0"/>
          <w:i w:val="0"/>
          <w:color w:val="20262E"/>
          <w:sz w:val="22"/>
        </w:rPr>
        <w:t>A proprietary foundation-model company.</w:t>
      </w:r>
    </w:p>
    <w:p>
      <w:pPr>
        <w:pStyle w:val="ListBullet"/>
      </w:pPr>
      <w:r>
        <w:rPr>
          <w:rFonts w:ascii="Calibri" w:hAnsi="Calibri"/>
          <w:b w:val="0"/>
          <w:i w:val="0"/>
          <w:color w:val="20262E"/>
          <w:sz w:val="22"/>
        </w:rPr>
        <w:t xml:space="preserve"> </w:t>
      </w:r>
      <w:r>
        <w:rPr>
          <w:rFonts w:ascii="Calibri" w:hAnsi="Calibri"/>
          <w:b w:val="0"/>
          <w:i w:val="0"/>
          <w:color w:val="20262E"/>
          <w:sz w:val="22"/>
        </w:rPr>
        <w:t>A generic consumer chatbot directory.</w:t>
      </w:r>
    </w:p>
    <w:p>
      <w:pPr>
        <w:pStyle w:val="ListBullet"/>
      </w:pPr>
      <w:r>
        <w:rPr>
          <w:rFonts w:ascii="Calibri" w:hAnsi="Calibri"/>
          <w:b w:val="0"/>
          <w:i w:val="0"/>
          <w:color w:val="20262E"/>
          <w:sz w:val="22"/>
        </w:rPr>
        <w:t xml:space="preserve"> </w:t>
      </w:r>
      <w:r>
        <w:rPr>
          <w:rFonts w:ascii="Calibri" w:hAnsi="Calibri"/>
          <w:b w:val="0"/>
          <w:i w:val="0"/>
          <w:color w:val="20262E"/>
          <w:sz w:val="22"/>
        </w:rPr>
        <w:t>A thin prompt marketplace with no runtime guarantees.</w:t>
      </w:r>
    </w:p>
    <w:p>
      <w:pPr>
        <w:pStyle w:val="ListBullet"/>
      </w:pPr>
      <w:r>
        <w:rPr>
          <w:rFonts w:ascii="Calibri" w:hAnsi="Calibri"/>
          <w:b w:val="0"/>
          <w:i w:val="0"/>
          <w:color w:val="20262E"/>
          <w:sz w:val="22"/>
        </w:rPr>
        <w:t xml:space="preserve"> </w:t>
      </w:r>
      <w:r>
        <w:rPr>
          <w:rFonts w:ascii="Calibri" w:hAnsi="Calibri"/>
          <w:b w:val="0"/>
          <w:i w:val="0"/>
          <w:color w:val="20262E"/>
          <w:sz w:val="22"/>
        </w:rPr>
        <w:t>A replacement for every workflow, integration or business-process platform.</w:t>
      </w:r>
    </w:p>
    <w:p>
      <w:pPr>
        <w:pStyle w:val="ListBullet"/>
      </w:pPr>
      <w:r>
        <w:rPr>
          <w:rFonts w:ascii="Calibri" w:hAnsi="Calibri"/>
          <w:b w:val="0"/>
          <w:i w:val="0"/>
          <w:color w:val="20262E"/>
          <w:sz w:val="22"/>
        </w:rPr>
        <w:t xml:space="preserve"> </w:t>
      </w:r>
      <w:r>
        <w:rPr>
          <w:rFonts w:ascii="Calibri" w:hAnsi="Calibri"/>
          <w:b w:val="0"/>
          <w:i w:val="0"/>
          <w:color w:val="20262E"/>
          <w:sz w:val="22"/>
        </w:rPr>
        <w:t>A claim of automatic regulatory compliance. We provide enforceable controls and evidence; customers remain responsible for their legal obligations.</w:t>
      </w:r>
    </w:p>
    <w:p>
      <w:pPr>
        <w:pStyle w:val="ListBullet"/>
      </w:pPr>
      <w:r>
        <w:rPr>
          <w:rFonts w:ascii="Calibri" w:hAnsi="Calibri"/>
          <w:b w:val="0"/>
          <w:i w:val="0"/>
          <w:color w:val="20262E"/>
          <w:sz w:val="22"/>
        </w:rPr>
        <w:t xml:space="preserve"> </w:t>
      </w:r>
      <w:r>
        <w:rPr>
          <w:rFonts w:ascii="Calibri" w:hAnsi="Calibri"/>
          <w:b w:val="0"/>
          <w:i w:val="0"/>
          <w:color w:val="20262E"/>
          <w:sz w:val="22"/>
        </w:rPr>
        <w:t>A system that requires customers to surrender model, cloud or deployment choice.</w:t>
      </w:r>
    </w:p>
    <w:p>
      <w:pPr>
        <w:pStyle w:val="Heading1"/>
      </w:pPr>
      <w:r>
        <w:t>11. Long-term product horizon</w:t>
      </w:r>
    </w:p>
    <w:tbl>
      <w:tblPr>
        <w:tblStyle w:val="TableGrid"/>
        <w:tblW w:type="dxa" w:w="9360"/>
        <w:jc w:val="left"/>
        <w:tblLayout w:type="fixed"/>
        <w:tblLook w:firstColumn="1" w:firstRow="1" w:lastColumn="0" w:lastRow="0" w:noHBand="0" w:noVBand="1" w:val="04A0"/>
        <w:tblInd w:w="120" w:type="dxa"/>
      </w:tblPr>
      <w:tblGrid>
        <w:gridCol w:w="1300"/>
        <w:gridCol w:w="4360"/>
        <w:gridCol w:w="3700"/>
      </w:tblGrid>
      <w:tr>
        <w:trPr>
          <w:tblHeader w:val="true"/>
        </w:trPr>
        <w:tc>
          <w:tcPr>
            <w:tcW w:type="dxa" w:w="1300"/>
            <w:vAlign w:val="center"/>
            <w:tcMar>
              <w:top w:w="80" w:type="dxa"/>
              <w:start w:w="120" w:type="dxa"/>
              <w:bottom w:w="80" w:type="dxa"/>
              <w:end w:w="120" w:type="dxa"/>
            </w:tcMar>
            <w:shd w:fill="F2F4F7"/>
          </w:tcPr>
          <w:p>
            <w:pPr>
              <w:jc w:val="left"/>
            </w:pPr>
            <w:r/>
            <w:r>
              <w:rPr>
                <w:rFonts w:ascii="Calibri" w:hAnsi="Calibri"/>
                <w:b/>
                <w:i w:val="0"/>
                <w:color w:val="0B2545"/>
                <w:sz w:val="17"/>
              </w:rPr>
              <w:t>Horizon</w:t>
            </w:r>
          </w:p>
        </w:tc>
        <w:tc>
          <w:tcPr>
            <w:tcW w:type="dxa" w:w="4360"/>
            <w:vAlign w:val="center"/>
            <w:tcMar>
              <w:top w:w="80" w:type="dxa"/>
              <w:start w:w="120" w:type="dxa"/>
              <w:bottom w:w="80" w:type="dxa"/>
              <w:end w:w="120" w:type="dxa"/>
            </w:tcMar>
            <w:shd w:fill="F2F4F7"/>
          </w:tcPr>
          <w:p>
            <w:pPr>
              <w:jc w:val="left"/>
            </w:pPr>
            <w:r/>
            <w:r>
              <w:rPr>
                <w:rFonts w:ascii="Calibri" w:hAnsi="Calibri"/>
                <w:b/>
                <w:i w:val="0"/>
                <w:color w:val="0B2545"/>
                <w:sz w:val="17"/>
              </w:rPr>
              <w:t>Platform capability</w:t>
            </w:r>
          </w:p>
        </w:tc>
        <w:tc>
          <w:tcPr>
            <w:tcW w:type="dxa" w:w="3700"/>
            <w:vAlign w:val="center"/>
            <w:tcMar>
              <w:top w:w="80" w:type="dxa"/>
              <w:start w:w="120" w:type="dxa"/>
              <w:bottom w:w="80" w:type="dxa"/>
              <w:end w:w="120" w:type="dxa"/>
            </w:tcMar>
            <w:shd w:fill="F2F4F7"/>
          </w:tcPr>
          <w:p>
            <w:pPr>
              <w:jc w:val="left"/>
            </w:pPr>
            <w:r/>
            <w:r>
              <w:rPr>
                <w:rFonts w:ascii="Calibri" w:hAnsi="Calibri"/>
                <w:b/>
                <w:i w:val="0"/>
                <w:color w:val="0B2545"/>
                <w:sz w:val="17"/>
              </w:rPr>
              <w:t>Proof</w:t>
            </w:r>
          </w:p>
        </w:tc>
      </w:tr>
      <w:tr>
        <w:tc>
          <w:tcPr>
            <w:tcW w:type="dxa" w:w="1300"/>
          </w:tcPr>
          <w:p>
            <w:pPr>
              <w:spacing w:after="0"/>
            </w:pPr>
            <w:r/>
            <w:r>
              <w:rPr>
                <w:rFonts w:ascii="Calibri" w:hAnsi="Calibri"/>
                <w:b w:val="0"/>
                <w:i w:val="0"/>
                <w:color w:val="20262E"/>
                <w:sz w:val="17"/>
              </w:rPr>
              <w:t>Foundation</w:t>
            </w:r>
          </w:p>
        </w:tc>
        <w:tc>
          <w:tcPr>
            <w:tcW w:type="dxa" w:w="4360"/>
          </w:tcPr>
          <w:p>
            <w:pPr>
              <w:spacing w:after="0"/>
            </w:pPr>
            <w:r/>
            <w:r>
              <w:rPr>
                <w:rFonts w:ascii="Calibri" w:hAnsi="Calibri"/>
                <w:b w:val="0"/>
                <w:i w:val="0"/>
                <w:color w:val="20262E"/>
                <w:sz w:val="17"/>
              </w:rPr>
              <w:t>Agent packages, managed runtime, tools, policies, evaluations and API deployment.</w:t>
            </w:r>
          </w:p>
        </w:tc>
        <w:tc>
          <w:tcPr>
            <w:tcW w:type="dxa" w:w="3700"/>
          </w:tcPr>
          <w:p>
            <w:pPr>
              <w:spacing w:after="0"/>
            </w:pPr>
            <w:r/>
            <w:r>
              <w:rPr>
                <w:rFonts w:ascii="Calibri" w:hAnsi="Calibri"/>
                <w:b w:val="0"/>
                <w:i w:val="0"/>
                <w:color w:val="20262E"/>
                <w:sz w:val="17"/>
              </w:rPr>
              <w:t>Design partners operate production agents through a common lifecycle.</w:t>
            </w:r>
          </w:p>
        </w:tc>
      </w:tr>
      <w:tr>
        <w:tc>
          <w:tcPr>
            <w:tcW w:type="dxa" w:w="1300"/>
            <w:shd w:fill="FAFBFC"/>
          </w:tcPr>
          <w:p>
            <w:pPr>
              <w:spacing w:after="0"/>
            </w:pPr>
            <w:r/>
            <w:r>
              <w:rPr>
                <w:rFonts w:ascii="Calibri" w:hAnsi="Calibri"/>
                <w:b w:val="0"/>
                <w:i w:val="0"/>
                <w:color w:val="20262E"/>
                <w:sz w:val="17"/>
              </w:rPr>
              <w:t>Portability</w:t>
            </w:r>
          </w:p>
        </w:tc>
        <w:tc>
          <w:tcPr>
            <w:tcW w:type="dxa" w:w="4360"/>
            <w:shd w:fill="FAFBFC"/>
          </w:tcPr>
          <w:p>
            <w:pPr>
              <w:spacing w:after="0"/>
            </w:pPr>
            <w:r/>
            <w:r>
              <w:rPr>
                <w:rFonts w:ascii="Calibri" w:hAnsi="Calibri"/>
                <w:b w:val="0"/>
                <w:i w:val="0"/>
                <w:color w:val="20262E"/>
                <w:sz w:val="17"/>
              </w:rPr>
              <w:t>Dedicated and customer-managed runtimes with policy-preserving deployment.</w:t>
            </w:r>
          </w:p>
        </w:tc>
        <w:tc>
          <w:tcPr>
            <w:tcW w:type="dxa" w:w="3700"/>
            <w:shd w:fill="FAFBFC"/>
          </w:tcPr>
          <w:p>
            <w:pPr>
              <w:spacing w:after="0"/>
            </w:pPr>
            <w:r/>
            <w:r>
              <w:rPr>
                <w:rFonts w:ascii="Calibri" w:hAnsi="Calibri"/>
                <w:b w:val="0"/>
                <w:i w:val="0"/>
                <w:color w:val="20262E"/>
                <w:sz w:val="17"/>
              </w:rPr>
              <w:t>The same package runs in SaaS and customer infrastructure.</w:t>
            </w:r>
          </w:p>
        </w:tc>
      </w:tr>
      <w:tr>
        <w:tc>
          <w:tcPr>
            <w:tcW w:type="dxa" w:w="1300"/>
          </w:tcPr>
          <w:p>
            <w:pPr>
              <w:spacing w:after="0"/>
            </w:pPr>
            <w:r/>
            <w:r>
              <w:rPr>
                <w:rFonts w:ascii="Calibri" w:hAnsi="Calibri"/>
                <w:b w:val="0"/>
                <w:i w:val="0"/>
                <w:color w:val="20262E"/>
                <w:sz w:val="17"/>
              </w:rPr>
              <w:t>Distribution</w:t>
            </w:r>
          </w:p>
        </w:tc>
        <w:tc>
          <w:tcPr>
            <w:tcW w:type="dxa" w:w="4360"/>
          </w:tcPr>
          <w:p>
            <w:pPr>
              <w:spacing w:after="0"/>
            </w:pPr>
            <w:r/>
            <w:r>
              <w:rPr>
                <w:rFonts w:ascii="Calibri" w:hAnsi="Calibri"/>
                <w:b w:val="0"/>
                <w:i w:val="0"/>
                <w:color w:val="20262E"/>
                <w:sz w:val="17"/>
              </w:rPr>
              <w:t>Web, mobile, workplace and SaaS deployment adapters.</w:t>
            </w:r>
          </w:p>
        </w:tc>
        <w:tc>
          <w:tcPr>
            <w:tcW w:type="dxa" w:w="3700"/>
          </w:tcPr>
          <w:p>
            <w:pPr>
              <w:spacing w:after="0"/>
            </w:pPr>
            <w:r/>
            <w:r>
              <w:rPr>
                <w:rFonts w:ascii="Calibri" w:hAnsi="Calibri"/>
                <w:b w:val="0"/>
                <w:i w:val="0"/>
                <w:color w:val="20262E"/>
                <w:sz w:val="17"/>
              </w:rPr>
              <w:t>Partners deploy one agent to several surfaces without rewriting core logic.</w:t>
            </w:r>
          </w:p>
        </w:tc>
      </w:tr>
      <w:tr>
        <w:tc>
          <w:tcPr>
            <w:tcW w:type="dxa" w:w="1300"/>
            <w:shd w:fill="FAFBFC"/>
          </w:tcPr>
          <w:p>
            <w:pPr>
              <w:spacing w:after="0"/>
            </w:pPr>
            <w:r/>
            <w:r>
              <w:rPr>
                <w:rFonts w:ascii="Calibri" w:hAnsi="Calibri"/>
                <w:b w:val="0"/>
                <w:i w:val="0"/>
                <w:color w:val="20262E"/>
                <w:sz w:val="17"/>
              </w:rPr>
              <w:t>Ecosystem</w:t>
            </w:r>
          </w:p>
        </w:tc>
        <w:tc>
          <w:tcPr>
            <w:tcW w:type="dxa" w:w="4360"/>
            <w:shd w:fill="FAFBFC"/>
          </w:tcPr>
          <w:p>
            <w:pPr>
              <w:spacing w:after="0"/>
            </w:pPr>
            <w:r/>
            <w:r>
              <w:rPr>
                <w:rFonts w:ascii="Calibri" w:hAnsi="Calibri"/>
                <w:b w:val="0"/>
                <w:i w:val="0"/>
                <w:color w:val="20262E"/>
                <w:sz w:val="17"/>
              </w:rPr>
              <w:t>Marketplace for vertical agents, tools, governance packs and evaluation suites.</w:t>
            </w:r>
          </w:p>
        </w:tc>
        <w:tc>
          <w:tcPr>
            <w:tcW w:type="dxa" w:w="3700"/>
            <w:shd w:fill="FAFBFC"/>
          </w:tcPr>
          <w:p>
            <w:pPr>
              <w:spacing w:after="0"/>
            </w:pPr>
            <w:r/>
            <w:r>
              <w:rPr>
                <w:rFonts w:ascii="Calibri" w:hAnsi="Calibri"/>
                <w:b w:val="0"/>
                <w:i w:val="0"/>
                <w:color w:val="20262E"/>
                <w:sz w:val="17"/>
              </w:rPr>
              <w:t>Third-party supply and customer adoption compound through the platform.</w:t>
            </w:r>
          </w:p>
        </w:tc>
      </w:tr>
      <w:tr>
        <w:tc>
          <w:tcPr>
            <w:tcW w:type="dxa" w:w="1300"/>
          </w:tcPr>
          <w:p>
            <w:pPr>
              <w:spacing w:after="0"/>
            </w:pPr>
            <w:r/>
            <w:r>
              <w:rPr>
                <w:rFonts w:ascii="Calibri" w:hAnsi="Calibri"/>
                <w:b w:val="0"/>
                <w:i w:val="0"/>
                <w:color w:val="20262E"/>
                <w:sz w:val="17"/>
              </w:rPr>
              <w:t>Optimization</w:t>
            </w:r>
          </w:p>
        </w:tc>
        <w:tc>
          <w:tcPr>
            <w:tcW w:type="dxa" w:w="4360"/>
          </w:tcPr>
          <w:p>
            <w:pPr>
              <w:spacing w:after="0"/>
            </w:pPr>
            <w:r/>
            <w:r>
              <w:rPr>
                <w:rFonts w:ascii="Calibri" w:hAnsi="Calibri"/>
                <w:b w:val="0"/>
                <w:i w:val="0"/>
                <w:color w:val="20262E"/>
                <w:sz w:val="17"/>
              </w:rPr>
              <w:t>Outcome-aware routing, fleet intelligence and continuous evaluation.</w:t>
            </w:r>
          </w:p>
        </w:tc>
        <w:tc>
          <w:tcPr>
            <w:tcW w:type="dxa" w:w="3700"/>
          </w:tcPr>
          <w:p>
            <w:pPr>
              <w:spacing w:after="0"/>
            </w:pPr>
            <w:r/>
            <w:r>
              <w:rPr>
                <w:rFonts w:ascii="Calibri" w:hAnsi="Calibri"/>
                <w:b w:val="0"/>
                <w:i w:val="0"/>
                <w:color w:val="20262E"/>
                <w:sz w:val="17"/>
              </w:rPr>
              <w:t>Quality improves while cost per successful task declines.</w:t>
            </w:r>
          </w:p>
        </w:tc>
      </w:tr>
    </w:tbl>
    <w:p>
      <w:pPr>
        <w:spacing w:after="0"/>
      </w:pPr>
    </w:p>
    <w:p>
      <w:pPr>
        <w:pStyle w:val="Heading1"/>
      </w:pPr>
      <w:r>
        <w:t>12. Measures of progress</w:t>
      </w:r>
    </w:p>
    <w:p>
      <w:r>
        <w:rPr>
          <w:rFonts w:ascii="Calibri" w:hAnsi="Calibri"/>
          <w:b w:val="0"/>
          <w:i w:val="0"/>
          <w:color w:val="20262E"/>
          <w:sz w:val="22"/>
        </w:rPr>
        <w:t>The company should measure whether it is becoming a trusted operating layer, not merely whether users create prototypes.</w:t>
      </w:r>
    </w:p>
    <w:p>
      <w:pPr>
        <w:pStyle w:val="ListBullet"/>
      </w:pPr>
      <w:r>
        <w:rPr>
          <w:rFonts w:ascii="Calibri" w:hAnsi="Calibri"/>
          <w:b w:val="0"/>
          <w:i w:val="0"/>
          <w:color w:val="20262E"/>
          <w:sz w:val="22"/>
        </w:rPr>
        <w:t xml:space="preserve"> </w:t>
      </w:r>
      <w:r>
        <w:rPr>
          <w:rFonts w:ascii="Calibri" w:hAnsi="Calibri"/>
          <w:b w:val="0"/>
          <w:i w:val="0"/>
          <w:color w:val="20262E"/>
          <w:sz w:val="22"/>
        </w:rPr>
        <w:t>Time from workspace creation to first governed API deployment.</w:t>
      </w:r>
    </w:p>
    <w:p>
      <w:pPr>
        <w:pStyle w:val="ListBullet"/>
      </w:pPr>
      <w:r>
        <w:rPr>
          <w:rFonts w:ascii="Calibri" w:hAnsi="Calibri"/>
          <w:b w:val="0"/>
          <w:i w:val="0"/>
          <w:color w:val="20262E"/>
          <w:sz w:val="22"/>
        </w:rPr>
        <w:t xml:space="preserve"> </w:t>
      </w:r>
      <w:r>
        <w:rPr>
          <w:rFonts w:ascii="Calibri" w:hAnsi="Calibri"/>
          <w:b w:val="0"/>
          <w:i w:val="0"/>
          <w:color w:val="20262E"/>
          <w:sz w:val="22"/>
        </w:rPr>
        <w:t>Percentage of created agents reaching repeat production usage.</w:t>
      </w:r>
    </w:p>
    <w:p>
      <w:pPr>
        <w:pStyle w:val="ListBullet"/>
      </w:pPr>
      <w:r>
        <w:rPr>
          <w:rFonts w:ascii="Calibri" w:hAnsi="Calibri"/>
          <w:b w:val="0"/>
          <w:i w:val="0"/>
          <w:color w:val="20262E"/>
          <w:sz w:val="22"/>
        </w:rPr>
        <w:t xml:space="preserve"> </w:t>
      </w:r>
      <w:r>
        <w:rPr>
          <w:rFonts w:ascii="Calibri" w:hAnsi="Calibri"/>
          <w:b w:val="0"/>
          <w:i w:val="0"/>
          <w:color w:val="20262E"/>
          <w:sz w:val="22"/>
        </w:rPr>
        <w:t>Successful task-completion rate and tool-call success rate.</w:t>
      </w:r>
    </w:p>
    <w:p>
      <w:pPr>
        <w:pStyle w:val="ListBullet"/>
      </w:pPr>
      <w:r>
        <w:rPr>
          <w:rFonts w:ascii="Calibri" w:hAnsi="Calibri"/>
          <w:b w:val="0"/>
          <w:i w:val="0"/>
          <w:color w:val="20262E"/>
          <w:sz w:val="22"/>
        </w:rPr>
        <w:t xml:space="preserve"> </w:t>
      </w:r>
      <w:r>
        <w:rPr>
          <w:rFonts w:ascii="Calibri" w:hAnsi="Calibri"/>
          <w:b w:val="0"/>
          <w:i w:val="0"/>
          <w:color w:val="20262E"/>
          <w:sz w:val="22"/>
        </w:rPr>
        <w:t>Percentage of releases promoted through an evaluation gate.</w:t>
      </w:r>
    </w:p>
    <w:p>
      <w:pPr>
        <w:pStyle w:val="ListBullet"/>
      </w:pPr>
      <w:r>
        <w:rPr>
          <w:rFonts w:ascii="Calibri" w:hAnsi="Calibri"/>
          <w:b w:val="0"/>
          <w:i w:val="0"/>
          <w:color w:val="20262E"/>
          <w:sz w:val="22"/>
        </w:rPr>
        <w:t xml:space="preserve"> </w:t>
      </w:r>
      <w:r>
        <w:rPr>
          <w:rFonts w:ascii="Calibri" w:hAnsi="Calibri"/>
          <w:b w:val="0"/>
          <w:i w:val="0"/>
          <w:color w:val="20262E"/>
          <w:sz w:val="22"/>
        </w:rPr>
        <w:t>Median number of production agents and environments per customer.</w:t>
      </w:r>
    </w:p>
    <w:p>
      <w:pPr>
        <w:pStyle w:val="ListBullet"/>
      </w:pPr>
      <w:r>
        <w:rPr>
          <w:rFonts w:ascii="Calibri" w:hAnsi="Calibri"/>
          <w:b w:val="0"/>
          <w:i w:val="0"/>
          <w:color w:val="20262E"/>
          <w:sz w:val="22"/>
        </w:rPr>
        <w:t xml:space="preserve"> </w:t>
      </w:r>
      <w:r>
        <w:rPr>
          <w:rFonts w:ascii="Calibri" w:hAnsi="Calibri"/>
          <w:b w:val="0"/>
          <w:i w:val="0"/>
          <w:color w:val="20262E"/>
          <w:sz w:val="22"/>
        </w:rPr>
        <w:t>Number of agent packages running across more than one deployment mode.</w:t>
      </w:r>
    </w:p>
    <w:p>
      <w:pPr>
        <w:pStyle w:val="ListBullet"/>
      </w:pPr>
      <w:r>
        <w:rPr>
          <w:rFonts w:ascii="Calibri" w:hAnsi="Calibri"/>
          <w:b w:val="0"/>
          <w:i w:val="0"/>
          <w:color w:val="20262E"/>
          <w:sz w:val="22"/>
        </w:rPr>
        <w:t xml:space="preserve"> </w:t>
      </w:r>
      <w:r>
        <w:rPr>
          <w:rFonts w:ascii="Calibri" w:hAnsi="Calibri"/>
          <w:b w:val="0"/>
          <w:i w:val="0"/>
          <w:color w:val="20262E"/>
          <w:sz w:val="22"/>
        </w:rPr>
        <w:t>Production incidents attributable to permission, isolation or policy failure.</w:t>
      </w:r>
    </w:p>
    <w:p>
      <w:pPr>
        <w:pStyle w:val="ListBullet"/>
      </w:pPr>
      <w:r>
        <w:rPr>
          <w:rFonts w:ascii="Calibri" w:hAnsi="Calibri"/>
          <w:b w:val="0"/>
          <w:i w:val="0"/>
          <w:color w:val="20262E"/>
          <w:sz w:val="22"/>
        </w:rPr>
        <w:t xml:space="preserve"> </w:t>
      </w:r>
      <w:r>
        <w:rPr>
          <w:rFonts w:ascii="Calibri" w:hAnsi="Calibri"/>
          <w:b w:val="0"/>
          <w:i w:val="0"/>
          <w:color w:val="20262E"/>
          <w:sz w:val="22"/>
        </w:rPr>
        <w:t>Cost per successful task and its improvement over time.</w:t>
      </w:r>
    </w:p>
    <w:p>
      <w:pPr>
        <w:pStyle w:val="Heading1"/>
      </w:pPr>
      <w:r>
        <w:t>13. Founding narrative</w:t>
      </w:r>
    </w:p>
    <w:p>
      <w:r>
        <w:rPr>
          <w:rFonts w:ascii="Calibri" w:hAnsi="Calibri"/>
          <w:b w:val="0"/>
          <w:i w:val="0"/>
          <w:color w:val="20262E"/>
          <w:sz w:val="22"/>
        </w:rPr>
        <w:t>AI agents will increasingly perform specialized work inside businesses, but enterprises cannot operate them as untracked prompts connected to powerful tools. They require the engineering disciplines applied to every other critical software system: explicit identity, constrained permissions, repeatable tests, controlled releases, runtime evidence and deployment choice. We are building the infrastructure that makes those disciplines the default while preserving the speed that makes agents valuable.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2E74B5"/>
                <w:sz w:val="22"/>
              </w:rPr>
              <w:t xml:space="preserve">One-line description  </w:t>
            </w:r>
            <w:r>
              <w:rPr>
                <w:rFonts w:ascii="Calibri" w:hAnsi="Calibri"/>
                <w:b w:val="0"/>
                <w:i w:val="0"/>
                <w:color w:val="20262E"/>
                <w:sz w:val="22"/>
              </w:rPr>
              <w:t>The enterprise agent factory for creating, securing and deploying vertical AI agents across any model or infrastructure.</w:t>
            </w:r>
          </w:p>
        </w:tc>
      </w:tr>
    </w:tbl>
    <w:p>
      <w:pPr>
        <w:spacing w:after="0"/>
      </w:pPr>
    </w:p>
    <w:sectPr w:rsidR="00FC693F" w:rsidRPr="0006063C" w:rsidSect="00034616">
      <w:headerReference w:type="default" r:id="rId9"/>
      <w:footerReference w:type="default" r:id="rId10"/>
      <w:pgSz w:w="12240" w:h="15840"/>
      <w:pgMar w:top="1080" w:right="1440" w:bottom="1008"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5718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57180"/>
        <w:sz w:val="17"/>
      </w:rPr>
      <w:t>VERTICAL AGENT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4" w:lineRule="auto"/>
    </w:pPr>
    <w:rPr>
      <w:rFonts w:ascii="Calibri" w:hAnsi="Calibri"/>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283" w:lineRule="auto"/>
    </w:pPr>
    <w:rPr>
      <w:rFonts w:ascii="Calibri" w:hAnsi="Calibri"/>
      <w:color w:val="0B254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