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80" w:before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MANISH KUMAR SHARMA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FFD966"/>
                <w:sz w:val="22"/>
                <w:szCs w:val="22"/>
              </w:rPr>
              <w:t xml:space="preserve">Senior Manager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color w:val="C8D8F0"/>
                <w:sz w:val="17"/>
                <w:szCs w:val="17"/>
              </w:rPr>
              <w:t xml:space="preserve">manishkumarsharma24@gmail.com  |  +91-8747972015  |  LinkedIn</w:t>
            </w:r>
          </w:p>
        </w:tc>
      </w:tr>
    </w:tbl>
    <w:p>
      <w:pPr>
        <w:spacing w:after="0" w:before="160"/>
        <w:jc w:val="left"/>
      </w:pP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PROFILE SUMMARY</w:t>
            </w:r>
          </w:p>
        </w:tc>
      </w:tr>
    </w:tbl>
    <w:p>
      <w:pPr>
        <w:spacing w:after="0" w:before="80"/>
        <w:jc w:val="left"/>
      </w:pPr>
    </w:p>
    <w:p>
      <w:pPr>
        <w:spacing w:after="0" w:before="0"/>
        <w:ind w:left="60" w:right="60"/>
        <w:jc w:val="left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Accomplished Senior Principal Engineer and Technology Leader with 22+ years of experience architecting, modernizing, and delivering large-scale enterprise software platforms across Supply Chain &amp; Logistics, Fleet Management, Banking &amp; Financial Services, Telecommunications, Government, and Enterprise Integration domains. Deep expertise in Java, Spring Boot, Microservices, Distributed Systems, Cloud-Native Architecture, Event-Driven Platforms, AWS, Kubernetes, Docker, and Messaging Systems, driving scalable, resilient, and high-performance solutions. Proven track record leading architecture, engineering strategy, product delivery, and modernization initiatives for global organizations including Manhattan Associates, Finastra, Waste Management, Maruti Suzuki, and British Telecom.</w:t>
      </w:r>
    </w:p>
    <w:p>
      <w:pPr>
        <w:spacing w:after="0" w:before="160"/>
        <w:jc w:val="left"/>
      </w:pP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CORE COMPETENCIES</w:t>
            </w:r>
          </w:p>
        </w:tc>
      </w:tr>
    </w:tbl>
    <w:p>
      <w:pPr>
        <w:spacing w:after="0" w:before="80"/>
        <w:jc w:val="left"/>
      </w:pP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616"/>
        <w:gridCol w:w="2616"/>
        <w:gridCol w:w="2616"/>
        <w:gridCol w:w="2616"/>
      </w:tblGrid>
      <w:tr>
        <w:tc>
          <w:tcPr>
            <w:tcBorders>
              <w:top w:val="single" w:color="A8C8E8" w:sz="4"/>
              <w:left w:val="single" w:color="A8C8E8" w:sz="4"/>
              <w:bottom w:val="single" w:color="A8C8E8" w:sz="4"/>
              <w:right w:val="single" w:color="A8C8E8" w:sz="4"/>
            </w:tcBorders>
            <w:shd w:fill="D6E8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Enterprise Solution Architecture</w:t>
            </w:r>
          </w:p>
        </w:tc>
        <w:tc>
          <w:tcPr>
            <w:tcBorders>
              <w:top w:val="single" w:color="A8C8E8" w:sz="4"/>
              <w:left w:val="single" w:color="A8C8E8" w:sz="4"/>
              <w:bottom w:val="single" w:color="A8C8E8" w:sz="4"/>
              <w:right w:val="single" w:color="A8C8E8" w:sz="4"/>
            </w:tcBorders>
            <w:shd w:fill="D6E8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Cloud-Native &amp; Microservices Architecture</w:t>
            </w:r>
          </w:p>
        </w:tc>
        <w:tc>
          <w:tcPr>
            <w:tcBorders>
              <w:top w:val="single" w:color="A8C8E8" w:sz="4"/>
              <w:left w:val="single" w:color="A8C8E8" w:sz="4"/>
              <w:bottom w:val="single" w:color="A8C8E8" w:sz="4"/>
              <w:right w:val="single" w:color="A8C8E8" w:sz="4"/>
            </w:tcBorders>
            <w:shd w:fill="D6E8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Distributed Systems Engineering</w:t>
            </w:r>
          </w:p>
        </w:tc>
        <w:tc>
          <w:tcPr>
            <w:tcBorders>
              <w:top w:val="single" w:color="A8C8E8" w:sz="4"/>
              <w:left w:val="single" w:color="A8C8E8" w:sz="4"/>
              <w:bottom w:val="single" w:color="A8C8E8" w:sz="4"/>
              <w:right w:val="single" w:color="A8C8E8" w:sz="4"/>
            </w:tcBorders>
            <w:shd w:fill="D6E8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Java &amp; Spring Boot Development</w:t>
            </w:r>
          </w:p>
        </w:tc>
      </w:tr>
    </w:tbl>
    <w:p>
      <w:pPr>
        <w:spacing w:after="0" w:before="40"/>
        <w:jc w:val="left"/>
      </w:pP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616"/>
        <w:gridCol w:w="2616"/>
        <w:gridCol w:w="2616"/>
        <w:gridCol w:w="2616"/>
      </w:tblGrid>
      <w:tr>
        <w:tc>
          <w:tcPr>
            <w:tcBorders>
              <w:top w:val="single" w:color="A8C8E8" w:sz="4"/>
              <w:left w:val="single" w:color="A8C8E8" w:sz="4"/>
              <w:bottom w:val="single" w:color="A8C8E8" w:sz="4"/>
              <w:right w:val="single" w:color="A8C8E8" w:sz="4"/>
            </w:tcBorders>
            <w:shd w:fill="D6E8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AWS Cloud &amp; Kubernetes Platforms</w:t>
            </w:r>
          </w:p>
        </w:tc>
        <w:tc>
          <w:tcPr>
            <w:tcBorders>
              <w:top w:val="single" w:color="A8C8E8" w:sz="4"/>
              <w:left w:val="single" w:color="A8C8E8" w:sz="4"/>
              <w:bottom w:val="single" w:color="A8C8E8" w:sz="4"/>
              <w:right w:val="single" w:color="A8C8E8" w:sz="4"/>
            </w:tcBorders>
            <w:shd w:fill="D6E8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Event-Driven &amp; Messaging Architectures</w:t>
            </w:r>
          </w:p>
        </w:tc>
        <w:tc>
          <w:tcPr>
            <w:tcBorders>
              <w:top w:val="single" w:color="A8C8E8" w:sz="4"/>
              <w:left w:val="single" w:color="A8C8E8" w:sz="4"/>
              <w:bottom w:val="single" w:color="A8C8E8" w:sz="4"/>
              <w:right w:val="single" w:color="A8C8E8" w:sz="4"/>
            </w:tcBorders>
            <w:shd w:fill="D6E8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Technical Leadership &amp; Team Mentoring</w:t>
            </w:r>
          </w:p>
        </w:tc>
        <w:tc>
          <w:tcPr>
            <w:tcBorders>
              <w:top w:val="single" w:color="A8C8E8" w:sz="4"/>
              <w:left w:val="single" w:color="A8C8E8" w:sz="4"/>
              <w:bottom w:val="single" w:color="A8C8E8" w:sz="4"/>
              <w:right w:val="single" w:color="A8C8E8" w:sz="4"/>
            </w:tcBorders>
            <w:shd w:fill="D6E8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Product Engineering &amp; Agile Delivery</w:t>
            </w:r>
          </w:p>
        </w:tc>
      </w:tr>
    </w:tbl>
    <w:p>
      <w:pPr>
        <w:spacing w:after="0" w:before="40"/>
        <w:jc w:val="left"/>
      </w:pP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616"/>
        <w:gridCol w:w="2616"/>
        <w:gridCol w:w="2616"/>
        <w:gridCol w:w="2616"/>
      </w:tblGrid>
      <w:tr>
        <w:tc>
          <w:tcPr>
            <w:tcBorders>
              <w:top w:val="single" w:color="A8C8E8" w:sz="4"/>
              <w:left w:val="single" w:color="A8C8E8" w:sz="4"/>
              <w:bottom w:val="single" w:color="A8C8E8" w:sz="4"/>
              <w:right w:val="single" w:color="A8C8E8" w:sz="4"/>
            </w:tcBorders>
            <w:shd w:fill="D6E8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System Design &amp; Scalability Engineering</w:t>
            </w:r>
          </w:p>
        </w:tc>
        <w:tc>
          <w:tcPr>
            <w:tcBorders>
              <w:top w:val="single" w:color="A8C8E8" w:sz="4"/>
              <w:left w:val="single" w:color="A8C8E8" w:sz="4"/>
              <w:bottom w:val="single" w:color="A8C8E8" w:sz="4"/>
              <w:right w:val="single" w:color="A8C8E8" w:sz="4"/>
            </w:tcBorders>
            <w:shd w:fill="D6E8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Enterprise Integration &amp; API Strategy</w:t>
            </w:r>
          </w:p>
        </w:tc>
        <w:tc>
          <w:tcPr>
            <w:tcBorders>
              <w:top w:val="single" w:color="A8C8E8" w:sz="4"/>
              <w:left w:val="single" w:color="A8C8E8" w:sz="4"/>
              <w:bottom w:val="single" w:color="A8C8E8" w:sz="4"/>
              <w:right w:val="single" w:color="A8C8E8" w:sz="4"/>
            </w:tcBorders>
            <w:shd w:fill="D6E8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Platform Modernization &amp; Digital Transformation</w:t>
            </w:r>
          </w:p>
        </w:tc>
        <w:tc>
          <w:tcPr>
            <w:tcBorders>
              <w:top w:val="single" w:color="A8C8E8" w:sz="4"/>
              <w:left w:val="single" w:color="A8C8E8" w:sz="4"/>
              <w:bottom w:val="single" w:color="A8C8E8" w:sz="4"/>
              <w:right w:val="single" w:color="A8C8E8" w:sz="4"/>
            </w:tcBorders>
            <w:shd w:fill="D6E8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Production Support &amp; Incident Management</w:t>
            </w:r>
          </w:p>
        </w:tc>
      </w:tr>
    </w:tbl>
    <w:p>
      <w:pPr>
        <w:spacing w:after="0" w:before="40"/>
        <w:jc w:val="left"/>
      </w:pP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616"/>
        <w:gridCol w:w="2616"/>
        <w:gridCol w:w="2616"/>
        <w:gridCol w:w="2616"/>
      </w:tblGrid>
      <w:tr>
        <w:tc>
          <w:tcPr>
            <w:tcBorders>
              <w:top w:val="single" w:color="A8C8E8" w:sz="4"/>
              <w:left w:val="single" w:color="A8C8E8" w:sz="4"/>
              <w:bottom w:val="single" w:color="A8C8E8" w:sz="4"/>
              <w:right w:val="single" w:color="A8C8E8" w:sz="4"/>
            </w:tcBorders>
            <w:shd w:fill="D6E8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Stakeholder Management &amp; Client Engagement</w:t>
            </w:r>
          </w:p>
        </w:tc>
        <w:tc>
          <w:tcPr>
            <w:tcBorders>
              <w:top w:val="single" w:color="A8C8E8" w:sz="4"/>
              <w:left w:val="single" w:color="A8C8E8" w:sz="4"/>
              <w:bottom w:val="single" w:color="A8C8E8" w:sz="4"/>
              <w:right w:val="single" w:color="A8C8E8" w:sz="4"/>
            </w:tcBorders>
            <w:shd w:fill="D6E8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Performance Optimization &amp; Reliability Engineering</w:t>
            </w:r>
          </w:p>
        </w:tc>
        <w:tc>
          <w:tcPr>
            <w:tcBorders>
              <w:top w:val="single" w:color="A8C8E8" w:sz="4"/>
              <w:left w:val="single" w:color="A8C8E8" w:sz="4"/>
              <w:bottom w:val="single" w:color="A8C8E8" w:sz="4"/>
              <w:right w:val="single" w:color="A8C8E8" w:sz="4"/>
            </w:tcBorders>
            <w:shd w:fill="D6E8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Architecture Governance &amp; Code Quality Reviews</w:t>
            </w:r>
          </w:p>
        </w:tc>
        <w:tc>
          <w:tcPr>
            <w:tcBorders>
              <w:top w:val="single" w:color="A8C8E8" w:sz="4"/>
              <w:left w:val="single" w:color="A8C8E8" w:sz="4"/>
              <w:bottom w:val="single" w:color="A8C8E8" w:sz="4"/>
              <w:right w:val="single" w:color="A8C8E8" w:sz="4"/>
            </w:tcBorders>
            <w:shd w:fill="D6E8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AI-Assisted Engineering &amp; Developer Productivity</w:t>
            </w:r>
          </w:p>
        </w:tc>
      </w:tr>
    </w:tbl>
    <w:p>
      <w:pPr>
        <w:spacing w:after="0" w:before="40"/>
        <w:jc w:val="left"/>
      </w:pPr>
    </w:p>
    <w:p>
      <w:pPr>
        <w:spacing w:after="0" w:before="120"/>
        <w:jc w:val="left"/>
      </w:pP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TECHNICAL SKILLS</w:t>
            </w:r>
          </w:p>
        </w:tc>
      </w:tr>
    </w:tbl>
    <w:p>
      <w:pPr>
        <w:spacing w:after="0" w:before="80"/>
        <w:jc w:val="left"/>
      </w:pP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7666"/>
      </w:tblGrid>
      <w:tr>
        <w:tc>
          <w:tcPr>
            <w:tcW w:type="dxa" w:w="28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Programming Languages &amp; Design</w:t>
            </w:r>
          </w:p>
        </w:tc>
        <w:tc>
          <w:tcPr>
            <w:tcW w:type="dxa" w:w="7666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Java, J2EE, SQL, XML, UML, Object-Oriented Design (OOD), Design Patterns</w:t>
            </w:r>
          </w:p>
        </w:tc>
      </w:tr>
      <w:tr>
        <w:tc>
          <w:tcPr>
            <w:tcW w:type="dxa" w:w="28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3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Backend Development &amp; Frameworks</w:t>
            </w:r>
          </w:p>
        </w:tc>
        <w:tc>
          <w:tcPr>
            <w:tcW w:type="dxa" w:w="7666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3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Spring Boot, Spring MVC, Microservices Architecture, RESTful APIs, Hibernate, JPA, iBatis</w:t>
            </w:r>
          </w:p>
        </w:tc>
      </w:tr>
      <w:tr>
        <w:tc>
          <w:tcPr>
            <w:tcW w:type="dxa" w:w="28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Messaging, Event Streaming &amp; Search</w:t>
            </w:r>
          </w:p>
        </w:tc>
        <w:tc>
          <w:tcPr>
            <w:tcW w:type="dxa" w:w="7666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Apache Kafka, RabbitMQ, JMS, Amazon Kinesis, Elasticsearch, Event-Driven Architecture</w:t>
            </w:r>
          </w:p>
        </w:tc>
      </w:tr>
      <w:tr>
        <w:tc>
          <w:tcPr>
            <w:tcW w:type="dxa" w:w="28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3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Cloud, Containers &amp; DevOps</w:t>
            </w:r>
          </w:p>
        </w:tc>
        <w:tc>
          <w:tcPr>
            <w:tcW w:type="dxa" w:w="7666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3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AWS (EC2, S3, DynamoDB, CloudWatch, CloudFormation), Docker, Kubernetes, Jenkins, CI/CD Pipelines, Splunk</w:t>
            </w:r>
          </w:p>
        </w:tc>
      </w:tr>
      <w:tr>
        <w:tc>
          <w:tcPr>
            <w:tcW w:type="dxa" w:w="28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AI-Assisted Engineering</w:t>
            </w:r>
          </w:p>
        </w:tc>
        <w:tc>
          <w:tcPr>
            <w:tcW w:type="dxa" w:w="7666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Claude (Anthropic), Windsurf, AI Agents, AI-Assisted Development, Developer Productivity Automation</w:t>
            </w:r>
          </w:p>
        </w:tc>
      </w:tr>
      <w:tr>
        <w:tc>
          <w:tcPr>
            <w:tcW w:type="dxa" w:w="28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3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Databases &amp; Data Management</w:t>
            </w:r>
          </w:p>
        </w:tc>
        <w:tc>
          <w:tcPr>
            <w:tcW w:type="dxa" w:w="7666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3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Oracle Database, MySQL, Data Modeling, Query Optimization, Database Performance Tuning</w:t>
            </w:r>
          </w:p>
        </w:tc>
      </w:tr>
      <w:tr>
        <w:tc>
          <w:tcPr>
            <w:tcW w:type="dxa" w:w="28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NoSQL Databases</w:t>
            </w:r>
          </w:p>
        </w:tc>
        <w:tc>
          <w:tcPr>
            <w:tcW w:type="dxa" w:w="7666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Elasticsearch, Cassandra, Neo4J, MongoDB, Redis</w:t>
            </w:r>
          </w:p>
        </w:tc>
      </w:tr>
      <w:tr>
        <w:tc>
          <w:tcPr>
            <w:tcW w:type="dxa" w:w="28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3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Testing, QE &amp; Automation</w:t>
            </w:r>
          </w:p>
        </w:tc>
        <w:tc>
          <w:tcPr>
            <w:tcW w:type="dxa" w:w="7666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3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JUnit, TestNG, Unit Testing, Integration Testing, Test Automation, Code Quality Assurance</w:t>
            </w:r>
          </w:p>
        </w:tc>
      </w:tr>
      <w:tr>
        <w:tc>
          <w:tcPr>
            <w:tcW w:type="dxa" w:w="28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Build, Version Control &amp; Config Mgmt</w:t>
            </w:r>
          </w:p>
        </w:tc>
        <w:tc>
          <w:tcPr>
            <w:tcW w:type="dxa" w:w="7666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Maven, Ant, Git, Bitbucket, Subversion (SVN), Source Code Management</w:t>
            </w:r>
          </w:p>
        </w:tc>
      </w:tr>
      <w:tr>
        <w:tc>
          <w:tcPr>
            <w:tcW w:type="dxa" w:w="28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3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Development Tools &amp; Platforms</w:t>
            </w:r>
          </w:p>
        </w:tc>
        <w:tc>
          <w:tcPr>
            <w:tcW w:type="dxa" w:w="7666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3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IntelliJ IDEA, Eclipse IDE, Linux, Unix, Windows, macOS</w:t>
            </w:r>
          </w:p>
        </w:tc>
      </w:tr>
    </w:tbl>
    <w:p>
      <w:pPr>
        <w:spacing w:after="0" w:before="160"/>
        <w:jc w:val="left"/>
      </w:pP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WORK EXPERIENCE</w:t>
            </w:r>
          </w:p>
        </w:tc>
      </w:tr>
    </w:tbl>
    <w:p>
      <w:pPr>
        <w:spacing w:after="0" w:before="80"/>
        <w:jc w:val="left"/>
      </w:pP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802"/>
        <w:gridCol w:w="3664"/>
      </w:tblGrid>
      <w:tr>
        <w:tc>
          <w:tcPr>
            <w:tcW w:type="dxa" w:w="6802"/>
            <w:tcBorders>
              <w:top w:val="single" w:color="1B3A6B" w:sz="4"/>
              <w:left w:val="single" w:color="C8890A" w:sz="12"/>
              <w:bottom w:val="single" w:color="1B3A6B" w:sz="4"/>
              <w:right w:val="none" w:color="FFFFFF" w:sz="0"/>
            </w:tcBorders>
            <w:shd w:fill="EAF2FC" w:val="clear"/>
            <w:tcMar>
              <w:top w:type="dxa" w:w="100"/>
              <w:left w:type="dxa" w:w="160"/>
              <w:bottom w:type="dxa" w:w="10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Manhattan Associates</w:t>
            </w:r>
          </w:p>
        </w:tc>
        <w:tc>
          <w:tcPr>
            <w:tcW w:type="dxa" w:w="3664"/>
            <w:tcBorders>
              <w:top w:val="single" w:color="1B3A6B" w:sz="4"/>
              <w:left w:val="none" w:color="FFFFFF" w:sz="0"/>
              <w:bottom w:val="single" w:color="1B3A6B" w:sz="4"/>
              <w:right w:val="none" w:color="FFFFFF" w:sz="0"/>
            </w:tcBorders>
            <w:shd w:fill="EAF2FC" w:val="clear"/>
            <w:tcMar>
              <w:top w:type="dxa" w:w="100"/>
              <w:left w:type="dxa" w:w="8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C8890A"/>
                <w:sz w:val="18"/>
                <w:szCs w:val="18"/>
              </w:rPr>
              <w:t xml:space="preserve">Oct 2020 - Jun 2026</w:t>
            </w:r>
          </w:p>
        </w:tc>
      </w:tr>
    </w:tbl>
    <w:p>
      <w:pPr>
        <w:spacing w:after="40" w:before="60"/>
        <w:ind w:left="180"/>
        <w:jc w:val="left"/>
      </w:pPr>
      <w:r>
        <w:rPr>
          <w:rFonts w:ascii="Arial" w:cs="Arial" w:eastAsia="Arial" w:hAnsi="Arial"/>
          <w:color w:val="2D5F9E"/>
          <w:sz w:val="19"/>
          <w:szCs w:val="19"/>
        </w:rPr>
        <w:t xml:space="preserve">Senior Principal SWE / Senior Manager</w:t>
      </w:r>
    </w:p>
    <w:p>
      <w:pPr>
        <w:pStyle w:val="ListParagraph"/>
        <w:numPr>
          <w:ilvl w:val="0"/>
          <w:numId w:val="2"/>
        </w:numPr>
        <w:spacing w:after="20" w:before="20"/>
        <w:jc w:val="left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Led architecture and delivery for a large-scale fleet management SaaS platform, guiding a 15-member engineering team in roadmap planning, solution design, estimation, and execution of high-impact product initiatives.</w:t>
      </w:r>
    </w:p>
    <w:p>
      <w:pPr>
        <w:pStyle w:val="ListParagraph"/>
        <w:numPr>
          <w:ilvl w:val="0"/>
          <w:numId w:val="2"/>
        </w:numPr>
        <w:spacing w:after="20" w:before="20"/>
        <w:jc w:val="left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Established architecture standards and design governance by driving HLD creation, reviewing LLDs, and ensuring system scalability, reliability, security, and operational excellence across cloud-native microservices.</w:t>
      </w:r>
    </w:p>
    <w:p>
      <w:pPr>
        <w:pStyle w:val="ListParagraph"/>
        <w:numPr>
          <w:ilvl w:val="0"/>
          <w:numId w:val="2"/>
        </w:numPr>
        <w:spacing w:after="20" w:before="20"/>
        <w:jc w:val="left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Provided hands-on technical leadership in the development of mission-critical capabilities, leveraging Java, Spring Boot, RabbitMQ, Elasticsearch, Docker, and Kubernetes to enhance platform performance and business value.</w:t>
      </w:r>
    </w:p>
    <w:p>
      <w:pPr>
        <w:pStyle w:val="ListParagraph"/>
        <w:numPr>
          <w:ilvl w:val="0"/>
          <w:numId w:val="2"/>
        </w:numPr>
        <w:spacing w:after="20" w:before="20"/>
        <w:jc w:val="left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Drove engineering quality and operational excellence through architecture reviews, code governance, production issue resolution, and continuous improvement initiatives, ensuring high availability and superior customer experience.</w:t>
      </w:r>
    </w:p>
    <w:p>
      <w:pPr>
        <w:pStyle w:val="ListParagraph"/>
        <w:numPr>
          <w:ilvl w:val="0"/>
          <w:numId w:val="2"/>
        </w:numPr>
        <w:spacing w:after="20" w:before="20"/>
        <w:jc w:val="left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Led resolution of high-severity production incidents and Go-Live critical issues, driving root-cause identification and timely recovery, ensuring 15 successful customer deployments and recognition with the Spirit Award.</w:t>
      </w:r>
    </w:p>
    <w:p>
      <w:pPr>
        <w:pStyle w:val="ListParagraph"/>
        <w:numPr>
          <w:ilvl w:val="0"/>
          <w:numId w:val="2"/>
        </w:numPr>
        <w:spacing w:after="20" w:before="20"/>
        <w:jc w:val="left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Accelerated delivery of high-priority Dispatch enhancements by addressing critical functionality gaps, driving increased customer satisfaction, earning formal client recognition, and strengthening confidence for subsequent go-lives.</w:t>
      </w:r>
    </w:p>
    <w:p>
      <w:pPr>
        <w:spacing w:after="0" w:before="80"/>
        <w:jc w:val="left"/>
      </w:pP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802"/>
        <w:gridCol w:w="3664"/>
      </w:tblGrid>
      <w:tr>
        <w:tc>
          <w:tcPr>
            <w:tcW w:type="dxa" w:w="6802"/>
            <w:tcBorders>
              <w:top w:val="single" w:color="1B3A6B" w:sz="4"/>
              <w:left w:val="single" w:color="C8890A" w:sz="12"/>
              <w:bottom w:val="single" w:color="1B3A6B" w:sz="4"/>
              <w:right w:val="none" w:color="FFFFFF" w:sz="0"/>
            </w:tcBorders>
            <w:shd w:fill="EAF2FC" w:val="clear"/>
            <w:tcMar>
              <w:top w:type="dxa" w:w="100"/>
              <w:left w:type="dxa" w:w="160"/>
              <w:bottom w:type="dxa" w:w="10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Whishworks (now Coforge)</w:t>
            </w:r>
          </w:p>
        </w:tc>
        <w:tc>
          <w:tcPr>
            <w:tcW w:type="dxa" w:w="3664"/>
            <w:tcBorders>
              <w:top w:val="single" w:color="1B3A6B" w:sz="4"/>
              <w:left w:val="none" w:color="FFFFFF" w:sz="0"/>
              <w:bottom w:val="single" w:color="1B3A6B" w:sz="4"/>
              <w:right w:val="none" w:color="FFFFFF" w:sz="0"/>
            </w:tcBorders>
            <w:shd w:fill="EAF2FC" w:val="clear"/>
            <w:tcMar>
              <w:top w:type="dxa" w:w="100"/>
              <w:left w:type="dxa" w:w="8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C8890A"/>
                <w:sz w:val="18"/>
                <w:szCs w:val="18"/>
              </w:rPr>
              <w:t xml:space="preserve">Nov 2019 - Apr 2020</w:t>
            </w:r>
          </w:p>
        </w:tc>
      </w:tr>
    </w:tbl>
    <w:p>
      <w:pPr>
        <w:spacing w:after="40" w:before="60"/>
        <w:ind w:left="180"/>
        <w:jc w:val="left"/>
      </w:pPr>
      <w:r>
        <w:rPr>
          <w:rFonts w:ascii="Arial" w:cs="Arial" w:eastAsia="Arial" w:hAnsi="Arial"/>
          <w:color w:val="2D5F9E"/>
          <w:sz w:val="19"/>
          <w:szCs w:val="19"/>
        </w:rPr>
        <w:t xml:space="preserve">Senior Technical Architect  |  Maruti Suzuki - Enterprise Integration Platform (ESB)</w:t>
      </w:r>
    </w:p>
    <w:p>
      <w:pPr>
        <w:pStyle w:val="ListParagraph"/>
        <w:numPr>
          <w:ilvl w:val="0"/>
          <w:numId w:val="2"/>
        </w:numPr>
        <w:spacing w:after="20" w:before="20"/>
        <w:jc w:val="left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Architected a cloud-native Enterprise Integration Platform connecting Maruti Suzuki's ecosystem with Salesforce through scalable microservices, REST services, and batch processing frameworks.</w:t>
      </w:r>
    </w:p>
    <w:p>
      <w:pPr>
        <w:pStyle w:val="ListParagraph"/>
        <w:numPr>
          <w:ilvl w:val="0"/>
          <w:numId w:val="2"/>
        </w:numPr>
        <w:spacing w:after="20" w:before="20"/>
        <w:jc w:val="left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Defined integration blueprints, HLDs, and LLDs while partnering with business and Salesforce stakeholders to design robust data flows, integration patterns, and enterprise connectivity solutions.</w:t>
      </w:r>
    </w:p>
    <w:p>
      <w:pPr>
        <w:pStyle w:val="ListParagraph"/>
        <w:numPr>
          <w:ilvl w:val="0"/>
          <w:numId w:val="2"/>
        </w:numPr>
        <w:spacing w:after="20" w:before="20"/>
        <w:jc w:val="left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Turned around a high-risk integration project by leading onsite customer engagements and cross-functional war-room sessions with Salesforce teams, resolving critical issues and securing customer sign-off.</w:t>
      </w:r>
    </w:p>
    <w:p>
      <w:pPr>
        <w:spacing w:after="0" w:before="80"/>
        <w:jc w:val="left"/>
      </w:pP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802"/>
        <w:gridCol w:w="3664"/>
      </w:tblGrid>
      <w:tr>
        <w:tc>
          <w:tcPr>
            <w:tcW w:type="dxa" w:w="6802"/>
            <w:tcBorders>
              <w:top w:val="single" w:color="1B3A6B" w:sz="4"/>
              <w:left w:val="single" w:color="C8890A" w:sz="12"/>
              <w:bottom w:val="single" w:color="1B3A6B" w:sz="4"/>
              <w:right w:val="none" w:color="FFFFFF" w:sz="0"/>
            </w:tcBorders>
            <w:shd w:fill="EAF2FC" w:val="clear"/>
            <w:tcMar>
              <w:top w:type="dxa" w:w="100"/>
              <w:left w:type="dxa" w:w="160"/>
              <w:bottom w:type="dxa" w:w="10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WM Logistics India</w:t>
            </w:r>
          </w:p>
        </w:tc>
        <w:tc>
          <w:tcPr>
            <w:tcW w:type="dxa" w:w="3664"/>
            <w:tcBorders>
              <w:top w:val="single" w:color="1B3A6B" w:sz="4"/>
              <w:left w:val="none" w:color="FFFFFF" w:sz="0"/>
              <w:bottom w:val="single" w:color="1B3A6B" w:sz="4"/>
              <w:right w:val="none" w:color="FFFFFF" w:sz="0"/>
            </w:tcBorders>
            <w:shd w:fill="EAF2FC" w:val="clear"/>
            <w:tcMar>
              <w:top w:type="dxa" w:w="100"/>
              <w:left w:type="dxa" w:w="8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C8890A"/>
                <w:sz w:val="18"/>
                <w:szCs w:val="18"/>
              </w:rPr>
              <w:t xml:space="preserve">Jul 2016 - Oct 2019</w:t>
            </w:r>
          </w:p>
        </w:tc>
      </w:tr>
    </w:tbl>
    <w:p>
      <w:pPr>
        <w:spacing w:after="40" w:before="60"/>
        <w:ind w:left="180"/>
        <w:jc w:val="left"/>
      </w:pPr>
      <w:r>
        <w:rPr>
          <w:rFonts w:ascii="Arial" w:cs="Arial" w:eastAsia="Arial" w:hAnsi="Arial"/>
          <w:color w:val="2D5F9E"/>
          <w:sz w:val="19"/>
          <w:szCs w:val="19"/>
        </w:rPr>
        <w:t xml:space="preserve">Principal Software Engineer  |  OCS – Waste Management (North America)</w:t>
      </w:r>
    </w:p>
    <w:p>
      <w:pPr>
        <w:pStyle w:val="ListParagraph"/>
        <w:numPr>
          <w:ilvl w:val="0"/>
          <w:numId w:val="2"/>
        </w:numPr>
        <w:spacing w:after="20" w:before="20"/>
        <w:jc w:val="left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Modernized a mission-critical operational platform supporting 26,000+ vehicles and 21M+ customers by transforming legacy monoliths into a scalable AWS-based microservices ecosystem.</w:t>
      </w:r>
    </w:p>
    <w:p>
      <w:pPr>
        <w:pStyle w:val="ListParagraph"/>
        <w:numPr>
          <w:ilvl w:val="0"/>
          <w:numId w:val="2"/>
        </w:numPr>
        <w:spacing w:after="20" w:before="20"/>
        <w:jc w:val="left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Architected and delivered cloud-native microservices on AWS, enabling independent service scaling and improving throughput, fault tolerance, and peak-load handling for enterprise-scale logistics operations.</w:t>
      </w:r>
    </w:p>
    <w:p>
      <w:pPr>
        <w:pStyle w:val="ListParagraph"/>
        <w:numPr>
          <w:ilvl w:val="0"/>
          <w:numId w:val="2"/>
        </w:numPr>
        <w:spacing w:after="20" w:before="20"/>
        <w:jc w:val="left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Served as lead escalation engineer for critical P1 production incidents, driving rapid root-cause analysis, service restoration, and SLA adherence while minimizing business disruption.</w:t>
      </w:r>
    </w:p>
    <w:p>
      <w:pPr>
        <w:spacing w:after="0" w:before="80"/>
        <w:jc w:val="left"/>
      </w:pP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802"/>
        <w:gridCol w:w="3664"/>
      </w:tblGrid>
      <w:tr>
        <w:tc>
          <w:tcPr>
            <w:tcW w:type="dxa" w:w="6802"/>
            <w:tcBorders>
              <w:top w:val="single" w:color="1B3A6B" w:sz="4"/>
              <w:left w:val="single" w:color="C8890A" w:sz="12"/>
              <w:bottom w:val="single" w:color="1B3A6B" w:sz="4"/>
              <w:right w:val="none" w:color="FFFFFF" w:sz="0"/>
            </w:tcBorders>
            <w:shd w:fill="EAF2FC" w:val="clear"/>
            <w:tcMar>
              <w:top w:type="dxa" w:w="100"/>
              <w:left w:type="dxa" w:w="160"/>
              <w:bottom w:type="dxa" w:w="10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Misys (now Finastra)</w:t>
            </w:r>
          </w:p>
        </w:tc>
        <w:tc>
          <w:tcPr>
            <w:tcW w:type="dxa" w:w="3664"/>
            <w:tcBorders>
              <w:top w:val="single" w:color="1B3A6B" w:sz="4"/>
              <w:left w:val="none" w:color="FFFFFF" w:sz="0"/>
              <w:bottom w:val="single" w:color="1B3A6B" w:sz="4"/>
              <w:right w:val="none" w:color="FFFFFF" w:sz="0"/>
            </w:tcBorders>
            <w:shd w:fill="EAF2FC" w:val="clear"/>
            <w:tcMar>
              <w:top w:type="dxa" w:w="100"/>
              <w:left w:type="dxa" w:w="8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C8890A"/>
                <w:sz w:val="18"/>
                <w:szCs w:val="18"/>
              </w:rPr>
              <w:t xml:space="preserve">Nov 2011 - Mar 2016</w:t>
            </w:r>
          </w:p>
        </w:tc>
      </w:tr>
    </w:tbl>
    <w:p>
      <w:pPr>
        <w:spacing w:after="40" w:before="60"/>
        <w:ind w:left="180"/>
        <w:jc w:val="left"/>
      </w:pPr>
      <w:r>
        <w:rPr>
          <w:rFonts w:ascii="Arial" w:cs="Arial" w:eastAsia="Arial" w:hAnsi="Arial"/>
          <w:color w:val="2D5F9E"/>
          <w:sz w:val="19"/>
          <w:szCs w:val="19"/>
        </w:rPr>
        <w:t xml:space="preserve">Expert Software Engineer  |  Loan IQ – World's Leading Syndicated-Lending Platform</w:t>
      </w:r>
    </w:p>
    <w:p>
      <w:pPr>
        <w:pStyle w:val="ListParagraph"/>
        <w:numPr>
          <w:ilvl w:val="0"/>
          <w:numId w:val="2"/>
        </w:numPr>
        <w:spacing w:after="20" w:before="20"/>
        <w:jc w:val="left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Spearheaded design and delivery of strategic enhancements for Loan IQ, supporting mission-critical lending operations for 50+ global banks.</w:t>
      </w:r>
    </w:p>
    <w:p>
      <w:pPr>
        <w:pStyle w:val="ListParagraph"/>
        <w:numPr>
          <w:ilvl w:val="0"/>
          <w:numId w:val="2"/>
        </w:numPr>
        <w:spacing w:after="20" w:before="20"/>
        <w:jc w:val="left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Provided technical leadership across the full feature lifecycle, defining solution architectures and guiding implementation of lending functionalities including deal management, interest calculations, fee processing, and SWIFT integrations.</w:t>
      </w:r>
    </w:p>
    <w:p>
      <w:pPr>
        <w:pStyle w:val="ListParagraph"/>
        <w:numPr>
          <w:ilvl w:val="0"/>
          <w:numId w:val="2"/>
        </w:numPr>
        <w:spacing w:after="20" w:before="20"/>
        <w:jc w:val="left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Championed platform quality and maintainability through architectural governance, code reviews, and engineering best practices aligned with stringent financial services standards.</w:t>
      </w:r>
    </w:p>
    <w:p>
      <w:pPr>
        <w:spacing w:after="0" w:before="80"/>
        <w:jc w:val="left"/>
      </w:pP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802"/>
        <w:gridCol w:w="3664"/>
      </w:tblGrid>
      <w:tr>
        <w:tc>
          <w:tcPr>
            <w:tcW w:type="dxa" w:w="6802"/>
            <w:tcBorders>
              <w:top w:val="single" w:color="1B3A6B" w:sz="4"/>
              <w:left w:val="single" w:color="C8890A" w:sz="12"/>
              <w:bottom w:val="single" w:color="1B3A6B" w:sz="4"/>
              <w:right w:val="none" w:color="FFFFFF" w:sz="0"/>
            </w:tcBorders>
            <w:shd w:fill="EAF2FC" w:val="clear"/>
            <w:tcMar>
              <w:top w:type="dxa" w:w="100"/>
              <w:left w:type="dxa" w:w="160"/>
              <w:bottom w:type="dxa" w:w="10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MASTEK</w:t>
            </w:r>
          </w:p>
        </w:tc>
        <w:tc>
          <w:tcPr>
            <w:tcW w:type="dxa" w:w="3664"/>
            <w:tcBorders>
              <w:top w:val="single" w:color="1B3A6B" w:sz="4"/>
              <w:left w:val="none" w:color="FFFFFF" w:sz="0"/>
              <w:bottom w:val="single" w:color="1B3A6B" w:sz="4"/>
              <w:right w:val="none" w:color="FFFFFF" w:sz="0"/>
            </w:tcBorders>
            <w:shd w:fill="EAF2FC" w:val="clear"/>
            <w:tcMar>
              <w:top w:type="dxa" w:w="100"/>
              <w:left w:type="dxa" w:w="8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C8890A"/>
                <w:sz w:val="18"/>
                <w:szCs w:val="18"/>
              </w:rPr>
              <w:t xml:space="preserve">Feb 2006 - Oct 2011</w:t>
            </w:r>
          </w:p>
        </w:tc>
      </w:tr>
    </w:tbl>
    <w:p>
      <w:pPr>
        <w:spacing w:after="40" w:before="60"/>
        <w:ind w:left="180"/>
        <w:jc w:val="left"/>
      </w:pPr>
      <w:r>
        <w:rPr>
          <w:rFonts w:ascii="Arial" w:cs="Arial" w:eastAsia="Arial" w:hAnsi="Arial"/>
          <w:color w:val="2D5F9E"/>
          <w:sz w:val="19"/>
          <w:szCs w:val="19"/>
        </w:rPr>
        <w:t xml:space="preserve">Senior Developer / Module Leader  |  Registers of Scotland &amp; British Telecom UK</w:t>
      </w:r>
    </w:p>
    <w:p>
      <w:pPr>
        <w:pStyle w:val="ListParagraph"/>
        <w:numPr>
          <w:ilvl w:val="0"/>
          <w:numId w:val="2"/>
        </w:numPr>
        <w:spacing w:after="20" w:before="20"/>
        <w:jc w:val="left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Senior Developer on Scottish Government's land registration system – EJB/Spring/Hibernate services, JMS messaging, SOAP integration (30-member team, 5-year engagement).</w:t>
      </w:r>
    </w:p>
    <w:p>
      <w:pPr>
        <w:spacing w:after="0" w:before="80"/>
        <w:jc w:val="left"/>
      </w:pP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802"/>
        <w:gridCol w:w="3664"/>
      </w:tblGrid>
      <w:tr>
        <w:tc>
          <w:tcPr>
            <w:tcW w:type="dxa" w:w="6802"/>
            <w:tcBorders>
              <w:top w:val="single" w:color="1B3A6B" w:sz="4"/>
              <w:left w:val="single" w:color="C8890A" w:sz="12"/>
              <w:bottom w:val="single" w:color="1B3A6B" w:sz="4"/>
              <w:right w:val="none" w:color="FFFFFF" w:sz="0"/>
            </w:tcBorders>
            <w:shd w:fill="EAF2FC" w:val="clear"/>
            <w:tcMar>
              <w:top w:type="dxa" w:w="100"/>
              <w:left w:type="dxa" w:w="160"/>
              <w:bottom w:type="dxa" w:w="10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Tata Consultancy Services</w:t>
            </w:r>
          </w:p>
        </w:tc>
        <w:tc>
          <w:tcPr>
            <w:tcW w:type="dxa" w:w="3664"/>
            <w:tcBorders>
              <w:top w:val="single" w:color="1B3A6B" w:sz="4"/>
              <w:left w:val="none" w:color="FFFFFF" w:sz="0"/>
              <w:bottom w:val="single" w:color="1B3A6B" w:sz="4"/>
              <w:right w:val="none" w:color="FFFFFF" w:sz="0"/>
            </w:tcBorders>
            <w:shd w:fill="EAF2FC" w:val="clear"/>
            <w:tcMar>
              <w:top w:type="dxa" w:w="100"/>
              <w:left w:type="dxa" w:w="8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C8890A"/>
                <w:sz w:val="18"/>
                <w:szCs w:val="18"/>
              </w:rPr>
              <w:t xml:space="preserve">Oct 2003 - Feb 2006</w:t>
            </w:r>
          </w:p>
        </w:tc>
      </w:tr>
    </w:tbl>
    <w:p>
      <w:pPr>
        <w:spacing w:after="40" w:before="60"/>
        <w:ind w:left="180"/>
        <w:jc w:val="left"/>
      </w:pPr>
      <w:r>
        <w:rPr>
          <w:rFonts w:ascii="Arial" w:cs="Arial" w:eastAsia="Arial" w:hAnsi="Arial"/>
          <w:color w:val="2D5F9E"/>
          <w:sz w:val="19"/>
          <w:szCs w:val="19"/>
        </w:rPr>
        <w:t xml:space="preserve">Assistant System Engineer  |  GE Infrastructure Suite</w:t>
      </w:r>
    </w:p>
    <w:p>
      <w:pPr>
        <w:pStyle w:val="ListParagraph"/>
        <w:numPr>
          <w:ilvl w:val="0"/>
          <w:numId w:val="2"/>
        </w:numPr>
        <w:spacing w:after="20" w:before="20"/>
        <w:jc w:val="left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Developer on four GE projects: Sales Portal (SAP integration), RMD (diagnostic reporting), RCM (corrosion monitoring), eNPI (product approval workflow).</w:t>
      </w:r>
    </w:p>
    <w:p>
      <w:pPr>
        <w:spacing w:after="0" w:before="80"/>
        <w:jc w:val="left"/>
      </w:pP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EDUCATION</w:t>
            </w:r>
          </w:p>
        </w:tc>
      </w:tr>
    </w:tbl>
    <w:p>
      <w:pPr>
        <w:spacing w:after="0" w:before="100"/>
        <w:jc w:val="left"/>
      </w:pP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1B3A6B" w:sz="4"/>
              <w:left w:val="single" w:color="C8890A" w:sz="12"/>
              <w:bottom w:val="single" w:color="1B3A6B" w:sz="4"/>
              <w:right w:val="none" w:color="FFFFFF" w:sz="0"/>
            </w:tcBorders>
            <w:shd w:fill="EAF2FC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B.E. Computer Science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Institute of Engineering &amp; Technology, DAVV, Indore (M.P.)  |  2003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Arial" w:cs="Arial" w:eastAsia="Arial" w:hAnsi="Arial"/>
        <w:color w:val="AAAAAA"/>
        <w:sz w:val="16"/>
        <w:szCs w:val="16"/>
      </w:rPr>
      <w:t xml:space="preserve">Manish Kumar Sharma  |  Resume  |  Page </w:t>
    </w:r>
    <w:r>
      <w:rPr>
        <w:rFonts w:ascii="Arial" w:cs="Arial" w:eastAsia="Arial" w:hAnsi="Arial"/>
        <w:b/>
        <w:bCs/>
        <w:color w:val="1B3A6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80" w:before="0"/>
      <w:jc w:val="lef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■"/>
      <w:lvlJc w:val="left"/>
      <w:pPr>
        <w:ind w:left="360" w:hanging="240"/>
      </w:pPr>
      <w:rPr>
        <w:rFonts w:ascii="Arial" w:cs="Arial" w:eastAsia="Arial" w:hAnsi="Arial"/>
        <w:color w:val="C8890A"/>
        <w:sz w:val="16"/>
        <w:szCs w:val="1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2026-06-24T07:02:30.756Z</dcterms:created>
  <dcterms:modified xsi:type="dcterms:W3CDTF">2026-06-24T07:02:30.756Z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