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use Machine Learning to identify the key economic factors influencing GDP across four post-1940s nations (India, China, Israel, South Korea).</w:t>
      </w:r>
    </w:p>
    <w:p w14:paraId="137CEB8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5F4EF1DD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This project unpacks how India, China, Israel, and South Korea transformed into post-1940s powerhouses—using machine learning to reveal the real forces behind their GDP surges.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 :</w:t>
      </w:r>
    </w:p>
    <w:p w14:paraId="65935EE0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 Models: Ridge, LASSO, Elastic Net, Decision Tree, KNN, SVR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gain data-driven insights into how various historical and economic variables impact long-term national GDP growth and to draw lessons from diverse nation-building journeys.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6074D63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Employed an 8-step ML methodology, focusing on Feature Importance analysis using various regression and tree-based models. Successfully mitigated high multicollinearity among variables by leveraging regularization techniques (LASSO/Ridge) for robust feature selection and to stabilize the model coefficients. Final feature ranking across nations was achieved through Comparative Analysis.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  <w:bookmarkStart w:id="0" w:name="_GoBack"/>
      <w:bookmarkEnd w:id="0"/>
    </w:p>
    <w:p w14:paraId="0400771C">
      <w:pPr>
        <w:rPr>
          <w:rFonts w:hint="default" w:ascii="Open Sans" w:hAnsi="Open Sans" w:cs="Open Sans"/>
          <w:sz w:val="24"/>
          <w:szCs w:val="24"/>
        </w:rPr>
      </w:pPr>
    </w:p>
    <w:p w14:paraId="4637E6FC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China: Defense spending emerges as a major growth force.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India: A balanced trio of exports, imports, and defense fuels resilience.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Across all four nations: Leadership stability, disaster readiness, and strategic trade play out sized roles in economic momentum.</w:t>
      </w:r>
    </w:p>
    <w:p w14:paraId="3FD8EB7C">
      <w:pPr>
        <w:rPr>
          <w:rFonts w:hint="default" w:ascii="Open Sans" w:hAnsi="Open Sans" w:cs="Open Sans"/>
          <w:sz w:val="24"/>
          <w:szCs w:val="24"/>
        </w:rPr>
      </w:pPr>
    </w:p>
    <w:p w14:paraId="10538868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Provided highly accurate insights into the relative significance of GDP drivers. Identified Trade (Exports/Imports) and Defense Investment as universally dominant drivers.</w:t>
      </w:r>
    </w:p>
    <w:p w14:paraId="3FB124C5">
      <w:pPr>
        <w:rPr>
          <w:rFonts w:hint="default" w:ascii="Open Sans" w:hAnsi="Open Sans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357701F2"/>
    <w:rsid w:val="3A0826FD"/>
    <w:rsid w:val="3A2820D9"/>
    <w:rsid w:val="45293B54"/>
    <w:rsid w:val="5FA04D4B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2025-12-06T14:09:27Z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1B871957EF29414EBE96D4B9913063DD_13</vt:lpwstr>
  </property>
</Properties>
</file>