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The Industrial Revolution and the Reshaping of Modern Labour</w:t>
      </w:r>
    </w:p>
    <w:p>
      <w:r>
        <w:t xml:space="preserve">The Industrial Revolution, which began in Britain during the late eighteenth century, fundamentally transformed the way goods were produced and the way people organised their working lives. Prior to this period, manufacturing was largely carried out in small workshops and through the domestic system, in which raw materials were distributed to rural families who processed them in their own homes. The introduction of mechanised production altered this arrangement entirely, concentrating workers within factories and subjecting them to a strict discipline of time and machine.</w:t>
      </w:r>
    </w:p>
    <w:p>
      <w:r>
        <w:t xml:space="preserve">It is important to note that the transition was neither immediate nor uniform. Different regions adopted mechanisation at varying rates, and many communities resisted the changes that accompanied it. Furthermore, the social consequences of industrialisation were deeply uneven. While some individuals accumulated considerable wealth, a large proportion of the labouring population experienced long hours, dangerous conditions and inadequate compensation. Child labour, in particular, became a subject of growing concern during the early decades of the nineteenth century.</w:t>
      </w:r>
    </w:p>
    <w:p>
      <w:r>
        <w:t xml:space="preserve">In conclusion, the Industrial Revolution represents a pivotal moment in economic history. Its effects continue to shape contemporary institutions, and its legacy remains a subject of considerable scholarly debate. The evidence suggests that its influence was both transformative and deeply contested, and that any balanced assessment must acknowledge the complexity of the period.</w:t>
      </w:r>
    </w:p>
  </w:body>
</w:document>
</file>