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93A" w:rsidRPr="00D1793A" w:rsidRDefault="00D1793A" w:rsidP="00D179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D17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MatRisk</w:t>
      </w:r>
      <w:proofErr w:type="spellEnd"/>
      <w:r w:rsidRPr="00D179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AI — Project Datasets</w:t>
      </w:r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DS-1: Material Properties (5,500 entries, 18 columns)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DS1_material_properties_5500.csv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Training data for CGNN, PINN, and ensemble models</w:t>
      </w:r>
    </w:p>
    <w:p w:rsidR="00D1793A" w:rsidRDefault="00D1793A" w:rsidP="00D1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material_id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formula,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crystal_system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spacegroup_number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formation_energy_per_atom_eV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band_gap_eV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bulk_modulus_GPa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shear_modulus_GPa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poisson_ratio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density_g_cm3,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melting_point_K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is_stable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>, category</w:t>
      </w:r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Physics constraints to enforce:</w:t>
      </w:r>
    </w:p>
    <w:p w:rsidR="00D1793A" w:rsidRPr="00D1793A" w:rsidRDefault="00D1793A" w:rsidP="00D179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Elastic consistency: E = 2G(1+ν) = 3K(1−2ν)</w:t>
      </w:r>
    </w:p>
    <w:p w:rsidR="00D1793A" w:rsidRPr="00D1793A" w:rsidRDefault="00D1793A" w:rsidP="00D179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Poisson bounds: −1 &lt; ν &lt; 0.5</w:t>
      </w:r>
    </w:p>
    <w:p w:rsidR="00D1793A" w:rsidRPr="00D1793A" w:rsidRDefault="00D1793A" w:rsidP="00D179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Stability: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formation_energy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&lt; 0 for stable compounds</w:t>
      </w:r>
    </w:p>
    <w:p w:rsidR="00D1793A" w:rsidRPr="00D1793A" w:rsidRDefault="00D1793A" w:rsidP="00D179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K &gt; 0, G &gt; 0, density &gt; 0</w:t>
      </w:r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DS-2: Commodity Prices (22,952 rows, 24 columns)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DS2_commodity_prices_10yr.csv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Commodity prediction model training and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</w:p>
    <w:p w:rsidR="00D1793A" w:rsidRDefault="00D1793A" w:rsidP="00D1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Coverage: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8 commodities × ~2,870 trading days (2014–2024</w:t>
      </w:r>
      <w:proofErr w:type="gramStart"/>
      <w:r w:rsidRPr="00D1793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D1793A">
        <w:rPr>
          <w:rFonts w:ascii="Times New Roman" w:eastAsia="Times New Roman" w:hAnsi="Times New Roman" w:cs="Times New Roman"/>
          <w:sz w:val="24"/>
          <w:szCs w:val="24"/>
        </w:rPr>
        <w:br/>
      </w: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Commodities: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Steel_HRC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Aluminium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Copper, Nickel,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Lithium_ETF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Cobalt_Index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bookmarkStart w:id="0" w:name="_GoBack"/>
      <w:bookmarkEnd w:id="0"/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RareEarth_ETF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Iron_Ore</w:t>
      </w:r>
      <w:proofErr w:type="spellEnd"/>
    </w:p>
    <w:p w:rsidR="00D1793A" w:rsidRDefault="00D1793A" w:rsidP="00D1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Pre-computed features: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daily_return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return_5d, return_21d, volatility_5d/21d/63d_ann, sma_21, sma_63,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bollinger_z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rsi_14,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macd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macd_signal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momentum_10d, momentum_21d,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term_spread</w:t>
      </w:r>
      <w:proofErr w:type="spellEnd"/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DS-3: Infrastructure Bridge Data (5,000 entries, 24 columns)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DS3_infrastructure_bridges_5000.csv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Survival model training for RUL prediction and credit risk</w:t>
      </w:r>
    </w:p>
    <w:p w:rsidR="00D1793A" w:rsidRDefault="00D1793A" w:rsidP="00D1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bridge_id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bridge_type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material,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year_built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age_years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location,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corrosion_rate_mm_yr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condition_rating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(1–9),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tensile_strength_MPa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yield_strength_MPa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paris_C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paris_m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original_thickness_mm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remaining_thickness_mm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fatigue_cycles_millions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loan_outstanding_M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insurance_premium_K_yr</w:t>
      </w:r>
      <w:proofErr w:type="spellEnd"/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Condition ratings follow NBI standard (9=excellent to 1=imminent failure)</w:t>
      </w:r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DS-4: Cross-Domain Features (22,952 rows, 12 columns)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DS4_crossdomain_features_daily.csv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Material-financial signal generation for commodity alpha</w:t>
      </w:r>
    </w:p>
    <w:p w:rsidR="00D1793A" w:rsidRDefault="00D1793A" w:rsidP="00D17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mqi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mqi_5d_trend, mqi_21d_trend, mqi_63d_trend,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supply_disruption_prob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substitution_elasticity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green_premium_per_kg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carbon_intensity_virgin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carbon_intensity_recycled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herfindahl_index</w:t>
      </w:r>
      <w:proofErr w:type="spellEnd"/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Align with DS-2 on (date, commodity) for merged model input</w:t>
      </w:r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DS-5: Element Prices (5,280 rows, 5 columns)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DS5_element_prices_monthly.csv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GAN cost constraint — real-time element prices for cost-aware inverse material design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br/>
      </w: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Coverage: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40 elements × 132 months (2014–2024)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element,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price_usd_per_kg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monthly_return</w:t>
      </w:r>
      <w:proofErr w:type="spellEnd"/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DS-6: Historical Failure Events (2,000 records, 18 columns)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DS6_historical_failures_2000.csv</w:t>
      </w:r>
    </w:p>
    <w:p w:rsidR="00D1793A" w:rsidRDefault="00D1793A" w:rsidP="00D17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Survival model validation, insurance catastrophe model calibration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br/>
      </w: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Key columns:</w:t>
      </w:r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event_year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structure_type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material,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age_at_event_years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corrosion_rate_mm_yr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failure_mode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severity,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replacement_value_USD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repair_cost_USD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loss_ratio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was_predicted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warning_lead_months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insurance_claim_filed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regulatory_action</w:t>
      </w:r>
      <w:proofErr w:type="spellEnd"/>
    </w:p>
    <w:p w:rsidR="00D1793A" w:rsidRPr="00D1793A" w:rsidRDefault="00D1793A" w:rsidP="00D179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b/>
          <w:bCs/>
          <w:sz w:val="24"/>
          <w:szCs w:val="24"/>
        </w:rPr>
        <w:t>Usage Instructions</w:t>
      </w:r>
    </w:p>
    <w:p w:rsidR="00D1793A" w:rsidRPr="00D1793A" w:rsidRDefault="00D1793A" w:rsidP="00D179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Place all CSV files in data/raw/ and track with DVC</w:t>
      </w:r>
    </w:p>
    <w:p w:rsidR="00D1793A" w:rsidRPr="00D1793A" w:rsidRDefault="00D1793A" w:rsidP="00D179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DS-1 → Feature engineering (</w:t>
      </w:r>
      <w:proofErr w:type="spellStart"/>
      <w:r w:rsidRPr="00D1793A">
        <w:rPr>
          <w:rFonts w:ascii="Times New Roman" w:eastAsia="Times New Roman" w:hAnsi="Times New Roman" w:cs="Times New Roman"/>
          <w:sz w:val="24"/>
          <w:szCs w:val="24"/>
        </w:rPr>
        <w:t>Matminer</w:t>
      </w:r>
      <w:proofErr w:type="spellEnd"/>
      <w:r w:rsidRPr="00D1793A">
        <w:rPr>
          <w:rFonts w:ascii="Times New Roman" w:eastAsia="Times New Roman" w:hAnsi="Times New Roman" w:cs="Times New Roman"/>
          <w:sz w:val="24"/>
          <w:szCs w:val="24"/>
        </w:rPr>
        <w:t>) → CGNN/PINN/Ensemble training</w:t>
      </w:r>
    </w:p>
    <w:p w:rsidR="00D1793A" w:rsidRPr="00D1793A" w:rsidRDefault="00D1793A" w:rsidP="00D179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DS-2 + DS-4 → Merge on (date, commodity) → Commodity prediction model</w:t>
      </w:r>
    </w:p>
    <w:p w:rsidR="00D1793A" w:rsidRPr="00D1793A" w:rsidRDefault="00D1793A" w:rsidP="00D179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DS-3 → Survival model training → PD/LGD/EL credit risk module</w:t>
      </w:r>
    </w:p>
    <w:p w:rsidR="00D1793A" w:rsidRPr="00D1793A" w:rsidRDefault="00D1793A" w:rsidP="00D179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DS-5 → GAN cost constraint during inverse material design</w:t>
      </w:r>
    </w:p>
    <w:p w:rsidR="00D1793A" w:rsidRPr="00D1793A" w:rsidRDefault="00D1793A" w:rsidP="00D179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793A">
        <w:rPr>
          <w:rFonts w:ascii="Times New Roman" w:eastAsia="Times New Roman" w:hAnsi="Times New Roman" w:cs="Times New Roman"/>
          <w:sz w:val="24"/>
          <w:szCs w:val="24"/>
        </w:rPr>
        <w:t>DS-6 → Survival model validation + Insurance cat model calibration</w:t>
      </w:r>
    </w:p>
    <w:p w:rsidR="00A06DF3" w:rsidRPr="00D1793A" w:rsidRDefault="00A06DF3" w:rsidP="00D1793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06DF3" w:rsidRPr="00D17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F7DAC"/>
    <w:multiLevelType w:val="multilevel"/>
    <w:tmpl w:val="EB6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0F5A00"/>
    <w:multiLevelType w:val="multilevel"/>
    <w:tmpl w:val="DD52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93A"/>
    <w:rsid w:val="00696C84"/>
    <w:rsid w:val="00A06DF3"/>
    <w:rsid w:val="00D1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9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9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9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7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79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793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9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9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9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7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79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79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Suketu Sanghvi</dc:creator>
  <cp:lastModifiedBy>Suketu Sanghvi</cp:lastModifiedBy>
  <cp:revision>2</cp:revision>
  <dcterms:created xsi:type="dcterms:W3CDTF">2026-04-05T15:26:00Z</dcterms:created>
  <dcterms:modified xsi:type="dcterms:W3CDTF">2026-04-05T15:26:00Z</dcterms:modified>
</cp:coreProperties>
</file>