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Lab 1 – Requirements Table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Problem Statement #18 — Clinical Trial Subject Recruitment Engine   |   </w:t>
      </w:r>
      <w:r>
        <w:rPr>
          <w:i/>
          <w:iCs/>
          <w:sz w:val="20"/>
          <w:szCs w:val="20"/>
        </w:rPr>
        <w:t xml:space="preserve">Domain: Healthcare &amp; Telemedicine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Actors: </w:t>
      </w:r>
      <w:r>
        <w:rPr>
          <w:sz w:val="20"/>
          <w:szCs w:val="20"/>
        </w:rPr>
        <w:t xml:space="preserve">Trial Candidate, Clinical Researcher, System Administrator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600"/>
        <w:gridCol w:w="1000"/>
        <w:gridCol w:w="3300"/>
        <w:gridCol w:w="2400"/>
        <w:gridCol w:w="1500"/>
      </w:tblGrid>
      <w:tr>
        <w:trPr>
          <w:tblHeader/>
        </w:trPr>
        <w:tc>
          <w:tcPr>
            <w:tcW w:type="dxa" w:w="9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3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4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15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900"/>
            <w:shd w:fill="DDEBF7" w:val="clear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FR-001</w:t>
            </w:r>
          </w:p>
        </w:tc>
        <w:tc>
          <w:tcPr>
            <w:tcW w:type="dxa" w:w="1300"/>
            <w:shd w:fill="DDEBF7" w:val="clear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600"/>
            <w:shd w:fill="DDEBF7" w:val="clear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The system shall evaluate candidate survey responses against trial protocol inclusion/exclusion criteria and classify eligibility status.</w:t>
            </w:r>
          </w:p>
        </w:tc>
        <w:tc>
          <w:tcPr>
            <w:tcW w:type="dxa" w:w="1000"/>
            <w:shd w:fill="DDEBF7" w:val="clear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00"/>
            <w:shd w:fill="DDEBF7" w:val="clear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Pass: Ineligible candidate flagged with specific failed criteria. Fail: Subject with exclusion criteria marked eligible.</w:t>
            </w:r>
          </w:p>
        </w:tc>
        <w:tc>
          <w:tcPr>
            <w:tcW w:type="dxa" w:w="2400"/>
            <w:shd w:fill="DDEBF7" w:val="clear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Core screening function that prevents unsafe or non-compliant enrollment.</w:t>
            </w:r>
          </w:p>
        </w:tc>
        <w:tc>
          <w:tcPr>
            <w:tcW w:type="dxa" w:w="1500"/>
            <w:shd w:fill="DDEBF7" w:val="clear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Given (provided in problem statement)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FR-002</w:t>
            </w:r>
          </w:p>
        </w:tc>
        <w:tc>
          <w:tcPr>
            <w:tcW w:type="dxa" w:w="1300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600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The system shall allow a Trial Candidate to create and submit a registration profile capturing demographic data, medical history, and current medications.</w:t>
            </w:r>
          </w:p>
        </w:tc>
        <w:tc>
          <w:tcPr>
            <w:tcW w:type="dxa" w:w="1000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00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Pass: A submitted profile with all mandatory fields is saved and a unique Candidate ID is generated. Fail: Profile with a missing mandatory field is rejected with a field-level error.</w:t>
            </w:r>
          </w:p>
        </w:tc>
        <w:tc>
          <w:tcPr>
            <w:tcW w:type="dxa" w:w="2400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Establishes the baseline data set required before eligibility screening can run.</w:t>
            </w:r>
          </w:p>
        </w:tc>
        <w:tc>
          <w:tcPr>
            <w:tcW w:type="dxa" w:w="1500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FR-003</w:t>
            </w:r>
          </w:p>
        </w:tc>
        <w:tc>
          <w:tcPr>
            <w:tcW w:type="dxa" w:w="1300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600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The system shall capture and timestamp informed consent milestones (document version viewed, e-signature, witness confirmation) for each candidate.</w:t>
            </w:r>
          </w:p>
        </w:tc>
        <w:tc>
          <w:tcPr>
            <w:tcW w:type="dxa" w:w="1000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00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Pass: A consent record shows candidate signature, protocol version ID, and UTC timestamp immutably logged. Fail: Consent proceeds to next milestone without a recorded signature.</w:t>
            </w:r>
          </w:p>
        </w:tc>
        <w:tc>
          <w:tcPr>
            <w:tcW w:type="dxa" w:w="2400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Regulatory requirement (21 CFR Part 50 / ICH-GCP) to prove voluntary, informed consent at each stage.</w:t>
            </w:r>
          </w:p>
        </w:tc>
        <w:tc>
          <w:tcPr>
            <w:tcW w:type="dxa" w:w="1500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FR-004</w:t>
            </w:r>
          </w:p>
        </w:tc>
        <w:tc>
          <w:tcPr>
            <w:tcW w:type="dxa" w:w="1300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600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The system shall allow a Clinical Researcher to log and review a candidate's visit compliance by comparing scheduled versus actual visit dates.</w:t>
            </w:r>
          </w:p>
        </w:tc>
        <w:tc>
          <w:tcPr>
            <w:tcW w:type="dxa" w:w="1000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00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Pass: A visit logged more than 48 hours from its scheduled date is auto-flagged as a compliance deviation. Fail: A missed visit is not flagged after 48 hours.</w:t>
            </w:r>
          </w:p>
        </w:tc>
        <w:tc>
          <w:tcPr>
            <w:tcW w:type="dxa" w:w="2400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Enables researchers to monitor protocol adherence and trigger follow-up action.</w:t>
            </w:r>
          </w:p>
        </w:tc>
        <w:tc>
          <w:tcPr>
            <w:tcW w:type="dxa" w:w="1500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FR-005</w:t>
            </w:r>
          </w:p>
        </w:tc>
        <w:tc>
          <w:tcPr>
            <w:tcW w:type="dxa" w:w="1300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3600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The system shall notify a Trial Candidate of their eligibility outcome and next steps within 24 hours of completing the screening survey.</w:t>
            </w:r>
          </w:p>
        </w:tc>
        <w:tc>
          <w:tcPr>
            <w:tcW w:type="dxa" w:w="1000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00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Pass: Notification (email/SMS) log shows delivery timestamp within 24 hours of survey submission. Fail: No notification recorded after 24 hours.</w:t>
            </w:r>
          </w:p>
        </w:tc>
        <w:tc>
          <w:tcPr>
            <w:tcW w:type="dxa" w:w="2400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Keeps candidates informed promptly, reducing drop-off and duplicate inquiries.</w:t>
            </w:r>
          </w:p>
        </w:tc>
        <w:tc>
          <w:tcPr>
            <w:tcW w:type="dxa" w:w="1500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DDEBF7" w:val="clear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NFR-001</w:t>
            </w:r>
          </w:p>
        </w:tc>
        <w:tc>
          <w:tcPr>
            <w:tcW w:type="dxa" w:w="1300"/>
            <w:shd w:fill="DDEBF7" w:val="clear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Nonfunctional</w:t>
            </w:r>
          </w:p>
        </w:tc>
        <w:tc>
          <w:tcPr>
            <w:tcW w:type="dxa" w:w="3600"/>
            <w:shd w:fill="DDEBF7" w:val="clear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The recruitment database must comply with 21 CFR Part 11 electronic record standards, including cryptographic audit trails.</w:t>
            </w:r>
          </w:p>
        </w:tc>
        <w:tc>
          <w:tcPr>
            <w:tcW w:type="dxa" w:w="1000"/>
            <w:shd w:fill="DDEBF7" w:val="clear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00"/>
            <w:shd w:fill="DDEBF7" w:val="clear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Pass: Benchmarking tests confirm target latency and security standards under simulated peak load.</w:t>
            </w:r>
          </w:p>
        </w:tc>
        <w:tc>
          <w:tcPr>
            <w:tcW w:type="dxa" w:w="2400"/>
            <w:shd w:fill="DDEBF7" w:val="clear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Mandatory FDA regulatory compliance for electronic clinical trial records.</w:t>
            </w:r>
          </w:p>
        </w:tc>
        <w:tc>
          <w:tcPr>
            <w:tcW w:type="dxa" w:w="1500"/>
            <w:shd w:fill="DDEBF7" w:val="clear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Given (provided in problem statement)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NFR-002</w:t>
            </w:r>
          </w:p>
        </w:tc>
        <w:tc>
          <w:tcPr>
            <w:tcW w:type="dxa" w:w="1300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Nonfunctional</w:t>
            </w:r>
          </w:p>
        </w:tc>
        <w:tc>
          <w:tcPr>
            <w:tcW w:type="dxa" w:w="3600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The system shall encrypt all Protected Health Information (PHI) at rest (AES-256) and in transit (TLS 1.2 or higher).</w:t>
            </w:r>
          </w:p>
        </w:tc>
        <w:tc>
          <w:tcPr>
            <w:tcW w:type="dxa" w:w="1000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00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Pass: Security scan confirms no PHI field is stored or transmitted unencrypted; TLS handshake enforced on all endpoints. Fail: Any PHI field readable in plaintext at rest or over the network.</w:t>
            </w:r>
          </w:p>
        </w:tc>
        <w:tc>
          <w:tcPr>
            <w:tcW w:type="dxa" w:w="2400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Protects candidate privacy and satisfies HIPAA confidentiality obligations.</w:t>
            </w:r>
          </w:p>
        </w:tc>
        <w:tc>
          <w:tcPr>
            <w:tcW w:type="dxa" w:w="1500"/>
            <w:vAlign w:val="center"/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before="200"/>
      </w:pPr>
      <w:r>
        <w:rPr>
          <w:i/>
          <w:iCs/>
          <w:color w:val="555555"/>
          <w:sz w:val="18"/>
          <w:szCs w:val="18"/>
        </w:rPr>
        <w:t xml:space="preserve">Note: Rows shaded blue (FR-001, NFR-001) were provided in the problem statement. FR-002–FR-005 and NFR-002 are drafted for this scenario — revise wording during peer critique.</w:t>
      </w:r>
    </w:p>
    <w:sectPr>
      <w:pgSz w:w="15840" w:h="12240" w:orient="portrait"/>
      <w:pgMar w:top="720" w:right="620" w:bottom="7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2026-08-25T08:08:41.515Z</dcterms:created>
  <dcterms:modified xsi:type="dcterms:W3CDTF">2026-08-25T08:08:41.515Z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