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00"/>
      </w:tblGrid>
      <w:tr>
        <w:tc>
          <w:tcPr>
            <w:tcW w:w="9700" w:type="dxa"/>
            <w:vAlign w:val="top"/>
          </w:tcPr>
          <w:p>
            <w:pPr>
              <w:spacing w:before="40" w:after="40" w:line="240" w:lineRule="auto"/>
              <w:jc w:val="center"/>
              <w:rPr>
                <w:rFonts w:ascii="Arial" w:eastAsia="Times New Roman" w:hAnsi="Arial" w:cs="Traditional Arabic"/>
                <w:sz w:val="24"/>
                <w:szCs w:val="19"/>
              </w:rPr>
            </w:pPr>
            <w:r>
              <w:rPr>
                <w:rFonts w:ascii="Arial" w:eastAsia="Times New Roman" w:hAnsi="Arial" w:cs="Traditional Arabic"/>
                <w:sz w:val="24"/>
                <w:szCs w:val="19"/>
              </w:rPr>
              <w:t xml:space="preserve">ARAB NATIONAL BANK</w:t>
            </w:r>
          </w:p>
        </w:tc>
      </w:tr>
      <w:tr>
        <w:tc>
          <w:tcPr>
            <w:tcW w:w="9700" w:type="dxa"/>
            <w:vAlign w:val="top"/>
          </w:tcPr>
          <w:p>
            <w:pPr>
              <w:spacing w:before="40" w:after="40" w:line="240" w:lineRule="auto"/>
              <w:jc w:val="center"/>
              <w:rPr>
                <w:rFonts w:ascii="Arial" w:eastAsia="Times New Roman" w:hAnsi="Arial" w:cs="Traditional Arabic"/>
                <w:sz w:val="24"/>
                <w:szCs w:val="19"/>
              </w:rPr>
            </w:pPr>
            <w:r>
              <w:rPr>
                <w:rFonts w:ascii="Arial" w:eastAsia="Times New Roman" w:hAnsi="Arial" w:cs="Traditional Arabic"/>
                <w:sz w:val="24"/>
                <w:szCs w:val="19"/>
              </w:rPr>
              <w:t xml:space="preserve">Information Technology Group</w:t>
            </w:r>
          </w:p>
        </w:tc>
      </w:tr>
      <w:tr>
        <w:tc>
          <w:tcPr>
            <w:tcW w:w="9700" w:type="dxa"/>
            <w:vAlign w:val="top"/>
          </w:tcPr>
          <w:p>
            <w:pPr>
              <w:spacing w:before="40" w:after="40" w:line="240" w:lineRule="auto"/>
              <w:jc w:val="center"/>
              <w:rPr>
                <w:rFonts w:ascii="Arial" w:eastAsia="Times New Roman" w:hAnsi="Arial" w:cs="Traditional Arabic"/>
                <w:sz w:val="24"/>
                <w:szCs w:val="19"/>
              </w:rPr>
            </w:pPr>
            <w:r>
              <w:rPr>
                <w:rFonts w:ascii="Arial" w:eastAsia="Times New Roman" w:hAnsi="Arial" w:cs="Traditional Arabic"/>
                <w:sz w:val="24"/>
                <w:szCs w:val="19"/>
              </w:rPr>
              <w:t xml:space="preserve">Code Review Checklist</w:t>
            </w:r>
          </w:p>
        </w:tc>
      </w:tr>
    </w:tbl>
    <w:p>
      <w:pPr>
        <w:spacing w:before="0" w:after="120" w:line="240" w:lineRule="auto"/>
        <w:rPr>
          <w:rFonts w:ascii="Times New Roman" w:eastAsia="Times New Roman" w:hAnsi="Times New Roman" w:cs="Traditional Arabic"/>
          <w:sz w:val="12"/>
          <w:szCs w:val="12"/>
        </w:rPr>
      </w:pPr>
    </w:p>
    <w:tbl>
      <w:tblPr>
        <w:tblW w:w="0" w:type="auto"/>
        <w:tblInd w:w="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0"/>
        <w:gridCol w:w="5820"/>
      </w:tblGrid>
      <w:tr>
        <w:tc>
          <w:tcPr>
            <w:tcW w:w="388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Project ID:</w:t>
            </w:r>
          </w:p>
        </w:tc>
        <w:tc>
          <w:tcPr>
            <w:tcW w:w="582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Bankmaster Archival</w:t>
            </w:r>
          </w:p>
        </w:tc>
      </w:tr>
      <w:tr>
        <w:tc>
          <w:tcPr>
            <w:tcW w:w="388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RFC ID (in the case of change):</w:t>
            </w:r>
          </w:p>
        </w:tc>
        <w:tc>
          <w:tcPr>
            <w:tcW w:w="582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RFC XXXX</w:t>
            </w:r>
          </w:p>
        </w:tc>
      </w:tr>
      <w:tr>
        <w:tc>
          <w:tcPr>
            <w:tcW w:w="388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Developer’s Name:</w:t>
            </w:r>
          </w:p>
        </w:tc>
        <w:tc>
          <w:tcPr>
            <w:tcW w:w="582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Manish Kumar</w:t>
            </w:r>
          </w:p>
        </w:tc>
      </w:tr>
      <w:tr>
        <w:tc>
          <w:tcPr>
            <w:tcW w:w="388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Software Components reviewed:</w:t>
            </w:r>
          </w:p>
        </w:tc>
        <w:tc>
          <w:tcPr>
            <w:tcW w:w="582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bank-api (Spring Boot enquiry API) and bank-ui (React SPA)</w:t>
            </w:r>
          </w:p>
        </w:tc>
      </w:tr>
      <w:tr>
        <w:tc>
          <w:tcPr>
            <w:tcW w:w="388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Date of Review: 13-Sep-2026</w:t>
            </w:r>
          </w:p>
        </w:tc>
        <w:tc>
          <w:tcPr>
            <w:tcW w:w="5820" w:type="dxa"/>
            <w:vAlign w:val="top"/>
          </w:tcPr>
          <w:p>
            <w:pPr>
              <w:spacing w:before="40" w:after="40" w:line="240" w:lineRule="auto"/>
              <w:rPr>
                <w:rFonts w:ascii="Arial" w:eastAsia="Times New Roman" w:hAnsi="Arial" w:cs="Traditional Arabic"/>
                <w:sz w:val="20"/>
                <w:szCs w:val="19"/>
              </w:rPr>
            </w:pPr>
            <w:r>
              <w:rPr>
                <w:rFonts w:ascii="Arial" w:eastAsia="Times New Roman" w:hAnsi="Arial" w:cs="Traditional Arabic"/>
                <w:sz w:val="20"/>
                <w:szCs w:val="19"/>
              </w:rPr>
              <w:t xml:space="preserve">Reviewed by: XXXX</w:t>
            </w:r>
          </w:p>
        </w:tc>
      </w:tr>
    </w:tbl>
    <w:p>
      <w:pPr>
        <w:spacing w:before="0" w:after="120" w:line="240" w:lineRule="auto"/>
        <w:rPr>
          <w:rFonts w:ascii="Times New Roman" w:eastAsia="Times New Roman" w:hAnsi="Times New Roman" w:cs="Traditional Arabic"/>
          <w:sz w:val="12"/>
          <w:szCs w:val="12"/>
        </w:rPr>
      </w:pPr>
    </w:p>
    <w:p>
      <w:pPr>
        <w:spacing w:before="120" w:after="120" w:line="240" w:lineRule="auto"/>
        <w:rPr>
          <w:rFonts w:ascii="Times New Roman" w:eastAsia="Times New Roman" w:hAnsi="Times New Roman" w:cs="Traditional Arabic"/>
          <w:sz w:val="20"/>
          <w:szCs w:val="20"/>
        </w:rPr>
      </w:pPr>
      <w:r>
        <w:rPr>
          <w:rFonts w:ascii="Times New Roman" w:eastAsia="Times New Roman" w:hAnsi="Times New Roman" w:cs="Traditional Arabic"/>
          <w:sz w:val="20"/>
          <w:szCs w:val="20"/>
        </w:rPr>
        <w:t xml:space="preserve">The checklist comprises the parameters against which all in-house developed code will be evaluated by the code reviewer. This is not an exhaustive list and will be refined based on past experience. The Code Reviewers are free to add further questions to the checklist, if required:</w:t>
      </w:r>
    </w:p>
    <w:p>
      <w:pPr>
        <w:spacing w:before="0" w:after="0" w:line="240" w:lineRule="auto"/>
        <w:rPr>
          <w:rFonts w:ascii="Times New Roman" w:eastAsia="Times New Roman" w:hAnsi="Times New Roman" w:cs="Traditional Arabic"/>
          <w:sz w:val="22"/>
          <w:szCs w:val="22"/>
        </w:rPr>
      </w:pPr>
    </w:p>
    <w:tbl>
      <w:tblPr>
        <w:tblW w:w="0" w:type="auto"/>
        <w:tblInd w:w="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
        <w:gridCol w:w="2328"/>
        <w:gridCol w:w="2134"/>
        <w:gridCol w:w="4850"/>
      </w:tblGrid>
      <w:tr>
        <w:trPr>
          <w:tblHeader/>
          <w:cantSplit/>
        </w:trPr>
        <w:tc>
          <w:tcPr>
            <w:tcW w:w="388" w:type="dxa"/>
            <w:shd w:val="clear" w:color="auto" w:fill="D9D9D9"/>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w:t>
            </w:r>
          </w:p>
        </w:tc>
        <w:tc>
          <w:tcPr>
            <w:tcW w:w="2328" w:type="dxa"/>
            <w:shd w:val="clear" w:color="auto" w:fill="D9D9D9"/>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Component Name</w:t>
            </w:r>
          </w:p>
        </w:tc>
        <w:tc>
          <w:tcPr>
            <w:tcW w:w="2134" w:type="dxa"/>
            <w:shd w:val="clear" w:color="auto" w:fill="D9D9D9"/>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Module Name</w:t>
            </w:r>
          </w:p>
        </w:tc>
        <w:tc>
          <w:tcPr>
            <w:tcW w:w="4850" w:type="dxa"/>
            <w:shd w:val="clear" w:color="auto" w:fill="D9D9D9"/>
            <w:vAlign w:val="top"/>
          </w:tcPr>
          <w:p>
            <w:pPr>
              <w:spacing w:before="40" w:after="40" w:line="240" w:lineRule="auto"/>
              <w:rPr>
                <w:rFonts w:ascii="Arial" w:eastAsia="Times New Roman" w:hAnsi="Arial" w:cs="Traditional Arabic"/>
                <w:b/>
                <w:bCs/>
                <w:sz w:val="16"/>
                <w:szCs w:val="19"/>
              </w:rPr>
            </w:pPr>
            <w:r>
              <w:rPr>
                <w:rFonts w:ascii="Arial" w:eastAsia="Times New Roman" w:hAnsi="Arial" w:cs="Traditional Arabic"/>
                <w:b/>
                <w:bCs/>
                <w:sz w:val="16"/>
                <w:szCs w:val="19"/>
              </w:rPr>
              <w:t xml:space="preserve">Remarks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BankApiApplication</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bootstrap</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Single Spring Boot entry point. Serves the packaged SPA and the REST API from one jar on port 8085.</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SecurityConfig</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presentation.config</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Stateless JWT filter chain. /api/** authenticated, /api/login and the static bundle open. CSRF disabled, which is correct for a token-bearing stateless API with no cookie session.</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OpenApiConfig</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presentation.config</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Springdoc metadata only. No behaviour. Consider gating the UI off in production.</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ApiExceptionHandler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Central RFC 7807 handler. A 500 mints a six-character reference from a no-vowel, no-0/1 alphabet, logs the cause against it and returns only the reference. No stack trace reaches the browser.</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CallerResolver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Resolves the calling user and authorities from the token for the service layer. Single place, no duplication across controllers.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6</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LoginController, SessionController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Thin. Delegate to AuthService; no rule logic in the controller.</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7</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CustomerController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Search, profile, as-of profile, update history, related parties, documents. Parameters validated in the service, not the controller.</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8</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AccountController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detail, the history screens, blocked amount breakup, standing orders, stop cheques, cheque books.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9</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CardController, SignatoryController, SadadController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Thin delegation, consistent with the other controllers.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10</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TransferController, OnlineEnquiryController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Paged endpoints. Page number and size are passed through to the repository window rather than sliced in memory.</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11</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StatementController, MerchantController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Answer 501 through NotAvailableException when the statement archive is not configured, rather than returning an empty result that reads as "no statements".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12</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ReferenceDataController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presentation.rest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One /api/codes call loads every dropdown at sign-on. Avoids a per-screen round trip.</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13</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AuthService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Logon reply codes 000/101/102/103/104/105/107 ported from the legacy, in the legacy precedence. Locked is checked before the password. Allow-list membership is case-insensitive; the typed user id keeps its case. Covered by AuthServiceTest.</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14</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CustomerService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Search criteria validation and the SAMA category routing. Business rules sit here, not in the repository.</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15</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AccountService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Balance-enquiry restriction ported from cbbranch2.c:5867-5888, behind the EnquiryRestrictions switch.</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16</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CardService, SignatoryService, SadadService, ReferenceDataService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Straightforward pass-through with the ported validation. No duplicated mapping.</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17</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TransferService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Paging contract and the customer-name fallback. Detail guards on stswiftlog where the view exists.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18</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OnlineEnquiryService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Gateway-side enquiry: statement row filter, balance walk-back, minor-unit scaling by the currency decimal place. The heaviest ported logic in the module; covered by 14 cases.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19</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StatementService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BM and PDP routes, branch rules and the deleted-account route. Input validation fires before the branch check.</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20</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MerchantService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Only reply code 000 is treated as success; a refusal surfaces the gateway sentence, falling back English to Arabic to the bare code.</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21</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EnquiryRestrictions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Master switch for the identity-based restrictions, currently off. The ported rules are retained rather than deleted and the tests that pin them skip with a stated reason. Documented decision, not dead code by accident.</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22</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BadRequestException, NotFoundException, NotAvailableException</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application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Three intent-carrying exceptions mapped to 400 / 404 / 501 in one handler. No HTTP types leak into the application layer.</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23</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domain/model (57 records)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domain.model</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Immutable Java records. Field names equal archival column names, so a field can be traced to its source column without a mapping table. No framework or I/O dependency.</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24</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BmForms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domain.model</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All BankMaster encodings in one class - overpunch-signed amounts, packed customer numbers and dates, and the ISO/BM temporal conversions. Single place to change; covered by BmFormsTemporalTest.</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25</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EssentialDocuments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domain.model</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Three-character document code splitting, including the padding and blank-triplet rules.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26</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domain/repository (11 interfaces)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domain.repository</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application depends on these, never on a JDBC type. Dependencies point inwards; swapping a data source touches infrastructure only.</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27</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domain/auth</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domain.auth</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DirectoryAuthenticator and PasswordCipher are interfaces; the LDAP and AES implementations live in infrastructure. The domain does not know about the directory.</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28</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JdbcCustomerRepository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Customer search and profile. SQL ported from cbbranch2.c. Name search folds case on both sides; Arabic search keeps its own columns. Every column read unwraps the extract quoting.</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29</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JdbcAccountRepository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Account detail and the history screens. Blocked amount breakup degrades gracefully where bkd0data and ccarrblk are absent rather than failing the screen.</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30</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JdbcCardRepository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Reads at the separate card banking date. The shifted stcardtab.custNo is documented in the source and deliberately not patched in SQL. One residual gateway dependency is marked in the file.</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31</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JdbcTransferRepository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OFFSET / FETCH FIRST paging with an n+1 probe row. Filters stay inside the WHERE clause so the window follows the ordering. 19 test cases.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32</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JdbcOnlineEnquiryRepository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Gateway paging and the balance walk-back. Refuses before fetching when crd0data is unreadable, rather than returning a partial answer.</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33</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JdbcStatementRepository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BM and PDP header/detail pairs keyed differently. An unconfigured table names the blank property. Three of the four table names are still placeholders - see the open items.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34</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JdbcSignatoryRepository, JdbcSadadRepository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Same shape as the others: bare table names, BankingDate filter, unwrapping accessors.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35</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JdbcReferenceDataRepository, JdbcUserProfileRepository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Control tables and the user/branch rows. Loaded once per session.</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36</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SqlTablePrefixer, PrefixingDataSource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Rewrites the bare legacy table names with the environment prefix at run time. Idempotent, case-insensitive for keywords, leaves columns, literals and the window clause alone. 10 test cases.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37</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BankingDateProvider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Resolves the global and card banking dates, each standing on its own, and resolves the database fallback once. Warns when the date is left blank.</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38</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ArchivalText</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Unwraps the extract's quote-wrapped empties in one place. A structural test asserts every column read goes through it, so a new query cannot bypass it silently.</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39</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DataSourceConfig</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Both Hikari pools are read-only: true. URLs, users and passwords come from environment variables; nothing is hard-coded.</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40</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DbHealthController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infrastructure.persistence.jdbc</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GET /api/health/db proves both connections and that the configured prefix resolves. The smoke test before the UI is opened.</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41</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Mock repositories and DemoData (12 classes)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infrastructure.persistence.mock</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In-memory fixtures shaped like archival rows, for demonstration and UI work. Correctly not treated as a test of the real repositories - they match on objects, not SQL.</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42</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UnavailableMerchantRepository, UnavailableStatementRepository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infrastructure.persistence</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Explicit "not configured" implementations so an absent source is a stated 501 rather than a null or an empty list.</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43</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ActiveDirectoryAuthenticator, AesPasswordCipher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infrastructure.auth</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LDAP bind and the AES decryption of the password the SPA encrypts, so the plaintext does not cross the wire. Bind is off by default so a new environment starts without a directory.</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44</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JwtAccessTokenIssuer, TokenSlidingRefreshFilter</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infrastructure.auth</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HS256 token issue and a sliding refresh on an authenticated call. Secret is an environment variable.</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45</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RuntimeSettings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infrastructure.runtimeconfig</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Hot-reloaded allow-list and banking date from bank-runtime.properties. An unusable edit or a deleted file keeps the previously loaded values rather than failing open - the right default. 11 test cases.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46</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SqlLogFilter, SqlLogWriter, SqlLoggingDataSource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infrastructure.sqllog</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Optional audit log of every API call and the statements behind it, with bindings substituted. Off by default. Contains live bank data by design; the operational note is in the design specification.</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47</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RequestLanguage</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infrastructure.language</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Picks the Arabic or English archival name column from Accept-Language. One place, no per-repository branching.</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48</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App.tsx</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root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Routing and session handling for all 47 screens. Token held in memory with the sliding refresh.</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49</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screens/ (49 files)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screens</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One file per legacy screen, named after it. Layout is designed rather than pixel-copied, but the fields, labels and controls follow the VB6 source and the screen captures.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50</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components/legacyForm.tsx</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components</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legacy control vocabulary - Segmented, RoCombo, DateTriple - built in-house rather than borrowed, so a control behaves as the VB6 one did. Reused by every form screen.</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51</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components/ (shared)</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components</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GridScreen, DetailScreen, StatusBadge, Toast, ProcessingOverlay and the rest. Feedback is consistent: top-centre toast plus a blocking overlay; the two status banners stay persistent.</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52</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i18n/ (4 files)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i18n</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English strings are the translation keys; Arabic comes from the legacy caption tables, so a caption matches what the operator saw before.</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53</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schema/ (140 table definitions)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schema</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Column metadata for the archival views, used for labels and formatting. Data, not logic - correctly separated from the screens.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54</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api.ts, gateway.ts, pending.ts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root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Single fetch wrapper: Bearer token, error shape, in-flight tracking. No screen calls fetch directly.</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55</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pocCrypto.ts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root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Browser-side AES for the logon password, paired with AesPasswordCipher. Shared passphrase - a transport measure, not a substitute for TLS, and should be read as such.</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56</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print.ts, statementExport.ts, statementAnalysis.ts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bank-ui / components</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Statement rendering, Excel export and the analysis panel kept out of the screen components.</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57</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src/test/java (24 classes, 153 cases)</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test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Runs on every build with no database. Structural guards assert the conventions across all repositories at once. Detail is in the unit test document.</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58</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pom.xml and Maven packaging</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bank-api / build</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The UI bundle is copied into the jar by the resources plugin. npm run build must precede mvn package - verifying on the Vite dev server proves nothing about the jar.</w:t>
            </w:r>
          </w:p>
        </w:tc>
      </w:tr>
      <w:tr>
        <w:tc>
          <w:tcPr>
            <w:tcW w:w="38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59</w:t>
            </w:r>
          </w:p>
        </w:tc>
        <w:tc>
          <w:tcPr>
            <w:tcW w:w="2328"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deploy/</w:t>
            </w:r>
          </w:p>
        </w:tc>
        <w:tc>
          <w:tcPr>
            <w:tcW w:w="2134"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deployment</w:t>
            </w:r>
          </w:p>
        </w:tc>
        <w:tc>
          <w:tcPr>
            <w:tcW w:w="4850" w:type="dxa"/>
            <w:vAlign w:val="top"/>
          </w:tcPr>
          <w:p>
            <w:pPr>
              <w:spacing w:before="40" w:after="40" w:line="240" w:lineRule="auto"/>
              <w:rPr>
                <w:rFonts w:ascii="Arial" w:eastAsia="Times New Roman" w:hAnsi="Arial" w:cs="Traditional Arabic"/>
                <w:sz w:val="16"/>
                <w:szCs w:val="19"/>
              </w:rPr>
            </w:pPr>
            <w:r>
              <w:rPr>
                <w:rFonts w:ascii="Arial" w:eastAsia="Times New Roman" w:hAnsi="Arial" w:cs="Traditional Arabic"/>
                <w:sz w:val="16"/>
                <w:szCs w:val="19"/>
              </w:rPr>
              <w:t xml:space="preserve">Self-contained: jar, drivers folder, runtime properties and start scripts. Driver loaded through -Dloader.path so no driver is bundled into the jar.</w:t>
            </w:r>
          </w:p>
        </w:tc>
      </w:tr>
    </w:tbl>
    <w:p>
      <w:pPr>
        <w:spacing w:before="0" w:after="120" w:line="240" w:lineRule="auto"/>
        <w:rPr>
          <w:rFonts w:ascii="Times New Roman" w:eastAsia="Times New Roman" w:hAnsi="Times New Roman" w:cs="Traditional Arabic"/>
          <w:sz w:val="12"/>
          <w:szCs w:val="12"/>
        </w:rPr>
      </w:pPr>
    </w:p>
    <w:p>
      <w:pPr>
        <w:spacing w:before="0" w:after="0" w:line="240" w:lineRule="auto"/>
        <w:rPr>
          <w:rFonts w:ascii="Times New Roman" w:eastAsia="Times New Roman" w:hAnsi="Times New Roman" w:cs="Traditional Arabic"/>
          <w:sz w:val="22"/>
          <w:szCs w:val="22"/>
        </w:rPr>
      </w:pPr>
    </w:p>
    <w:p>
      <w:pPr>
        <w:spacing w:before="120" w:after="120" w:line="240" w:lineRule="auto"/>
        <w:rPr>
          <w:rFonts w:ascii="Times New Roman" w:eastAsia="Times New Roman" w:hAnsi="Times New Roman" w:cs="Traditional Arabic"/>
          <w:sz w:val="20"/>
          <w:szCs w:val="20"/>
        </w:rPr>
      </w:pPr>
      <w:r>
        <w:rPr>
          <w:rFonts w:ascii="Times New Roman" w:eastAsia="Times New Roman" w:hAnsi="Times New Roman" w:cs="Traditional Arabic"/>
          <w:sz w:val="20"/>
          <w:szCs w:val="20"/>
          <w:b/>
          <w:bCs/>
        </w:rPr>
        <w:t xml:space="preserve">Recommendations of the Reviewer (if any):</w:t>
      </w:r>
    </w:p>
    <w:p>
      <w:pPr>
        <w:spacing w:before="0" w:after="0" w:line="240" w:lineRule="auto"/>
        <w:rPr>
          <w:rFonts w:ascii="Times New Roman" w:eastAsia="Times New Roman" w:hAnsi="Times New Roman" w:cs="Traditional Arabic"/>
          <w:sz w:val="22"/>
          <w:szCs w:val="22"/>
        </w:rPr>
      </w:pPr>
    </w:p>
    <w:p>
      <w:pPr>
        <w:spacing w:before="0" w:after="0" w:line="240" w:lineRule="auto"/>
        <w:rPr>
          <w:rFonts w:ascii="Times New Roman" w:eastAsia="Times New Roman" w:hAnsi="Times New Roman" w:cs="Traditional Arabic"/>
          <w:sz w:val="22"/>
          <w:szCs w:val="22"/>
        </w:rPr>
      </w:pPr>
    </w:p>
    <w:p>
      <w:pPr>
        <w:spacing w:before="0" w:after="0" w:line="240" w:lineRule="auto"/>
        <w:rPr>
          <w:rFonts w:ascii="Times New Roman" w:eastAsia="Times New Roman" w:hAnsi="Times New Roman" w:cs="Traditional Arabic"/>
          <w:sz w:val="22"/>
          <w:szCs w:val="22"/>
        </w:rPr>
      </w:pPr>
    </w:p>
    <w:p>
      <w:pPr>
        <w:spacing w:before="0" w:after="0" w:line="240" w:lineRule="auto"/>
        <w:rPr>
          <w:rFonts w:ascii="Times New Roman" w:eastAsia="Times New Roman" w:hAnsi="Times New Roman" w:cs="Traditional Arabic"/>
          <w:sz w:val="22"/>
          <w:szCs w:val="22"/>
        </w:rPr>
      </w:pPr>
    </w:p>
    <w:p>
      <w:pPr>
        <w:spacing w:before="0" w:after="0" w:line="240" w:lineRule="auto"/>
        <w:rPr>
          <w:rFonts w:ascii="Times New Roman" w:eastAsia="Times New Roman" w:hAnsi="Times New Roman" w:cs="Traditional Arabic"/>
          <w:sz w:val="22"/>
          <w:szCs w:val="22"/>
        </w:rPr>
      </w:pPr>
    </w:p>
    <w:p>
      <w:pPr>
        <w:spacing w:before="0" w:after="0" w:line="240" w:lineRule="auto"/>
        <w:rPr>
          <w:rFonts w:ascii="Times New Roman" w:eastAsia="Times New Roman" w:hAnsi="Times New Roman" w:cs="Traditional Arabic"/>
          <w:sz w:val="22"/>
          <w:szCs w:val="22"/>
        </w:rPr>
      </w:pPr>
    </w:p>
    <w:p>
      <w:pPr>
        <w:spacing w:before="120" w:after="120" w:line="240" w:lineRule="auto"/>
        <w:rPr>
          <w:rFonts w:ascii="Times New Roman" w:eastAsia="Times New Roman" w:hAnsi="Times New Roman" w:cs="Traditional Arabic"/>
          <w:sz w:val="20"/>
          <w:szCs w:val="20"/>
        </w:rPr>
      </w:pPr>
      <w:r>
        <w:rPr>
          <w:rFonts w:ascii="Times New Roman" w:eastAsia="Times New Roman" w:hAnsi="Times New Roman" w:cs="Traditional Arabic"/>
          <w:sz w:val="20"/>
          <w:szCs w:val="20"/>
        </w:rPr>
        <w:t xml:space="preserve">The code can be promoted to Production / Requires rework</w:t>
      </w:r>
    </w:p>
    <w:p>
      <w:pPr>
        <w:spacing w:before="0" w:after="0" w:line="240" w:lineRule="auto"/>
        <w:rPr>
          <w:rFonts w:ascii="Times New Roman" w:eastAsia="Times New Roman" w:hAnsi="Times New Roman" w:cs="Traditional Arabic"/>
          <w:sz w:val="22"/>
          <w:szCs w:val="22"/>
        </w:rPr>
      </w:pPr>
    </w:p>
    <w:p>
      <w:pPr>
        <w:spacing w:before="0" w:after="0" w:line="240" w:lineRule="auto"/>
        <w:rPr>
          <w:rFonts w:ascii="Times New Roman" w:eastAsia="Times New Roman" w:hAnsi="Times New Roman" w:cs="Traditional Arabic"/>
          <w:sz w:val="22"/>
          <w:szCs w:val="22"/>
        </w:rPr>
      </w:pPr>
    </w:p>
    <w:p>
      <w:pPr>
        <w:spacing w:before="0" w:after="0" w:line="240" w:lineRule="auto"/>
        <w:rPr>
          <w:rFonts w:ascii="Times New Roman" w:eastAsia="Times New Roman" w:hAnsi="Times New Roman" w:cs="Traditional Arabic"/>
          <w:sz w:val="22"/>
          <w:szCs w:val="22"/>
        </w:rPr>
      </w:pPr>
    </w:p>
    <w:p>
      <w:pPr>
        <w:spacing w:before="120" w:after="120" w:line="240" w:lineRule="auto"/>
        <w:rPr>
          <w:rFonts w:ascii="Times New Roman" w:eastAsia="Times New Roman" w:hAnsi="Times New Roman" w:cs="Traditional Arabic"/>
          <w:sz w:val="20"/>
          <w:szCs w:val="20"/>
        </w:rPr>
      </w:pPr>
      <w:r>
        <w:rPr>
          <w:rFonts w:ascii="Times New Roman" w:eastAsia="Times New Roman" w:hAnsi="Times New Roman" w:cs="Traditional Arabic"/>
          <w:sz w:val="20"/>
          <w:szCs w:val="20"/>
        </w:rPr>
        <w:t xml:space="preserve">Signature of the Reviewer</w:t>
      </w:r>
    </w:p>
    <w:sectPr w:rsidR="00E12D85" w:rsidRPr="00D20125" w:rsidSect="001C7A0D">
      <w:headerReference w:type="default" r:id="rId13"/>
      <w:pgSz w:w="11909" w:h="16834" w:code="9"/>
      <w:pgMar w:top="1440" w:right="852" w:bottom="1440" w:left="988" w:header="720" w:footer="720" w:gutter="28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EC7D9" w14:textId="77777777" w:rsidR="00D20125" w:rsidRDefault="00D20125" w:rsidP="00D20125">
      <w:pPr>
        <w:spacing w:after="0" w:line="240" w:lineRule="auto"/>
      </w:pPr>
      <w:r>
        <w:separator/>
      </w:r>
    </w:p>
  </w:endnote>
  <w:endnote w:type="continuationSeparator" w:id="0">
    <w:p w14:paraId="79FA649A" w14:textId="77777777" w:rsidR="00D20125" w:rsidRDefault="00D20125" w:rsidP="00D20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C13F0" w14:textId="77777777" w:rsidR="00D20125" w:rsidRDefault="00D20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085FF" w14:textId="74757BDC" w:rsidR="004F531F" w:rsidRDefault="00D20125" w:rsidP="00A64D77">
    <w:pPr>
      <w:pStyle w:val="Footer"/>
    </w:pPr>
    <w:r>
      <w:rPr>
        <w:noProof/>
      </w:rPr>
      <mc:AlternateContent>
        <mc:Choice Requires="wps">
          <w:drawing>
            <wp:anchor distT="0" distB="0" distL="114300" distR="114300" simplePos="0" relativeHeight="251661312" behindDoc="0" locked="0" layoutInCell="1" allowOverlap="1" wp14:anchorId="20880458" wp14:editId="6FA3A81E">
              <wp:simplePos x="0" y="0"/>
              <wp:positionH relativeFrom="column">
                <wp:posOffset>-810260</wp:posOffset>
              </wp:positionH>
              <wp:positionV relativeFrom="paragraph">
                <wp:posOffset>367030</wp:posOffset>
              </wp:positionV>
              <wp:extent cx="7562215" cy="444500"/>
              <wp:effectExtent l="0" t="0" r="0" b="0"/>
              <wp:wrapNone/>
              <wp:docPr id="2" name="Text Box 2" title="TrellixVisuallabelFooter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215" cy="444500"/>
                      </a:xfrm>
                      <a:prstGeom prst="rect">
                        <a:avLst/>
                      </a:prstGeom>
                      <a:noFill/>
                      <a:ln w="6350">
                        <a:noFill/>
                      </a:ln>
                    </wps:spPr>
                    <wps:txbx>
                      <w:txbxContent>
                        <w:p w14:paraId="0CD7E780" w14:textId="5936D90B" w:rsidR="004F531F" w:rsidRPr="00B76A74" w:rsidRDefault="00D20125" w:rsidP="00D20125">
                          <w:pPr>
                            <w:spacing w:after="0"/>
                            <w:jc w:val="center"/>
                            <w:rPr>
                              <w:rFonts w:ascii="Calibri" w:hAnsi="Calibri" w:cs="Calibri"/>
                            </w:rPr>
                          </w:pPr>
                          <w:r>
                            <w:rPr>
                              <w:rFonts w:ascii="Calibri" w:hAnsi="Calibri" w:cs="Calibri"/>
                              <w:szCs w:val="28"/>
                            </w:rPr>
                            <w:t>This document is classified as Confidential. by ANB-PDC-CENTRAL\881149 on Thursday, September 10, 2026 4:59:51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0880458" id="_x0000_t202" coordsize="21600,21600" o:spt="202" path="m,l,21600r21600,l21600,xe">
              <v:stroke joinstyle="miter"/>
              <v:path gradientshapeok="t" o:connecttype="rect"/>
            </v:shapetype>
            <v:shape id="Text Box 2" o:spid="_x0000_s1028" type="#_x0000_t202" alt="Title: TrellixVisuallabelFooter1" style="position:absolute;margin-left:-63.8pt;margin-top:28.9pt;width:595.45pt;height: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" filled="f" stroked="f" strokeweight=".5pt">
              <v:textbox>
                <w:txbxContent>
                  <w:p w14:paraId="0CD7E780" w14:textId="5936D90B" w:rsidR="004F531F" w:rsidRPr="00B76A74" w:rsidRDefault="00D20125" w:rsidP="00D20125">
                    <w:pPr>
                      <w:spacing w:after="0"/>
                      <w:jc w:val="center"/>
                      <w:rPr>
                        <w:rFonts w:ascii="Calibri" w:hAnsi="Calibri" w:cs="Calibri"/>
                      </w:rPr>
                    </w:pPr>
                    <w:r>
                      <w:rPr>
                        <w:rFonts w:ascii="Calibri" w:hAnsi="Calibri" w:cs="Calibri"/>
                        <w:szCs w:val="28"/>
                      </w:rPr>
                      <w:t>This document is classified as Confidential. by ANB-PDC-CENTRAL\881149 on Thursday, September 10, 2026 4:59:51 PM</w:t>
                    </w:r>
                  </w:p>
                </w:txbxContent>
              </v:textbox>
            </v:shape>
          </w:pict>
        </mc:Fallback>
      </mc:AlternateContent>
    </w:r>
    <w:r>
      <w:t>Published on: 09 September 2026</w:t>
    </w:r>
    <w:r>
      <w:tab/>
    </w:r>
    <w:r>
      <w:tab/>
      <w:t xml:space="preserve">Page </w:t>
    </w:r>
    <w:r>
      <w:rPr>
        <w:rStyle w:val="PageNumber"/>
        <w:szCs w:val="20"/>
      </w:rPr>
      <w:fldChar w:fldCharType="begin"/>
    </w:r>
    <w:r>
      <w:rPr>
        <w:rStyle w:val="PageNumber"/>
        <w:szCs w:val="20"/>
      </w:rPr>
      <w:instrText xml:space="preserve"> PAGE </w:instrText>
    </w:r>
    <w:r>
      <w:rPr>
        <w:rStyle w:val="PageNumber"/>
        <w:szCs w:val="20"/>
      </w:rPr>
      <w:fldChar w:fldCharType="separate"/>
    </w:r>
    <w:r>
      <w:rPr>
        <w:rStyle w:val="PageNumber"/>
        <w:noProof/>
        <w:szCs w:val="20"/>
      </w:rPr>
      <w:t>2</w:t>
    </w:r>
    <w:r>
      <w:rPr>
        <w:rStyle w:val="PageNumber"/>
        <w:szCs w:val="20"/>
      </w:rPr>
      <w:fldChar w:fldCharType="end"/>
    </w:r>
    <w:r>
      <w:rPr>
        <w:rStyle w:val="PageNumber"/>
        <w:szCs w:val="20"/>
      </w:rPr>
      <w:t xml:space="preserve"> of </w:t>
    </w:r>
    <w:r>
      <w:rPr>
        <w:rStyle w:val="PageNumber"/>
        <w:szCs w:val="20"/>
      </w:rPr>
      <w:fldChar w:fldCharType="begin"/>
    </w:r>
    <w:r>
      <w:rPr>
        <w:rStyle w:val="PageNumber"/>
        <w:szCs w:val="20"/>
      </w:rPr>
      <w:instrText xml:space="preserve"> NUMPAGES \* ARABIC </w:instrText>
    </w:r>
    <w:r>
      <w:rPr>
        <w:rStyle w:val="PageNumber"/>
        <w:szCs w:val="20"/>
      </w:rPr>
      <w:fldChar w:fldCharType="separate"/>
    </w:r>
    <w:r>
      <w:rPr>
        <w:rStyle w:val="PageNumber"/>
        <w:noProof/>
        <w:szCs w:val="20"/>
      </w:rPr>
      <w:t>10</w:t>
    </w:r>
    <w:r>
      <w:rPr>
        <w:rStyle w:val="PageNumber"/>
        <w:szCs w:val="20"/>
      </w:rPr>
      <w:fldChar w:fldCharType="end"/>
    </w:r>
    <w:r>
      <w:rPr>
        <w:rStyle w:val="PageNumber"/>
        <w:szCs w:val="20"/>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7FF9B" w14:textId="77777777" w:rsidR="00D20125" w:rsidRDefault="00D20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AD94C" w14:textId="77777777" w:rsidR="00D20125" w:rsidRDefault="00D20125" w:rsidP="00D20125">
      <w:pPr>
        <w:spacing w:after="0" w:line="240" w:lineRule="auto"/>
      </w:pPr>
      <w:r>
        <w:separator/>
      </w:r>
    </w:p>
  </w:footnote>
  <w:footnote w:type="continuationSeparator" w:id="0">
    <w:p w14:paraId="4ABBA451" w14:textId="77777777" w:rsidR="00D20125" w:rsidRDefault="00D20125" w:rsidP="00D20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1C678" w14:textId="77777777" w:rsidR="00D20125" w:rsidRDefault="00D20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068A2" w14:textId="6665D6D7" w:rsidR="004F531F" w:rsidRDefault="00D20125" w:rsidP="00B76A74">
    <w:pPr>
      <w:pStyle w:val="Header"/>
      <w:jc w:val="right"/>
    </w:pPr>
    <w:r>
      <w:rPr>
        <w:noProof/>
      </w:rPr>
      <w:pict w14:anchorId="6BEFE7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TrellixVisuallabelWatermark1" o:spid="_x0000_s1028" type="#_x0000_t136" style="position:absolute;left:0;text-align:left;margin-left:0;margin-top:0;width:595.45pt;height:24.75pt;rotation:310;z-index:251662336;visibility:visible;mso-position-horizontal:center;mso-position-horizontal-relative:margin;mso-position-vertical:center;mso-position-vertical-relative:margin" fillcolor="#a6a6a6" stroked="f">
          <v:fill opacity=".5"/>
          <v:stroke r:id="rId1" o:title=""/>
          <v:shadow color="#868686"/>
          <v:textpath style="font-family:&quot;Calibri&quot;;font-size:20pt;v-text-kern:t" trim="t" fitpath="t" string="This document is classified as Confidential. by ANB-PDC-CENTRAL\881149 on Thursday, September 10, 2026 4:59:51 PM"/>
          <w10:wrap anchorx="margin" anchory="margin"/>
        </v:shape>
      </w:pict>
    </w:r>
    <w:r>
      <w:rPr>
        <w:noProof/>
      </w:rPr>
      <mc:AlternateContent>
        <mc:Choice Requires="wps">
          <w:drawing>
            <wp:anchor distT="0" distB="0" distL="114300" distR="114300" simplePos="0" relativeHeight="251659264" behindDoc="0" locked="0" layoutInCell="1" allowOverlap="1" wp14:anchorId="41B4FF7D" wp14:editId="5AE8EE2B">
              <wp:simplePos x="0" y="0"/>
              <wp:positionH relativeFrom="margin">
                <wp:align>center</wp:align>
              </wp:positionH>
              <wp:positionV relativeFrom="margin">
                <wp:align>center</wp:align>
              </wp:positionV>
              <wp:extent cx="7562215" cy="314325"/>
              <wp:effectExtent l="2376170" t="0" r="2348230" b="0"/>
              <wp:wrapNone/>
              <wp:docPr id="3" name="Text Box 3" descr="This document is classified as Confidential. by ANB-PDC-CENTRAL\881149 on Thursday, September 10, 2026 1:09:09 PM"/>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600000">
                        <a:off x="0" y="0"/>
                        <a:ext cx="7562215" cy="314325"/>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56BC580" w14:textId="77777777" w:rsidR="00D20125" w:rsidRDefault="00D20125" w:rsidP="00D20125">
                          <w:pPr>
                            <w:jc w:val="center"/>
                            <w:rPr>
                              <w:rFonts w:ascii="Calibri" w:eastAsia="Calibri" w:hAnsi="Calibri" w:cs="Calibri"/>
                              <w:color w:val="A6A6A6"/>
                              <w:sz w:val="40"/>
                              <w:szCs w:val="40"/>
                              <w14:textFill>
                                <w14:solidFill>
                                  <w14:srgbClr w14:val="A6A6A6">
                                    <w14:alpha w14:val="50000"/>
                                  </w14:srgbClr>
                                </w14:solidFill>
                              </w14:textFill>
                            </w:rPr>
                          </w:pPr>
                          <w:r>
                            <w:rPr>
                              <w:rFonts w:ascii="Calibri" w:eastAsia="Calibri" w:hAnsi="Calibri" w:cs="Calibri"/>
                              <w:color w:val="A6A6A6"/>
                              <w:sz w:val="40"/>
                              <w:szCs w:val="40"/>
                              <w14:textFill>
                                <w14:solidFill>
                                  <w14:srgbClr w14:val="A6A6A6">
                                    <w14:alpha w14:val="50000"/>
                                  </w14:srgbClr>
                                </w14:solidFill>
                              </w14:textFill>
                            </w:rPr>
                            <w:t>This document is classified as Confidential. by ANB-PDC-CENTRAL\881149 on Thursday, September 10, 2026 1:09:09 PM</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1B4FF7D" id="_x0000_t202" coordsize="21600,21600" o:spt="202" path="m,l,21600r21600,l21600,xe">
              <v:stroke joinstyle="miter"/>
              <v:path gradientshapeok="t" o:connecttype="rect"/>
            </v:shapetype>
            <v:shape id="Text Box 3" o:spid="_x0000_s1026" type="#_x0000_t202" alt="This document is classified as Confidential. by ANB-PDC-CENTRAL\881149 on Thursday, September 10, 2026 1:09:09 PM" style="position:absolute;left:0;text-align:left;margin-left:0;margin-top:0;width:595.45pt;height:24.75pt;rotation:-5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" filled="f" stroked="f">
              <v:stroke joinstyle="round"/>
              <o:lock v:ext="edit" shapetype="t"/>
              <v:textbox style="mso-fit-shape-to-text:t">
                <w:txbxContent>
                  <w:p w14:paraId="056BC580" w14:textId="77777777" w:rsidR="00D20125" w:rsidRDefault="00D20125" w:rsidP="00D20125">
                    <w:pPr>
                      <w:jc w:val="center"/>
                      <w:rPr>
                        <w:rFonts w:ascii="Calibri" w:eastAsia="Calibri" w:hAnsi="Calibri" w:cs="Calibri"/>
                        <w:color w:val="A6A6A6"/>
                        <w:sz w:val="40"/>
                        <w:szCs w:val="40"/>
                        <w14:textFill>
                          <w14:solidFill>
                            <w14:srgbClr w14:val="A6A6A6">
                              <w14:alpha w14:val="50000"/>
                            </w14:srgbClr>
                          </w14:solidFill>
                        </w14:textFill>
                      </w:rPr>
                    </w:pPr>
                    <w:r>
                      <w:rPr>
                        <w:rFonts w:ascii="Calibri" w:eastAsia="Calibri" w:hAnsi="Calibri" w:cs="Calibri"/>
                        <w:color w:val="A6A6A6"/>
                        <w:sz w:val="40"/>
                        <w:szCs w:val="40"/>
                        <w14:textFill>
                          <w14:solidFill>
                            <w14:srgbClr w14:val="A6A6A6">
                              <w14:alpha w14:val="50000"/>
                            </w14:srgbClr>
                          </w14:solidFill>
                        </w14:textFill>
                      </w:rPr>
                      <w:t>This document is classified as Confidential. by ANB-PDC-CENTRAL\881149 on Thursday, September 10, 2026 1:09:09 PM</w:t>
                    </w:r>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57BA48CF" wp14:editId="6D3799AB">
              <wp:simplePos x="0" y="0"/>
              <wp:positionH relativeFrom="column">
                <wp:posOffset>-810260</wp:posOffset>
              </wp:positionH>
              <wp:positionV relativeFrom="paragraph">
                <wp:posOffset>-457200</wp:posOffset>
              </wp:positionV>
              <wp:extent cx="7562215" cy="444500"/>
              <wp:effectExtent l="0" t="0" r="0" b="0"/>
              <wp:wrapNone/>
              <wp:docPr id="1" name="Text Box 1" title="TrellixVisuallabelHeader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215" cy="444500"/>
                      </a:xfrm>
                      <a:prstGeom prst="rect">
                        <a:avLst/>
                      </a:prstGeom>
                      <a:noFill/>
                      <a:ln w="6350">
                        <a:noFill/>
                      </a:ln>
                    </wps:spPr>
                    <wps:txbx>
                      <w:txbxContent>
                        <w:p w14:paraId="1D1B60F6" w14:textId="038B56F2" w:rsidR="004F531F" w:rsidRPr="00B76A74" w:rsidRDefault="00D20125" w:rsidP="00D20125">
                          <w:pPr>
                            <w:spacing w:after="0"/>
                            <w:jc w:val="center"/>
                            <w:rPr>
                              <w:rFonts w:ascii="Calibri" w:hAnsi="Calibri" w:cs="Calibri"/>
                            </w:rPr>
                          </w:pPr>
                          <w:r>
                            <w:rPr>
                              <w:rFonts w:ascii="Calibri" w:hAnsi="Calibri" w:cs="Calibri"/>
                              <w:szCs w:val="28"/>
                            </w:rPr>
                            <w:t>This document is classified as Confidential. by ANB-PDC-CENTRAL\881149 on Thursday, September 10, 2026 4:59:51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BA48CF" id="Text Box 1" o:spid="_x0000_s1027" type="#_x0000_t202" alt="Title: TrellixVisuallabelHeader1" style="position:absolute;left:0;text-align:left;margin-left:-63.8pt;margin-top:-36pt;width:595.45pt;height: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" filled="f" stroked="f" strokeweight=".5pt">
              <v:textbox>
                <w:txbxContent>
                  <w:p w14:paraId="1D1B60F6" w14:textId="038B56F2" w:rsidR="004F531F" w:rsidRPr="00B76A74" w:rsidRDefault="00D20125" w:rsidP="00D20125">
                    <w:pPr>
                      <w:spacing w:after="0"/>
                      <w:jc w:val="center"/>
                      <w:rPr>
                        <w:rFonts w:ascii="Calibri" w:hAnsi="Calibri" w:cs="Calibri"/>
                      </w:rPr>
                    </w:pPr>
                    <w:r>
                      <w:rPr>
                        <w:rFonts w:ascii="Calibri" w:hAnsi="Calibri" w:cs="Calibri"/>
                        <w:szCs w:val="28"/>
                      </w:rPr>
                      <w:t>This document is classified as Confidential. by ANB-PDC-CENTRAL\881149 on Thursday, September 10, 2026 4:59:51 PM</w:t>
                    </w:r>
                  </w:p>
                </w:txbxContent>
              </v:textbox>
            </v:shape>
          </w:pict>
        </mc:Fallback>
      </mc:AlternateContent>
    </w:r>
    <w:r>
      <w:t xml:space="preserve"> </w:t>
    </w:r>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F1268" w14:textId="77777777" w:rsidR="00D20125" w:rsidRDefault="00D201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F372" w14:textId="5821784A" w:rsidR="004F531F" w:rsidRDefault="00D20125" w:rsidP="00C34695">
    <w:pPr>
      <w:pStyle w:val="Header"/>
      <w:jc w:val="right"/>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38AE2C"/>
    <w:lvl w:ilvl="0">
      <w:start w:val="1"/>
      <w:numFmt w:val="decimal"/>
      <w:pStyle w:val="Heading1"/>
      <w:lvlText w:val="%1"/>
      <w:lvlJc w:val="left"/>
      <w:pPr>
        <w:tabs>
          <w:tab w:val="num" w:pos="994"/>
        </w:tabs>
        <w:ind w:left="994" w:hanging="994"/>
      </w:pPr>
      <w:rPr>
        <w:rFonts w:cs="Times New Roman" w:hint="default"/>
      </w:rPr>
    </w:lvl>
    <w:lvl w:ilvl="1">
      <w:start w:val="1"/>
      <w:numFmt w:val="decimal"/>
      <w:pStyle w:val="Heading2"/>
      <w:lvlText w:val="%1.%2"/>
      <w:lvlJc w:val="left"/>
      <w:pPr>
        <w:tabs>
          <w:tab w:val="num" w:pos="992"/>
        </w:tabs>
        <w:ind w:left="992" w:hanging="992"/>
      </w:pPr>
      <w:rPr>
        <w:rFonts w:cs="Times New Roman" w:hint="default"/>
      </w:rPr>
    </w:lvl>
    <w:lvl w:ilvl="2">
      <w:start w:val="1"/>
      <w:numFmt w:val="decimal"/>
      <w:pStyle w:val="Heading3"/>
      <w:lvlText w:val="%1.%2.%3"/>
      <w:lvlJc w:val="left"/>
      <w:pPr>
        <w:tabs>
          <w:tab w:val="num" w:pos="994"/>
        </w:tabs>
        <w:ind w:left="994" w:hanging="994"/>
      </w:pPr>
      <w:rPr>
        <w:rFonts w:cs="Times New Roman" w:hint="default"/>
      </w:rPr>
    </w:lvl>
    <w:lvl w:ilvl="3">
      <w:start w:val="1"/>
      <w:numFmt w:val="decimal"/>
      <w:pStyle w:val="Heading4"/>
      <w:lvlText w:val="%1.%2.%3.%4"/>
      <w:lvlJc w:val="left"/>
      <w:pPr>
        <w:tabs>
          <w:tab w:val="num" w:pos="994"/>
        </w:tabs>
        <w:ind w:left="994" w:hanging="994"/>
      </w:pPr>
      <w:rPr>
        <w:rFonts w:cs="Times New Roman" w:hint="default"/>
      </w:rPr>
    </w:lvl>
    <w:lvl w:ilvl="4">
      <w:start w:val="1"/>
      <w:numFmt w:val="decimal"/>
      <w:pStyle w:val="Heading5"/>
      <w:lvlText w:val="%1.%2.%3.%4.%5"/>
      <w:lvlJc w:val="left"/>
      <w:pPr>
        <w:tabs>
          <w:tab w:val="num" w:pos="1440"/>
        </w:tabs>
        <w:ind w:left="994" w:hanging="994"/>
      </w:pPr>
      <w:rPr>
        <w:rFonts w:cs="Times New Roman" w:hint="default"/>
      </w:rPr>
    </w:lvl>
    <w:lvl w:ilvl="5">
      <w:start w:val="1"/>
      <w:numFmt w:val="decimal"/>
      <w:pStyle w:val="Heading6"/>
      <w:lvlText w:val="%1.%2.%3.%4.%5.%6."/>
      <w:lvlJc w:val="left"/>
      <w:pPr>
        <w:tabs>
          <w:tab w:val="num" w:pos="0"/>
        </w:tabs>
        <w:ind w:left="4320" w:hanging="720"/>
      </w:pPr>
      <w:rPr>
        <w:rFonts w:cs="Times New Roman" w:hint="default"/>
      </w:rPr>
    </w:lvl>
    <w:lvl w:ilvl="6">
      <w:start w:val="1"/>
      <w:numFmt w:val="decimal"/>
      <w:pStyle w:val="Heading7"/>
      <w:lvlText w:val="%1.%2.%3.%4.%5.%6.%7."/>
      <w:lvlJc w:val="left"/>
      <w:pPr>
        <w:tabs>
          <w:tab w:val="num" w:pos="0"/>
        </w:tabs>
        <w:ind w:left="5040" w:hanging="720"/>
      </w:pPr>
      <w:rPr>
        <w:rFonts w:cs="Times New Roman" w:hint="default"/>
      </w:rPr>
    </w:lvl>
    <w:lvl w:ilvl="7">
      <w:start w:val="1"/>
      <w:numFmt w:val="decimal"/>
      <w:pStyle w:val="Heading8"/>
      <w:lvlText w:val="%1.%2.%3.%4.%5.%6.%7.%8."/>
      <w:lvlJc w:val="left"/>
      <w:pPr>
        <w:tabs>
          <w:tab w:val="num" w:pos="0"/>
        </w:tabs>
        <w:ind w:left="5760" w:hanging="720"/>
      </w:pPr>
      <w:rPr>
        <w:rFonts w:cs="Times New Roman" w:hint="default"/>
      </w:rPr>
    </w:lvl>
    <w:lvl w:ilvl="8">
      <w:start w:val="1"/>
      <w:numFmt w:val="decimal"/>
      <w:pStyle w:val="Heading9"/>
      <w:lvlText w:val="%1.%2.%3.%4.%5.%6.%7.%8.%9."/>
      <w:lvlJc w:val="left"/>
      <w:pPr>
        <w:tabs>
          <w:tab w:val="num" w:pos="0"/>
        </w:tabs>
        <w:ind w:left="6480" w:hanging="720"/>
      </w:pPr>
      <w:rPr>
        <w:rFonts w:cs="Times New Roman" w:hint="default"/>
      </w:rPr>
    </w:lvl>
  </w:abstractNum>
  <w:abstractNum w:abstractNumId="1" w15:restartNumberingAfterBreak="0">
    <w:nsid w:val="57D97165"/>
    <w:multiLevelType w:val="hybridMultilevel"/>
    <w:tmpl w:val="F0E2A6BE"/>
    <w:lvl w:ilvl="0" w:tplc="AE92AA8A">
      <w:numFmt w:val="bullet"/>
      <w:lvlText w:val="-"/>
      <w:lvlJc w:val="left"/>
      <w:pPr>
        <w:ind w:left="1352" w:hanging="360"/>
      </w:pPr>
      <w:rPr>
        <w:rFonts w:ascii="Times New Roman" w:eastAsia="Times New Roman" w:hAnsi="Times New Roman" w:hint="default"/>
      </w:rPr>
    </w:lvl>
    <w:lvl w:ilvl="1" w:tplc="04090003">
      <w:start w:val="1"/>
      <w:numFmt w:val="bullet"/>
      <w:lvlText w:val="o"/>
      <w:lvlJc w:val="left"/>
      <w:pPr>
        <w:ind w:left="2072" w:hanging="360"/>
      </w:pPr>
      <w:rPr>
        <w:rFonts w:ascii="Courier New" w:hAnsi="Courier New" w:hint="default"/>
      </w:rPr>
    </w:lvl>
    <w:lvl w:ilvl="2" w:tplc="04090005">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hint="default"/>
      </w:rPr>
    </w:lvl>
    <w:lvl w:ilvl="8" w:tplc="04090005" w:tentative="1">
      <w:start w:val="1"/>
      <w:numFmt w:val="bullet"/>
      <w:lvlText w:val=""/>
      <w:lvlJc w:val="left"/>
      <w:pPr>
        <w:ind w:left="7112"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updateFields w:val="tru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125"/>
    <w:rsid w:val="00D20125"/>
    <w:rsid w:val="00E12D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249BD"/>
  <w15:chartTrackingRefBased/>
  <w15:docId w15:val="{50177D29-3CEF-42B9-B3F2-0ED1AC58C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25"/>
    <w:pPr>
      <w:keepNext/>
      <w:pageBreakBefore/>
      <w:numPr>
        <w:numId w:val="1"/>
      </w:numPr>
      <w:spacing w:before="120" w:after="120" w:line="240" w:lineRule="auto"/>
      <w:jc w:val="lowKashida"/>
      <w:outlineLvl w:val="0"/>
    </w:pPr>
    <w:rPr>
      <w:rFonts w:ascii="Arial" w:eastAsia="Times New Roman" w:hAnsi="Arial" w:cs="Traditional Arabic"/>
      <w:spacing w:val="-10"/>
      <w:kern w:val="28"/>
      <w:sz w:val="32"/>
      <w:szCs w:val="38"/>
    </w:rPr>
  </w:style>
  <w:style w:type="paragraph" w:styleId="Heading2">
    <w:name w:val="heading 2"/>
    <w:aliases w:val="h2,2"/>
    <w:basedOn w:val="Heading1"/>
    <w:next w:val="NormalIndent"/>
    <w:link w:val="Heading2Char"/>
    <w:uiPriority w:val="9"/>
    <w:qFormat/>
    <w:rsid w:val="00D20125"/>
    <w:pPr>
      <w:pageBreakBefore w:val="0"/>
      <w:numPr>
        <w:ilvl w:val="1"/>
      </w:numPr>
      <w:tabs>
        <w:tab w:val="left" w:pos="992"/>
      </w:tabs>
      <w:ind w:left="993" w:hanging="993"/>
      <w:outlineLvl w:val="1"/>
    </w:pPr>
    <w:rPr>
      <w:sz w:val="28"/>
      <w:szCs w:val="33"/>
    </w:rPr>
  </w:style>
  <w:style w:type="paragraph" w:styleId="Heading3">
    <w:name w:val="heading 3"/>
    <w:basedOn w:val="Heading2"/>
    <w:next w:val="Normal"/>
    <w:link w:val="Heading3Char"/>
    <w:uiPriority w:val="9"/>
    <w:qFormat/>
    <w:rsid w:val="00D20125"/>
    <w:pPr>
      <w:numPr>
        <w:ilvl w:val="2"/>
      </w:numPr>
      <w:outlineLvl w:val="2"/>
    </w:pPr>
    <w:rPr>
      <w:sz w:val="26"/>
      <w:szCs w:val="31"/>
    </w:rPr>
  </w:style>
  <w:style w:type="paragraph" w:styleId="Heading4">
    <w:name w:val="heading 4"/>
    <w:basedOn w:val="Heading3"/>
    <w:next w:val="Normal"/>
    <w:link w:val="Heading4Char"/>
    <w:uiPriority w:val="9"/>
    <w:qFormat/>
    <w:rsid w:val="00D20125"/>
    <w:pPr>
      <w:numPr>
        <w:ilvl w:val="3"/>
      </w:numPr>
      <w:tabs>
        <w:tab w:val="clear" w:pos="994"/>
        <w:tab w:val="num" w:pos="993"/>
      </w:tabs>
      <w:outlineLvl w:val="3"/>
    </w:pPr>
    <w:rPr>
      <w:sz w:val="24"/>
      <w:szCs w:val="28"/>
    </w:rPr>
  </w:style>
  <w:style w:type="paragraph" w:styleId="Heading5">
    <w:name w:val="heading 5"/>
    <w:basedOn w:val="Normal"/>
    <w:next w:val="Normal"/>
    <w:link w:val="Heading5Char"/>
    <w:uiPriority w:val="9"/>
    <w:qFormat/>
    <w:rsid w:val="00D20125"/>
    <w:pPr>
      <w:keepNext/>
      <w:numPr>
        <w:ilvl w:val="4"/>
        <w:numId w:val="1"/>
      </w:numPr>
      <w:spacing w:before="120" w:after="120" w:line="240" w:lineRule="auto"/>
      <w:outlineLvl w:val="4"/>
    </w:pPr>
    <w:rPr>
      <w:rFonts w:ascii="Arial" w:eastAsia="Times New Roman" w:hAnsi="Arial" w:cs="Traditional Arabic"/>
      <w:spacing w:val="-20"/>
      <w:szCs w:val="26"/>
    </w:rPr>
  </w:style>
  <w:style w:type="paragraph" w:styleId="Heading6">
    <w:name w:val="heading 6"/>
    <w:basedOn w:val="Normal"/>
    <w:next w:val="Normal"/>
    <w:link w:val="Heading6Char"/>
    <w:uiPriority w:val="9"/>
    <w:qFormat/>
    <w:rsid w:val="00D20125"/>
    <w:pPr>
      <w:keepNext/>
      <w:numPr>
        <w:ilvl w:val="5"/>
        <w:numId w:val="1"/>
      </w:numPr>
      <w:spacing w:before="240" w:after="60" w:line="240" w:lineRule="auto"/>
      <w:jc w:val="lowKashida"/>
      <w:outlineLvl w:val="5"/>
    </w:pPr>
    <w:rPr>
      <w:rFonts w:ascii="Arial" w:eastAsia="Times New Roman" w:hAnsi="Arial" w:cs="Traditional Arabic"/>
      <w:i/>
      <w:iCs/>
      <w:szCs w:val="26"/>
    </w:rPr>
  </w:style>
  <w:style w:type="paragraph" w:styleId="Heading7">
    <w:name w:val="heading 7"/>
    <w:basedOn w:val="Normal"/>
    <w:next w:val="Normal"/>
    <w:link w:val="Heading7Char"/>
    <w:uiPriority w:val="9"/>
    <w:qFormat/>
    <w:rsid w:val="00D20125"/>
    <w:pPr>
      <w:keepNext/>
      <w:numPr>
        <w:ilvl w:val="6"/>
        <w:numId w:val="1"/>
      </w:numPr>
      <w:spacing w:before="240" w:after="60" w:line="240" w:lineRule="auto"/>
      <w:jc w:val="lowKashida"/>
      <w:outlineLvl w:val="6"/>
    </w:pPr>
    <w:rPr>
      <w:rFonts w:ascii="Arial" w:eastAsia="Times New Roman" w:hAnsi="Arial" w:cs="Traditional Arabic"/>
      <w:sz w:val="24"/>
      <w:szCs w:val="28"/>
    </w:rPr>
  </w:style>
  <w:style w:type="paragraph" w:styleId="Heading8">
    <w:name w:val="heading 8"/>
    <w:basedOn w:val="Normal"/>
    <w:next w:val="Normal"/>
    <w:link w:val="Heading8Char"/>
    <w:uiPriority w:val="9"/>
    <w:qFormat/>
    <w:rsid w:val="00D20125"/>
    <w:pPr>
      <w:keepNext/>
      <w:numPr>
        <w:ilvl w:val="7"/>
        <w:numId w:val="1"/>
      </w:numPr>
      <w:spacing w:before="240" w:after="60" w:line="240" w:lineRule="auto"/>
      <w:jc w:val="lowKashida"/>
      <w:outlineLvl w:val="7"/>
    </w:pPr>
    <w:rPr>
      <w:rFonts w:ascii="Arial" w:eastAsia="Times New Roman" w:hAnsi="Arial" w:cs="Traditional Arabic"/>
      <w:i/>
      <w:iCs/>
      <w:sz w:val="24"/>
      <w:szCs w:val="28"/>
    </w:rPr>
  </w:style>
  <w:style w:type="paragraph" w:styleId="Heading9">
    <w:name w:val="heading 9"/>
    <w:basedOn w:val="Normal"/>
    <w:next w:val="Normal"/>
    <w:link w:val="Heading9Char"/>
    <w:uiPriority w:val="9"/>
    <w:qFormat/>
    <w:rsid w:val="00D20125"/>
    <w:pPr>
      <w:keepNext/>
      <w:numPr>
        <w:ilvl w:val="8"/>
        <w:numId w:val="1"/>
      </w:numPr>
      <w:spacing w:before="240" w:after="60" w:line="240" w:lineRule="auto"/>
      <w:jc w:val="lowKashida"/>
      <w:outlineLvl w:val="8"/>
    </w:pPr>
    <w:rPr>
      <w:rFonts w:ascii="Arial" w:eastAsia="Times New Roman" w:hAnsi="Arial" w:cs="Traditional Arabic"/>
      <w:i/>
      <w:iCs/>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25"/>
    <w:rPr>
      <w:rFonts w:ascii="Arial" w:eastAsia="Times New Roman" w:hAnsi="Arial" w:cs="Traditional Arabic"/>
      <w:spacing w:val="-10"/>
      <w:kern w:val="28"/>
      <w:sz w:val="32"/>
      <w:szCs w:val="38"/>
    </w:rPr>
  </w:style>
  <w:style w:type="character" w:customStyle="1" w:styleId="Heading2Char">
    <w:name w:val="Heading 2 Char"/>
    <w:aliases w:val="h2 Char,2 Char"/>
    <w:basedOn w:val="DefaultParagraphFont"/>
    <w:link w:val="Heading2"/>
    <w:uiPriority w:val="9"/>
    <w:rsid w:val="00D20125"/>
    <w:rPr>
      <w:rFonts w:ascii="Arial" w:eastAsia="Times New Roman" w:hAnsi="Arial" w:cs="Traditional Arabic"/>
      <w:spacing w:val="-10"/>
      <w:kern w:val="28"/>
      <w:sz w:val="28"/>
      <w:szCs w:val="33"/>
    </w:rPr>
  </w:style>
  <w:style w:type="character" w:customStyle="1" w:styleId="Heading3Char">
    <w:name w:val="Heading 3 Char"/>
    <w:basedOn w:val="DefaultParagraphFont"/>
    <w:link w:val="Heading3"/>
    <w:uiPriority w:val="9"/>
    <w:rsid w:val="00D20125"/>
    <w:rPr>
      <w:rFonts w:ascii="Arial" w:eastAsia="Times New Roman" w:hAnsi="Arial" w:cs="Traditional Arabic"/>
      <w:spacing w:val="-10"/>
      <w:kern w:val="28"/>
      <w:sz w:val="26"/>
      <w:szCs w:val="31"/>
    </w:rPr>
  </w:style>
  <w:style w:type="character" w:customStyle="1" w:styleId="Heading4Char">
    <w:name w:val="Heading 4 Char"/>
    <w:basedOn w:val="DefaultParagraphFont"/>
    <w:link w:val="Heading4"/>
    <w:uiPriority w:val="9"/>
    <w:rsid w:val="00D20125"/>
    <w:rPr>
      <w:rFonts w:ascii="Arial" w:eastAsia="Times New Roman" w:hAnsi="Arial" w:cs="Traditional Arabic"/>
      <w:spacing w:val="-10"/>
      <w:kern w:val="28"/>
      <w:sz w:val="24"/>
      <w:szCs w:val="28"/>
    </w:rPr>
  </w:style>
  <w:style w:type="character" w:customStyle="1" w:styleId="Heading5Char">
    <w:name w:val="Heading 5 Char"/>
    <w:basedOn w:val="DefaultParagraphFont"/>
    <w:link w:val="Heading5"/>
    <w:uiPriority w:val="9"/>
    <w:rsid w:val="00D20125"/>
    <w:rPr>
      <w:rFonts w:ascii="Arial" w:eastAsia="Times New Roman" w:hAnsi="Arial" w:cs="Traditional Arabic"/>
      <w:spacing w:val="-20"/>
      <w:szCs w:val="26"/>
    </w:rPr>
  </w:style>
  <w:style w:type="character" w:customStyle="1" w:styleId="Heading6Char">
    <w:name w:val="Heading 6 Char"/>
    <w:basedOn w:val="DefaultParagraphFont"/>
    <w:link w:val="Heading6"/>
    <w:uiPriority w:val="9"/>
    <w:rsid w:val="00D20125"/>
    <w:rPr>
      <w:rFonts w:ascii="Arial" w:eastAsia="Times New Roman" w:hAnsi="Arial" w:cs="Traditional Arabic"/>
      <w:i/>
      <w:iCs/>
      <w:szCs w:val="26"/>
    </w:rPr>
  </w:style>
  <w:style w:type="character" w:customStyle="1" w:styleId="Heading7Char">
    <w:name w:val="Heading 7 Char"/>
    <w:basedOn w:val="DefaultParagraphFont"/>
    <w:link w:val="Heading7"/>
    <w:uiPriority w:val="9"/>
    <w:rsid w:val="00D20125"/>
    <w:rPr>
      <w:rFonts w:ascii="Arial" w:eastAsia="Times New Roman" w:hAnsi="Arial" w:cs="Traditional Arabic"/>
      <w:sz w:val="24"/>
      <w:szCs w:val="28"/>
    </w:rPr>
  </w:style>
  <w:style w:type="character" w:customStyle="1" w:styleId="Heading8Char">
    <w:name w:val="Heading 8 Char"/>
    <w:basedOn w:val="DefaultParagraphFont"/>
    <w:link w:val="Heading8"/>
    <w:uiPriority w:val="9"/>
    <w:rsid w:val="00D20125"/>
    <w:rPr>
      <w:rFonts w:ascii="Arial" w:eastAsia="Times New Roman" w:hAnsi="Arial" w:cs="Traditional Arabic"/>
      <w:i/>
      <w:iCs/>
      <w:sz w:val="24"/>
      <w:szCs w:val="28"/>
    </w:rPr>
  </w:style>
  <w:style w:type="character" w:customStyle="1" w:styleId="Heading9Char">
    <w:name w:val="Heading 9 Char"/>
    <w:basedOn w:val="DefaultParagraphFont"/>
    <w:link w:val="Heading9"/>
    <w:uiPriority w:val="9"/>
    <w:rsid w:val="00D20125"/>
    <w:rPr>
      <w:rFonts w:ascii="Arial" w:eastAsia="Times New Roman" w:hAnsi="Arial" w:cs="Traditional Arabic"/>
      <w:i/>
      <w:iCs/>
      <w:sz w:val="18"/>
      <w:szCs w:val="21"/>
    </w:rPr>
  </w:style>
  <w:style w:type="paragraph" w:styleId="NormalIndent">
    <w:name w:val="Normal Indent"/>
    <w:basedOn w:val="Normal"/>
    <w:uiPriority w:val="99"/>
    <w:semiHidden/>
    <w:rsid w:val="00D20125"/>
    <w:pPr>
      <w:keepNext/>
      <w:spacing w:before="120" w:after="120" w:line="240" w:lineRule="auto"/>
      <w:ind w:left="992"/>
      <w:jc w:val="lowKashida"/>
    </w:pPr>
    <w:rPr>
      <w:rFonts w:ascii="Times New Roman" w:eastAsia="Times New Roman" w:hAnsi="Times New Roman" w:cs="Traditional Arabic"/>
      <w:sz w:val="24"/>
      <w:szCs w:val="28"/>
    </w:rPr>
  </w:style>
  <w:style w:type="paragraph" w:styleId="Header">
    <w:name w:val="header"/>
    <w:basedOn w:val="Footer"/>
    <w:link w:val="HeaderChar"/>
    <w:uiPriority w:val="99"/>
    <w:semiHidden/>
    <w:rsid w:val="00D20125"/>
    <w:pPr>
      <w:pBdr>
        <w:top w:val="none" w:sz="0" w:space="0" w:color="auto"/>
        <w:bottom w:val="single" w:sz="12" w:space="3" w:color="auto"/>
      </w:pBdr>
      <w:tabs>
        <w:tab w:val="right" w:pos="4253"/>
      </w:tabs>
      <w:spacing w:before="0" w:after="120"/>
    </w:pPr>
  </w:style>
  <w:style w:type="character" w:customStyle="1" w:styleId="HeaderChar">
    <w:name w:val="Header Char"/>
    <w:basedOn w:val="DefaultParagraphFont"/>
    <w:link w:val="Header"/>
    <w:uiPriority w:val="99"/>
    <w:semiHidden/>
    <w:rsid w:val="00D20125"/>
    <w:rPr>
      <w:rFonts w:ascii="Arial" w:eastAsia="Times New Roman" w:hAnsi="Arial" w:cs="Traditional Arabic"/>
      <w:sz w:val="16"/>
      <w:szCs w:val="19"/>
    </w:rPr>
  </w:style>
  <w:style w:type="paragraph" w:styleId="Footer">
    <w:name w:val="footer"/>
    <w:basedOn w:val="Normal"/>
    <w:link w:val="FooterChar"/>
    <w:uiPriority w:val="99"/>
    <w:semiHidden/>
    <w:rsid w:val="00D20125"/>
    <w:pPr>
      <w:keepNext/>
      <w:pBdr>
        <w:top w:val="single" w:sz="12" w:space="2" w:color="auto"/>
      </w:pBdr>
      <w:tabs>
        <w:tab w:val="center" w:pos="4253"/>
        <w:tab w:val="right" w:pos="9781"/>
      </w:tabs>
      <w:spacing w:before="120" w:after="0" w:line="240" w:lineRule="auto"/>
    </w:pPr>
    <w:rPr>
      <w:rFonts w:ascii="Arial" w:eastAsia="Times New Roman" w:hAnsi="Arial" w:cs="Traditional Arabic"/>
      <w:sz w:val="16"/>
      <w:szCs w:val="19"/>
    </w:rPr>
  </w:style>
  <w:style w:type="character" w:customStyle="1" w:styleId="FooterChar">
    <w:name w:val="Footer Char"/>
    <w:basedOn w:val="DefaultParagraphFont"/>
    <w:link w:val="Footer"/>
    <w:uiPriority w:val="99"/>
    <w:semiHidden/>
    <w:rsid w:val="00D20125"/>
    <w:rPr>
      <w:rFonts w:ascii="Arial" w:eastAsia="Times New Roman" w:hAnsi="Arial" w:cs="Traditional Arabic"/>
      <w:sz w:val="16"/>
      <w:szCs w:val="19"/>
    </w:rPr>
  </w:style>
  <w:style w:type="character" w:styleId="PageNumber">
    <w:name w:val="page number"/>
    <w:basedOn w:val="DefaultParagraphFont"/>
    <w:uiPriority w:val="99"/>
    <w:semiHidden/>
    <w:rsid w:val="00D20125"/>
    <w:rPr>
      <w:sz w:val="20"/>
    </w:rPr>
  </w:style>
  <w:style w:type="paragraph" w:customStyle="1" w:styleId="Tableheading">
    <w:name w:val="Table heading"/>
    <w:basedOn w:val="Normal"/>
    <w:rsid w:val="00D20125"/>
    <w:pPr>
      <w:keepNext/>
      <w:spacing w:before="60" w:after="60" w:line="240" w:lineRule="auto"/>
    </w:pPr>
    <w:rPr>
      <w:rFonts w:ascii="Arial" w:eastAsia="Times New Roman" w:hAnsi="Arial" w:cs="Traditional Arabic"/>
      <w:b/>
      <w:bCs/>
      <w:sz w:val="16"/>
      <w:szCs w:val="19"/>
    </w:rPr>
  </w:style>
  <w:style w:type="paragraph" w:customStyle="1" w:styleId="Tabletext">
    <w:name w:val="Table text"/>
    <w:basedOn w:val="Tableheading"/>
    <w:rsid w:val="00D20125"/>
    <w:rPr>
      <w:b w:val="0"/>
      <w:bCs w:val="0"/>
    </w:rPr>
  </w:style>
  <w:style w:type="paragraph" w:styleId="Title">
    <w:name w:val="Title"/>
    <w:basedOn w:val="Normal"/>
    <w:link w:val="TitleChar"/>
    <w:uiPriority w:val="10"/>
    <w:qFormat/>
    <w:rsid w:val="00D20125"/>
    <w:pPr>
      <w:keepNext/>
      <w:spacing w:before="600" w:after="600" w:line="240" w:lineRule="auto"/>
      <w:jc w:val="center"/>
    </w:pPr>
    <w:rPr>
      <w:rFonts w:ascii="Arial" w:eastAsia="Times New Roman" w:hAnsi="Arial" w:cs="Traditional Arabic"/>
      <w:b/>
      <w:bCs/>
      <w:color w:val="0000FF"/>
      <w:kern w:val="28"/>
      <w:sz w:val="32"/>
      <w:szCs w:val="38"/>
      <w:lang w:val="en-GB"/>
    </w:rPr>
  </w:style>
  <w:style w:type="character" w:customStyle="1" w:styleId="TitleChar">
    <w:name w:val="Title Char"/>
    <w:basedOn w:val="DefaultParagraphFont"/>
    <w:link w:val="Title"/>
    <w:uiPriority w:val="10"/>
    <w:rsid w:val="00D20125"/>
    <w:rPr>
      <w:rFonts w:ascii="Arial" w:eastAsia="Times New Roman" w:hAnsi="Arial" w:cs="Traditional Arabic"/>
      <w:b/>
      <w:bCs/>
      <w:color w:val="0000FF"/>
      <w:kern w:val="28"/>
      <w:sz w:val="32"/>
      <w:szCs w:val="38"/>
      <w:lang w:val="en-GB"/>
    </w:rPr>
  </w:style>
  <w:style w:type="paragraph" w:styleId="TOCHeading">
    <w:name w:val="TOC Heading"/>
    <w:basedOn w:val="Title"/>
    <w:uiPriority w:val="39"/>
    <w:qFormat/>
    <w:rsid w:val="00D20125"/>
    <w:pPr>
      <w:pageBreakBefore/>
      <w:spacing w:before="120"/>
      <w:ind w:left="994"/>
    </w:pPr>
  </w:style>
  <w:style w:type="character" w:customStyle="1" w:styleId="MainStyle">
    <w:name w:val="Main Style"/>
    <w:rsid w:val="00D20125"/>
    <w:rPr>
      <w:color w:val="000080"/>
    </w:rPr>
  </w:style>
  <w:style w:type="character" w:customStyle="1" w:styleId="SubTittle">
    <w:name w:val="Sub Tittle"/>
    <w:rsid w:val="00D20125"/>
    <w:rPr>
      <w:color w:val="000080"/>
    </w:rPr>
  </w:style>
  <w:style w:type="paragraph" w:styleId="ListParagraph">
    <w:name w:val="List Paragraph"/>
    <w:aliases w:val="YC Bulet,lp1,List Paragraph1,Use Case List Paragraph,numbered,FooterText,Paragraphe de liste1,Bulletr List Paragraph,列出段落,列出段落1,List Paragraph2,List Paragraph21,Párrafo de lista1,Parágrafo da Lista1,リスト段落1,Listeafsnit1,lp11,Heading2"/>
    <w:basedOn w:val="Normal"/>
    <w:link w:val="ListParagraphChar"/>
    <w:uiPriority w:val="34"/>
    <w:qFormat/>
    <w:rsid w:val="00D20125"/>
    <w:pPr>
      <w:keepNext/>
      <w:spacing w:before="60" w:after="120" w:line="240" w:lineRule="auto"/>
      <w:ind w:left="720"/>
      <w:contextualSpacing/>
      <w:jc w:val="lowKashida"/>
    </w:pPr>
    <w:rPr>
      <w:rFonts w:ascii="Times New Roman" w:eastAsia="Times New Roman" w:hAnsi="Times New Roman" w:cs="Traditional Arabic"/>
      <w:sz w:val="24"/>
      <w:szCs w:val="28"/>
    </w:rPr>
  </w:style>
  <w:style w:type="character" w:customStyle="1" w:styleId="ListParagraphChar">
    <w:name w:val="List Paragraph Char"/>
    <w:aliases w:val="YC Bulet Char,lp1 Char,List Paragraph1 Char,Use Case List Paragraph Char,numbered Char,FooterText Char,Paragraphe de liste1 Char,Bulletr List Paragraph Char,列出段落 Char,列出段落1 Char,List Paragraph2 Char,List Paragraph21 Char,リスト段落1 Char"/>
    <w:basedOn w:val="DefaultParagraphFont"/>
    <w:link w:val="ListParagraph"/>
    <w:uiPriority w:val="34"/>
    <w:qFormat/>
    <w:locked/>
    <w:rsid w:val="00D20125"/>
    <w:rPr>
      <w:rFonts w:ascii="Times New Roman" w:eastAsia="Times New Roman" w:hAnsi="Times New Roman" w:cs="Traditional Arabic"/>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Review Checklist - Bankmaster Archival - CSD Enquiry Application</dc:title>
  <dc:subject>Bankmaster Archival</dc:subject>
  <dc:creator>Manish K. Kumar</dc:creator>
  <cp:keywords/>
  <dc:description/>
  <cp:lastModifiedBy>Manish K. Kumar</cp:lastModifiedBy>
  <cp:revision>1</cp:revision>
  <dcterms:created xsi:type="dcterms:W3CDTF">2026-09-10T13:58:00Z</dcterms:created>
  <dcterms:modified xsi:type="dcterms:W3CDTF">2026-09-10T13:59:00Z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{96D6C38A-0938-48A7-B7BE-D411855B96C9}</vt:lpwstr>
  </property>
  <property fmtid="{D5CDD505-2E9C-101B-9397-08002B2CF9AE}" pid="3" name="DLPManualFileClassificationLastModifiedBy">
    <vt:lpwstr>ANB-PDC-CENTRAL\881149</vt:lpwstr>
  </property>
  <property fmtid="{D5CDD505-2E9C-101B-9397-08002B2CF9AE}" pid="4" name="DLPManualFileClassificationLastModificationDate">
    <vt:lpwstr>1789048791</vt:lpwstr>
  </property>
  <property fmtid="{D5CDD505-2E9C-101B-9397-08002B2CF9AE}" pid="5" name="DLPManualFileClassificationVersion">
    <vt:lpwstr>11.12.1.21</vt:lpwstr>
  </property>
  <property fmtid="{D5CDD505-2E9C-101B-9397-08002B2CF9AE}" pid="6" name="DLPVisualLabelFileClassification">
    <vt:lpwstr>{96D6C38A-0938-48A7-B7BE-D411855B96C9}</vt:lpwstr>
  </property>
  <property fmtid="{D5CDD505-2E9C-101B-9397-08002B2CF9AE}" pid="7" name="DLPVisualLabelFileClassificationModifiedBy">
    <vt:lpwstr>ANB-PDC-CENTRAL\881149</vt:lpwstr>
  </property>
  <property fmtid="{D5CDD505-2E9C-101B-9397-08002B2CF9AE}" pid="8" name="DLPVisualLabelFileClassificationModifiedDate">
    <vt:lpwstr>1789048791</vt:lpwstr>
  </property>
  <property fmtid="{D5CDD505-2E9C-101B-9397-08002B2CF9AE}" pid="9" name="DLPVisualLabelFileClassificationAlignment">
    <vt:lpwstr>2</vt:lpwstr>
  </property>
  <property fmtid="{D5CDD505-2E9C-101B-9397-08002B2CF9AE}" pid="10" name="DLPVisualLabelFileClassificationPosition">
    <vt:lpwstr>TrellixVisuallabelHeader;TrellixVisuallabelWatermark;TrellixVisuallabelFooter</vt:lpwstr>
  </property>
</Properties>
</file>