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r>
        <w:rPr>
          <w:b/>
          <w:color w:val="1F355E"/>
          <w:sz w:val="60"/>
        </w:rPr>
        <w:t>BankSystem</w:t>
      </w:r>
    </w:p>
    <w:p>
      <w:r>
        <w:rPr>
          <w:color w:val="1F355E"/>
          <w:sz w:val="34"/>
        </w:rPr>
        <w:t>Customer Service Desk — Enquiry Application</w:t>
      </w:r>
    </w:p>
    <w:p>
      <w:r>
        <w:rPr>
          <w:color w:val="595959"/>
          <w:sz w:val="28"/>
        </w:rPr>
        <w:t>Design Document</w:t>
      </w:r>
    </w:p>
    <w:p/>
    <w:tbl>
      <w:tblPr>
        <w:tblStyle w:val="TableGrid"/>
        <w:tblW w:type="auto" w:w="0"/>
        <w:jc w:val="left"/>
        <w:tblLook w:firstColumn="1" w:firstRow="1" w:lastColumn="0" w:lastRow="0" w:noHBand="0" w:noVBand="1" w:val="04A0"/>
      </w:tblPr>
      <w:tblGrid>
        <w:gridCol w:w="4824"/>
        <w:gridCol w:w="4824"/>
      </w:tblGrid>
      <w:tr>
        <w:tc>
          <w:tcPr>
            <w:tcW w:type="dxa" w:w="2160"/>
            <w:shd w:val="clear" w:fill="1F355E"/>
          </w:tcPr>
          <w:p>
            <w:pPr>
              <w:spacing w:after="40"/>
            </w:pPr>
            <w:r>
              <w:rPr>
                <w:b/>
                <w:color w:val="FFFFFF"/>
                <w:sz w:val="19"/>
              </w:rPr>
              <w:t>Field</w:t>
            </w:r>
          </w:p>
        </w:tc>
        <w:tc>
          <w:tcPr>
            <w:tcW w:type="dxa" w:w="7488"/>
            <w:shd w:val="clear" w:fill="1F355E"/>
          </w:tcPr>
          <w:p>
            <w:pPr>
              <w:spacing w:after="40"/>
            </w:pPr>
            <w:r>
              <w:rPr>
                <w:b/>
                <w:color w:val="FFFFFF"/>
                <w:sz w:val="19"/>
              </w:rPr>
              <w:t>Value</w:t>
            </w:r>
          </w:p>
        </w:tc>
      </w:tr>
      <w:tr>
        <w:tc>
          <w:tcPr>
            <w:tcW w:type="dxa" w:w="2160"/>
          </w:tcPr>
          <w:p>
            <w:pPr>
              <w:spacing w:after="40"/>
            </w:pPr>
            <w:r>
              <w:rPr>
                <w:sz w:val="19"/>
              </w:rPr>
              <w:t>Document</w:t>
            </w:r>
          </w:p>
        </w:tc>
        <w:tc>
          <w:tcPr>
            <w:tcW w:type="dxa" w:w="7488"/>
          </w:tcPr>
          <w:p>
            <w:pPr>
              <w:spacing w:after="40"/>
            </w:pPr>
            <w:r>
              <w:rPr>
                <w:sz w:val="19"/>
              </w:rPr>
              <w:t>Design document — architecture, data, screens, deployment</w:t>
            </w:r>
          </w:p>
        </w:tc>
      </w:tr>
      <w:tr>
        <w:tc>
          <w:tcPr>
            <w:tcW w:type="dxa" w:w="2160"/>
            <w:shd w:val="clear" w:fill="F5F7FA"/>
          </w:tcPr>
          <w:p>
            <w:pPr>
              <w:spacing w:after="40"/>
            </w:pPr>
            <w:r>
              <w:rPr>
                <w:sz w:val="19"/>
              </w:rPr>
              <w:t>System</w:t>
            </w:r>
          </w:p>
        </w:tc>
        <w:tc>
          <w:tcPr>
            <w:tcW w:type="dxa" w:w="7488"/>
            <w:shd w:val="clear" w:fill="F5F7FA"/>
          </w:tcPr>
          <w:p>
            <w:pPr>
              <w:spacing w:after="40"/>
            </w:pPr>
            <w:r>
              <w:rPr>
                <w:sz w:val="19"/>
              </w:rPr>
              <w:t>BankSystem CSD enquiry application (bank-ui + bank-api)</w:t>
            </w:r>
          </w:p>
        </w:tc>
      </w:tr>
      <w:tr>
        <w:tc>
          <w:tcPr>
            <w:tcW w:type="dxa" w:w="2160"/>
          </w:tcPr>
          <w:p>
            <w:pPr>
              <w:spacing w:after="40"/>
            </w:pPr>
            <w:r>
              <w:rPr>
                <w:sz w:val="19"/>
              </w:rPr>
              <w:t>Replaces</w:t>
            </w:r>
          </w:p>
        </w:tc>
        <w:tc>
          <w:tcPr>
            <w:tcW w:type="dxa" w:w="7488"/>
          </w:tcPr>
          <w:p>
            <w:pPr>
              <w:spacing w:after="40"/>
            </w:pPr>
            <w:r>
              <w:rPr>
                <w:sz w:val="19"/>
              </w:rPr>
              <w:t>CSD for CBS-CMS Ver 4.0.5 (Visual Basic 6 client + cbcmssrv C server)</w:t>
            </w:r>
          </w:p>
        </w:tc>
      </w:tr>
      <w:tr>
        <w:tc>
          <w:tcPr>
            <w:tcW w:type="dxa" w:w="2160"/>
            <w:shd w:val="clear" w:fill="F5F7FA"/>
          </w:tcPr>
          <w:p>
            <w:pPr>
              <w:spacing w:after="40"/>
            </w:pPr>
            <w:r>
              <w:rPr>
                <w:sz w:val="19"/>
              </w:rPr>
              <w:t>Status</w:t>
            </w:r>
          </w:p>
        </w:tc>
        <w:tc>
          <w:tcPr>
            <w:tcW w:type="dxa" w:w="7488"/>
            <w:shd w:val="clear" w:fill="F5F7FA"/>
          </w:tcPr>
          <w:p>
            <w:pPr>
              <w:spacing w:after="40"/>
            </w:pPr>
            <w:r>
              <w:rPr>
                <w:sz w:val="19"/>
              </w:rPr>
              <w:t>Built and deployable; enquiry scope complete, gaps listed in §12</w:t>
            </w:r>
          </w:p>
        </w:tc>
      </w:tr>
      <w:tr>
        <w:tc>
          <w:tcPr>
            <w:tcW w:type="dxa" w:w="2160"/>
          </w:tcPr>
          <w:p>
            <w:pPr>
              <w:spacing w:after="40"/>
            </w:pPr>
            <w:r>
              <w:rPr>
                <w:sz w:val="19"/>
              </w:rPr>
              <w:t>Date</w:t>
            </w:r>
          </w:p>
        </w:tc>
        <w:tc>
          <w:tcPr>
            <w:tcW w:type="dxa" w:w="7488"/>
          </w:tcPr>
          <w:p>
            <w:pPr>
              <w:spacing w:after="40"/>
            </w:pPr>
            <w:r>
              <w:rPr>
                <w:sz w:val="19"/>
              </w:rPr>
              <w:t>10 September 2026</w:t>
            </w:r>
          </w:p>
        </w:tc>
      </w:tr>
      <w:tr>
        <w:tc>
          <w:tcPr>
            <w:tcW w:type="dxa" w:w="2160"/>
            <w:shd w:val="clear" w:fill="F5F7FA"/>
          </w:tcPr>
          <w:p>
            <w:pPr>
              <w:spacing w:after="40"/>
            </w:pPr>
            <w:r>
              <w:rPr>
                <w:sz w:val="19"/>
              </w:rPr>
              <w:t>Basis</w:t>
            </w:r>
          </w:p>
        </w:tc>
        <w:tc>
          <w:tcPr>
            <w:tcW w:type="dxa" w:w="7488"/>
            <w:shd w:val="clear" w:fill="F5F7FA"/>
          </w:tcPr>
          <w:p>
            <w:pPr>
              <w:spacing w:after="40"/>
            </w:pPr>
            <w:r>
              <w:rPr>
                <w:sz w:val="19"/>
              </w:rPr>
              <w:t>Written from the repository as it stands: source, configuration and the legacy material under docs/</w:t>
            </w:r>
          </w:p>
        </w:tc>
      </w:tr>
    </w:tbl>
    <w:p>
      <w:pPr>
        <w:spacing w:after="40"/>
      </w:pPr>
    </w:p>
    <w:p>
      <w:r>
        <w:br w:type="page"/>
      </w:r>
    </w:p>
    <w:p>
      <w:pPr>
        <w:pStyle w:val="Heading1"/>
      </w:pPr>
      <w:r>
        <w:t>Contents</w:t>
      </w:r>
    </w:p>
    <w:p>
      <w:fldSimple w:instr="TOC \o &quot;1-2&quot; \h \z \u">
        <w:r>
          <w:t>Right-click here and choose Update Field to build the table of contents.</w:t>
        </w:r>
      </w:fldSimple>
    </w:p>
    <w:p>
      <w:r>
        <w:br w:type="page"/>
      </w:r>
    </w:p>
    <w:p>
      <w:pPr>
        <w:pStyle w:val="Heading1"/>
      </w:pPr>
      <w:r>
        <w:t>1. Purpose and audience</w:t>
      </w:r>
    </w:p>
    <w:p>
      <w:r>
        <w:rPr>
          <w:b w:val="0"/>
          <w:i w:val="0"/>
        </w:rPr>
        <w:t>This document describes what the BankSystem enquiry application is, how it is built, where its data comes from and how it is deployed. It is written for the engineers who will maintain it, for the operations staff who run it on a branch PC, and for reviewers who need to judge whether the revamp is faithful to the system it replaces.</w:t>
      </w:r>
    </w:p>
    <w:p>
      <w:r>
        <w:rPr>
          <w:b w:val="0"/>
          <w:i w:val="0"/>
        </w:rPr>
        <w:t>It is descriptive, not aspirational: every statement below reflects code, configuration or legacy material that exists in the repository today. Where something is unfinished or undecided it is named as such in §12, rather than being written as though it were done.</w:t>
      </w:r>
    </w:p>
    <w:p>
      <w:pPr>
        <w:pStyle w:val="Heading1"/>
      </w:pPr>
      <w:r>
        <w:t>2. Background</w:t>
      </w:r>
    </w:p>
    <w:p>
      <w:pPr>
        <w:pStyle w:val="Heading2"/>
      </w:pPr>
      <w:r>
        <w:t>2.1 The system being replaced</w:t>
      </w:r>
    </w:p>
    <w:p>
      <w:r>
        <w:rPr>
          <w:b w:val="0"/>
          <w:i w:val="0"/>
        </w:rPr>
        <w:t>The Customer Service Desk (CSD) application in use is a two-tier system from the CBS-CMS era:</w:t>
      </w:r>
    </w:p>
    <w:p>
      <w:pPr>
        <w:pStyle w:val="ListBullet"/>
        <w:spacing w:after="60"/>
        <w:ind w:left="360"/>
      </w:pPr>
      <w:r>
        <w:t>A Visual Basic 6 desktop client — the forms, code and screen captures are preserved under docs/CSD for CBS-CMS VER 4.0.5 and docs/Screens.</w:t>
      </w:r>
    </w:p>
    <w:p>
      <w:pPr>
        <w:pStyle w:val="ListBullet"/>
        <w:spacing w:after="60"/>
        <w:ind w:left="360"/>
      </w:pPr>
      <w:r>
        <w:t>A C server, cbcmssrv, reached over a raw TCP/IP socket with fixed-length request and response messages. Its source is under docs/CSD C Code; cbserver.h alone defines 531 message contracts.</w:t>
      </w:r>
    </w:p>
    <w:p>
      <w:pPr>
        <w:pStyle w:val="ListBullet"/>
        <w:spacing w:after="60"/>
        <w:ind w:left="360"/>
      </w:pPr>
      <w:r>
        <w:t>Behind the server, ISAM record files holding the BankMaster (BM) static data, plus a gateway to Finacle for live account and transaction enquiry.</w:t>
      </w:r>
    </w:p>
    <w:p>
      <w:r>
        <w:rPr>
          <w:b w:val="0"/>
          <w:i w:val="0"/>
        </w:rPr>
        <w:t>The client sends one fixed-width message per action (service 16 is customer search, 21 account search, 67 customer update history, and so on); the server seeds an ISAM key, walks it, and streams back a page of records. Business rules — which screen a customer category opens, how long a search may run, what a blank field means — live in that C code and in the VB6 forms, not in a specification.</w:t>
      </w:r>
    </w:p>
    <w:p>
      <w:pPr>
        <w:pStyle w:val="Heading2"/>
      </w:pPr>
      <w:r>
        <w:t>2.2 Why it is being revamped</w:t>
      </w:r>
    </w:p>
    <w:p>
      <w:r>
        <w:rPr>
          <w:b w:val="0"/>
          <w:i w:val="0"/>
        </w:rPr>
        <w:t>The desktop client cannot be maintained or distributed, and the data it reads has been retired into an archival restore. The revamp keeps what the branch staff know — the same screens, the same fields, the same navigation — and moves it onto a browser and a modern server, reading the archived data through Denodo rather than the old socket server.</w:t>
      </w:r>
    </w:p>
    <w:p>
      <w:pPr>
        <w:pStyle w:val="Heading1"/>
      </w:pPr>
      <w:r>
        <w:t>3. Scope</w:t>
      </w:r>
    </w:p>
    <w:p>
      <w:pPr>
        <w:pStyle w:val="Heading2"/>
      </w:pPr>
      <w:r>
        <w:t>3.1 In scope</w:t>
      </w:r>
    </w:p>
    <w:p>
      <w:r>
        <w:rPr>
          <w:b w:val="0"/>
          <w:i w:val="0"/>
        </w:rPr>
        <w:t>Enquiry only. Every screen reads; nothing writes. The application covers 47 screens: sign-on and customer search, the customer profile family (Saudi individual, other-nationality individual, juristic and the general customer form), related parties (joint holders, owners, heirs, references, signatories), the account branch (account information and maintenance view, status and update history, blocked-amount breakup), cheques and standing orders, cards, transactions and transfers, and the statement screens.</w:t>
      </w:r>
    </w:p>
    <w:p>
      <w:pPr>
        <w:pStyle w:val="Heading2"/>
      </w:pPr>
      <w:r>
        <w:t>3.2 Out of scope</w:t>
      </w:r>
    </w:p>
    <w:p>
      <w:pPr>
        <w:pStyle w:val="ListBullet"/>
        <w:spacing w:after="60"/>
        <w:ind w:left="360"/>
      </w:pPr>
      <w:r>
        <w:t>Creation, update, maintenance and supervisor authorisation of any record — the legacy's write paths are deliberately not ported.</w:t>
      </w:r>
    </w:p>
    <w:p>
      <w:pPr>
        <w:pStyle w:val="ListBullet"/>
        <w:spacing w:after="60"/>
        <w:ind w:left="360"/>
      </w:pPr>
      <w:r>
        <w:t>The account-opening screens the legacy reached through categories 00/56/99.</w:t>
      </w:r>
    </w:p>
    <w:p>
      <w:pPr>
        <w:pStyle w:val="ListBullet"/>
        <w:spacing w:after="60"/>
        <w:ind w:left="360"/>
      </w:pPr>
      <w:r>
        <w:t>Live SADAD bill enquiry (the gateway decision is open — see §12).</w:t>
      </w:r>
    </w:p>
    <w:p>
      <w:r>
        <w:rPr>
          <w:b w:val="0"/>
          <w:i w:val="0"/>
        </w:rPr>
        <w:t>All database access is read-only and enforced as such: the connection pools are configured read-only: true, and no repository issues anything but a SELECT.</w:t>
      </w:r>
    </w:p>
    <w:p>
      <w:r>
        <w:br w:type="page"/>
      </w:r>
    </w:p>
    <w:p>
      <w:pPr>
        <w:pStyle w:val="Heading1"/>
      </w:pPr>
      <w:r>
        <w:t>4. Architecture</w:t>
      </w:r>
    </w:p>
    <w:p>
      <w:pPr>
        <w:pStyle w:val="Heading2"/>
      </w:pPr>
      <w:r>
        <w:t>4.1 Shape</w:t>
      </w:r>
    </w:p>
    <w:p>
      <w:r>
        <w:rPr>
          <w:b w:val="0"/>
          <w:i w:val="0"/>
        </w:rPr>
        <w:t>Two artefacts, one deployable. The React single-page application is built to static files and packaged into the Spring Boot jar, so a branch PC runs one process and one port serves both the UI and the API.</w:t>
      </w:r>
    </w:p>
    <w:p>
      <w:pPr>
        <w:spacing w:before="120" w:after="160"/>
        <w:ind w:left="317"/>
        <w:shd w:val="clear" w:fill="F2F4F8"/>
      </w:pPr>
      <w:r>
        <w:rPr>
          <w:rFonts w:ascii="Consolas" w:hAnsi="Consolas"/>
          <w:color w:val="223344"/>
          <w:sz w:val="17"/>
        </w:rPr>
        <w:t xml:space="preserve">  Browser (branch PC)</w:t>
        <w:br/>
      </w:r>
      <w:r>
        <w:rPr>
          <w:rFonts w:ascii="Consolas" w:hAnsi="Consolas"/>
          <w:color w:val="223344"/>
          <w:sz w:val="17"/>
        </w:rPr>
        <w:t xml:space="preserve">      |  HTTPS/HTTP  ·  Bearer JWT on every /api call</w:t>
        <w:br/>
      </w:r>
      <w:r>
        <w:rPr>
          <w:rFonts w:ascii="Consolas" w:hAnsi="Consolas"/>
          <w:color w:val="223344"/>
          <w:sz w:val="17"/>
        </w:rPr>
        <w:t xml:space="preserve">      v</w:t>
        <w:br/>
      </w:r>
      <w:r>
        <w:rPr>
          <w:rFonts w:ascii="Consolas" w:hAnsi="Consolas"/>
          <w:color w:val="223344"/>
          <w:sz w:val="17"/>
        </w:rPr>
        <w:t xml:space="preserve">  +---------------------------------------------------+</w:t>
        <w:br/>
      </w:r>
      <w:r>
        <w:rPr>
          <w:rFonts w:ascii="Consolas" w:hAnsi="Consolas"/>
          <w:color w:val="223344"/>
          <w:sz w:val="17"/>
        </w:rPr>
        <w:t xml:space="preserve">  |  bank-api-0.1.0-SNAPSHOT.jar                       |</w:t>
        <w:br/>
      </w:r>
      <w:r>
        <w:rPr>
          <w:rFonts w:ascii="Consolas" w:hAnsi="Consolas"/>
          <w:color w:val="223344"/>
          <w:sz w:val="17"/>
        </w:rPr>
        <w:t xml:space="preserve">  |    static/       the built bank-ui SPA             |</w:t>
        <w:br/>
      </w:r>
      <w:r>
        <w:rPr>
          <w:rFonts w:ascii="Consolas" w:hAnsi="Consolas"/>
          <w:color w:val="223344"/>
          <w:sz w:val="17"/>
        </w:rPr>
        <w:t xml:space="preserve">  |    /api/**       REST endpoints (Spring Boot 4.1)  |</w:t>
        <w:br/>
      </w:r>
      <w:r>
        <w:rPr>
          <w:rFonts w:ascii="Consolas" w:hAnsi="Consolas"/>
          <w:color w:val="223344"/>
          <w:sz w:val="17"/>
        </w:rPr>
        <w:t xml:space="preserve">  +---------------------------------------------------+</w:t>
        <w:br/>
      </w:r>
      <w:r>
        <w:rPr>
          <w:rFonts w:ascii="Consolas" w:hAnsi="Consolas"/>
          <w:color w:val="223344"/>
          <w:sz w:val="17"/>
        </w:rPr>
        <w:t xml:space="preserve">      |                    |                      |</w:t>
        <w:br/>
      </w:r>
      <w:r>
        <w:rPr>
          <w:rFonts w:ascii="Consolas" w:hAnsi="Consolas"/>
          <w:color w:val="223344"/>
          <w:sz w:val="17"/>
        </w:rPr>
        <w:t xml:space="preserve">      v                    v                      v</w:t>
        <w:br/>
      </w:r>
      <w:r>
        <w:rPr>
          <w:rFonts w:ascii="Consolas" w:hAnsi="Consolas"/>
          <w:color w:val="223344"/>
          <w:sz w:val="17"/>
        </w:rPr>
        <w:t xml:space="preserve">  DB #1 archival      DB #2 Finacle          DB #3 statement</w:t>
        <w:br/>
      </w:r>
      <w:r>
        <w:rPr>
          <w:rFonts w:ascii="Consolas" w:hAnsi="Consolas"/>
          <w:color w:val="223344"/>
          <w:sz w:val="17"/>
        </w:rPr>
        <w:t xml:space="preserve">  Denodo / Hive       gateway (absent)       Oracle (optional)</w:t>
        <w:br/>
      </w:r>
      <w:r>
        <w:rPr>
          <w:rFonts w:ascii="Consolas" w:hAnsi="Consolas"/>
          <w:color w:val="223344"/>
          <w:sz w:val="17"/>
        </w:rPr>
        <w:t xml:space="preserve">  read-only, 39 views  card header only      historical statements</w:t>
      </w:r>
    </w:p>
    <w:p>
      <w:pPr>
        <w:pStyle w:val="Heading2"/>
      </w:pPr>
      <w:r>
        <w:t>4.2 Technology</w:t>
      </w:r>
    </w:p>
    <w:tbl>
      <w:tblPr>
        <w:tblStyle w:val="TableGrid"/>
        <w:tblW w:type="auto" w:w="0"/>
        <w:jc w:val="left"/>
        <w:tblLook w:firstColumn="1" w:firstRow="1" w:lastColumn="0" w:lastRow="0" w:noHBand="0" w:noVBand="1" w:val="04A0"/>
      </w:tblPr>
      <w:tblGrid>
        <w:gridCol w:w="3216"/>
        <w:gridCol w:w="3216"/>
        <w:gridCol w:w="3216"/>
      </w:tblGrid>
      <w:tr>
        <w:tc>
          <w:tcPr>
            <w:tcW w:type="dxa" w:w="1512"/>
            <w:shd w:val="clear" w:fill="1F355E"/>
          </w:tcPr>
          <w:p>
            <w:pPr>
              <w:spacing w:after="40"/>
            </w:pPr>
            <w:r>
              <w:rPr>
                <w:b/>
                <w:color w:val="FFFFFF"/>
                <w:sz w:val="19"/>
              </w:rPr>
              <w:t>Layer</w:t>
            </w:r>
          </w:p>
        </w:tc>
        <w:tc>
          <w:tcPr>
            <w:tcW w:type="dxa" w:w="3168"/>
            <w:shd w:val="clear" w:fill="1F355E"/>
          </w:tcPr>
          <w:p>
            <w:pPr>
              <w:spacing w:after="40"/>
            </w:pPr>
            <w:r>
              <w:rPr>
                <w:b/>
                <w:color w:val="FFFFFF"/>
                <w:sz w:val="19"/>
              </w:rPr>
              <w:t>Technology</w:t>
            </w:r>
          </w:p>
        </w:tc>
        <w:tc>
          <w:tcPr>
            <w:tcW w:type="dxa" w:w="4968"/>
            <w:shd w:val="clear" w:fill="1F355E"/>
          </w:tcPr>
          <w:p>
            <w:pPr>
              <w:spacing w:after="40"/>
            </w:pPr>
            <w:r>
              <w:rPr>
                <w:b/>
                <w:color w:val="FFFFFF"/>
                <w:sz w:val="19"/>
              </w:rPr>
              <w:t>Notes</w:t>
            </w:r>
          </w:p>
        </w:tc>
      </w:tr>
      <w:tr>
        <w:tc>
          <w:tcPr>
            <w:tcW w:type="dxa" w:w="1512"/>
          </w:tcPr>
          <w:p>
            <w:pPr>
              <w:spacing w:after="40"/>
            </w:pPr>
            <w:r>
              <w:rPr>
                <w:sz w:val="19"/>
              </w:rPr>
              <w:t>UI</w:t>
            </w:r>
          </w:p>
        </w:tc>
        <w:tc>
          <w:tcPr>
            <w:tcW w:type="dxa" w:w="3168"/>
          </w:tcPr>
          <w:p>
            <w:pPr>
              <w:spacing w:after="40"/>
            </w:pPr>
            <w:r>
              <w:rPr>
                <w:sz w:val="19"/>
              </w:rPr>
              <w:t>React 19, TypeScript, Vite 8, Tailwind CSS 4</w:t>
            </w:r>
          </w:p>
        </w:tc>
        <w:tc>
          <w:tcPr>
            <w:tcW w:type="dxa" w:w="4968"/>
          </w:tcPr>
          <w:p>
            <w:pPr>
              <w:spacing w:after="40"/>
            </w:pPr>
            <w:r>
              <w:rPr>
                <w:sz w:val="19"/>
              </w:rPr>
              <w:t>No component library; the legacy form vocabulary is implemented in-house (components/legacyForm.tsx).</w:t>
            </w:r>
          </w:p>
        </w:tc>
      </w:tr>
      <w:tr>
        <w:tc>
          <w:tcPr>
            <w:tcW w:type="dxa" w:w="1512"/>
            <w:shd w:val="clear" w:fill="F5F7FA"/>
          </w:tcPr>
          <w:p>
            <w:pPr>
              <w:spacing w:after="40"/>
            </w:pPr>
            <w:r>
              <w:rPr>
                <w:sz w:val="19"/>
              </w:rPr>
              <w:t>API</w:t>
            </w:r>
          </w:p>
        </w:tc>
        <w:tc>
          <w:tcPr>
            <w:tcW w:type="dxa" w:w="3168"/>
            <w:shd w:val="clear" w:fill="F5F7FA"/>
          </w:tcPr>
          <w:p>
            <w:pPr>
              <w:spacing w:after="40"/>
            </w:pPr>
            <w:r>
              <w:rPr>
                <w:sz w:val="19"/>
              </w:rPr>
              <w:t>Java 25, Spring Boot 4.1, Spring Security, spring-boot-starter-jdbc</w:t>
            </w:r>
          </w:p>
        </w:tc>
        <w:tc>
          <w:tcPr>
            <w:tcW w:type="dxa" w:w="4968"/>
            <w:shd w:val="clear" w:fill="F5F7FA"/>
          </w:tcPr>
          <w:p>
            <w:pPr>
              <w:spacing w:after="40"/>
            </w:pPr>
            <w:r>
              <w:rPr>
                <w:sz w:val="19"/>
              </w:rPr>
              <w:t>pom.xml sets java.version 25. Note the README and deploy notes still say Java 21 — they are stale on this point.</w:t>
            </w:r>
          </w:p>
        </w:tc>
      </w:tr>
      <w:tr>
        <w:tc>
          <w:tcPr>
            <w:tcW w:type="dxa" w:w="1512"/>
          </w:tcPr>
          <w:p>
            <w:pPr>
              <w:spacing w:after="40"/>
            </w:pPr>
            <w:r>
              <w:rPr>
                <w:sz w:val="19"/>
              </w:rPr>
              <w:t>Data access</w:t>
            </w:r>
          </w:p>
        </w:tc>
        <w:tc>
          <w:tcPr>
            <w:tcW w:type="dxa" w:w="3168"/>
          </w:tcPr>
          <w:p>
            <w:pPr>
              <w:spacing w:after="40"/>
            </w:pPr>
            <w:r>
              <w:rPr>
                <w:sz w:val="19"/>
              </w:rPr>
              <w:t>NamedParameterJdbcTemplate over HikariCP</w:t>
            </w:r>
          </w:p>
        </w:tc>
        <w:tc>
          <w:tcPr>
            <w:tcW w:type="dxa" w:w="4968"/>
          </w:tcPr>
          <w:p>
            <w:pPr>
              <w:spacing w:after="40"/>
            </w:pPr>
            <w:r>
              <w:rPr>
                <w:sz w:val="19"/>
              </w:rPr>
              <w:t>No ORM. Hand-written SQL ported from the C code, one repository per domain area.</w:t>
            </w:r>
          </w:p>
        </w:tc>
      </w:tr>
      <w:tr>
        <w:tc>
          <w:tcPr>
            <w:tcW w:type="dxa" w:w="1512"/>
            <w:shd w:val="clear" w:fill="F5F7FA"/>
          </w:tcPr>
          <w:p>
            <w:pPr>
              <w:spacing w:after="40"/>
            </w:pPr>
            <w:r>
              <w:rPr>
                <w:sz w:val="19"/>
              </w:rPr>
              <w:t>Packaging</w:t>
            </w:r>
          </w:p>
        </w:tc>
        <w:tc>
          <w:tcPr>
            <w:tcW w:type="dxa" w:w="3168"/>
            <w:shd w:val="clear" w:fill="F5F7FA"/>
          </w:tcPr>
          <w:p>
            <w:pPr>
              <w:spacing w:after="40"/>
            </w:pPr>
            <w:r>
              <w:rPr>
                <w:sz w:val="19"/>
              </w:rPr>
              <w:t>spring-boot-maven-plugin, ZIP layout (PropertiesLauncher)</w:t>
            </w:r>
          </w:p>
        </w:tc>
        <w:tc>
          <w:tcPr>
            <w:tcW w:type="dxa" w:w="4968"/>
            <w:shd w:val="clear" w:fill="F5F7FA"/>
          </w:tcPr>
          <w:p>
            <w:pPr>
              <w:spacing w:after="40"/>
            </w:pPr>
            <w:r>
              <w:rPr>
                <w:sz w:val="19"/>
              </w:rPr>
              <w:t>So the Denodo JDBC driver, which is not on Maven Central, can be added at runtime with -Dloader.path.</w:t>
            </w:r>
          </w:p>
        </w:tc>
      </w:tr>
      <w:tr>
        <w:tc>
          <w:tcPr>
            <w:tcW w:type="dxa" w:w="1512"/>
          </w:tcPr>
          <w:p>
            <w:pPr>
              <w:spacing w:after="40"/>
            </w:pPr>
            <w:r>
              <w:rPr>
                <w:sz w:val="19"/>
              </w:rPr>
              <w:t>Tests</w:t>
            </w:r>
          </w:p>
        </w:tc>
        <w:tc>
          <w:tcPr>
            <w:tcW w:type="dxa" w:w="3168"/>
          </w:tcPr>
          <w:p>
            <w:pPr>
              <w:spacing w:after="40"/>
            </w:pPr>
            <w:r>
              <w:rPr>
                <w:sz w:val="19"/>
              </w:rPr>
              <w:t>JUnit 5, Mockito, AssertJ</w:t>
            </w:r>
          </w:p>
        </w:tc>
        <w:tc>
          <w:tcPr>
            <w:tcW w:type="dxa" w:w="4968"/>
          </w:tcPr>
          <w:p>
            <w:pPr>
              <w:spacing w:after="40"/>
            </w:pPr>
            <w:r>
              <w:rPr>
                <w:sz w:val="19"/>
              </w:rPr>
              <w:t>153 tests across 24 test classes.</w:t>
            </w:r>
          </w:p>
        </w:tc>
      </w:tr>
    </w:tbl>
    <w:p>
      <w:pPr>
        <w:spacing w:after="40"/>
      </w:pPr>
    </w:p>
    <w:p>
      <w:pPr>
        <w:pStyle w:val="Heading2"/>
      </w:pPr>
      <w:r>
        <w:t>4.3 Package structure (onion)</w:t>
      </w:r>
    </w:p>
    <w:p>
      <w:r>
        <w:rPr>
          <w:b w:val="0"/>
          <w:i w:val="0"/>
        </w:rPr>
        <w:t>Dependencies point inwards only. Swapping a data source touches infrastructure/ and nothing else.</w:t>
      </w:r>
    </w:p>
    <w:p>
      <w:pPr>
        <w:spacing w:before="120" w:after="160"/>
        <w:ind w:left="317"/>
        <w:shd w:val="clear" w:fill="F2F4F8"/>
      </w:pPr>
      <w:r>
        <w:rPr>
          <w:rFonts w:ascii="Consolas" w:hAnsi="Consolas"/>
          <w:color w:val="223344"/>
          <w:sz w:val="17"/>
        </w:rPr>
        <w:t>com.banksystem.api</w:t>
        <w:br/>
      </w:r>
      <w:r>
        <w:rPr>
          <w:rFonts w:ascii="Consolas" w:hAnsi="Consolas"/>
          <w:color w:val="223344"/>
          <w:sz w:val="17"/>
        </w:rPr>
        <w:t xml:space="preserve">  domain/          core — no framework, no I/O</w:t>
        <w:br/>
      </w:r>
      <w:r>
        <w:rPr>
          <w:rFonts w:ascii="Consolas" w:hAnsi="Consolas"/>
          <w:color w:val="223344"/>
          <w:sz w:val="17"/>
        </w:rPr>
        <w:t xml:space="preserve">    model/         enquiry records; field names equal archival column names</w:t>
        <w:br/>
      </w:r>
      <w:r>
        <w:rPr>
          <w:rFonts w:ascii="Consolas" w:hAnsi="Consolas"/>
          <w:color w:val="223344"/>
          <w:sz w:val="17"/>
        </w:rPr>
        <w:t xml:space="preserve">    repository/    data-access ports (engine-agnostic interfaces)</w:t>
        <w:br/>
      </w:r>
      <w:r>
        <w:rPr>
          <w:rFonts w:ascii="Consolas" w:hAnsi="Consolas"/>
          <w:color w:val="223344"/>
          <w:sz w:val="17"/>
        </w:rPr>
        <w:t xml:space="preserve">    auth/          DirectoryAuthenticator, PasswordCipher ports</w:t>
        <w:br/>
      </w:r>
      <w:r>
        <w:rPr>
          <w:rFonts w:ascii="Consolas" w:hAnsi="Consolas"/>
          <w:color w:val="223344"/>
          <w:sz w:val="17"/>
        </w:rPr>
        <w:t xml:space="preserve">  application/     use-case services: paging, validation, not-found rules,</w:t>
        <w:br/>
      </w:r>
      <w:r>
        <w:rPr>
          <w:rFonts w:ascii="Consolas" w:hAnsi="Consolas"/>
          <w:color w:val="223344"/>
          <w:sz w:val="17"/>
        </w:rPr>
        <w:t xml:space="preserve">                   the logon flow, enquiry restrictions</w:t>
        <w:br/>
      </w:r>
      <w:r>
        <w:rPr>
          <w:rFonts w:ascii="Consolas" w:hAnsi="Consolas"/>
          <w:color w:val="223344"/>
          <w:sz w:val="17"/>
        </w:rPr>
        <w:t xml:space="preserve">  infrastructure/  adapters implementing the ports</w:t>
        <w:br/>
      </w:r>
      <w:r>
        <w:rPr>
          <w:rFonts w:ascii="Consolas" w:hAnsi="Consolas"/>
          <w:color w:val="223344"/>
          <w:sz w:val="17"/>
        </w:rPr>
        <w:t xml:space="preserve">    persistence/jdbc/   Jdbc*Repository (the denodo profile)</w:t>
        <w:br/>
      </w:r>
      <w:r>
        <w:rPr>
          <w:rFonts w:ascii="Consolas" w:hAnsi="Consolas"/>
          <w:color w:val="223344"/>
          <w:sz w:val="17"/>
        </w:rPr>
        <w:t xml:space="preserve">    persistence/mock/   Mock*Repository fixtures (the default profile)</w:t>
        <w:br/>
      </w:r>
      <w:r>
        <w:rPr>
          <w:rFonts w:ascii="Consolas" w:hAnsi="Consolas"/>
          <w:color w:val="223344"/>
          <w:sz w:val="17"/>
        </w:rPr>
        <w:t xml:space="preserve">    auth/               ActiveDirectoryAuthenticator, AES cipher, JWT issuer</w:t>
        <w:br/>
      </w:r>
      <w:r>
        <w:rPr>
          <w:rFonts w:ascii="Consolas" w:hAnsi="Consolas"/>
          <w:color w:val="223344"/>
          <w:sz w:val="17"/>
        </w:rPr>
        <w:t xml:space="preserve">    sqllog/             optional SQL audit log</w:t>
        <w:br/>
      </w:r>
      <w:r>
        <w:rPr>
          <w:rFonts w:ascii="Consolas" w:hAnsi="Consolas"/>
          <w:color w:val="223344"/>
          <w:sz w:val="17"/>
        </w:rPr>
        <w:t xml:space="preserve">    runtimeconfig/      hot-reloaded operator settings</w:t>
        <w:br/>
      </w:r>
      <w:r>
        <w:rPr>
          <w:rFonts w:ascii="Consolas" w:hAnsi="Consolas"/>
          <w:color w:val="223344"/>
          <w:sz w:val="17"/>
        </w:rPr>
        <w:t xml:space="preserve">  presentation/    thin @RestControllers, ApiExceptionHandler, security config</w:t>
      </w:r>
    </w:p>
    <w:p>
      <w:r>
        <w:rPr>
          <w:b w:val="0"/>
          <w:i w:val="0"/>
        </w:rPr>
        <w:t>Controllers hold no business rules: they bind HTTP parameters and delegate to an application service, and services depend only on domain ports. Domain records carry the archival column names verbatim, so rows bind straight into the UI grids with no mapping layer in between.</w:t>
      </w:r>
    </w:p>
    <w:p>
      <w:pPr>
        <w:pStyle w:val="Heading2"/>
      </w:pPr>
      <w:r>
        <w:t>4.4 Two runtime profiles</w:t>
      </w:r>
    </w:p>
    <w:tbl>
      <w:tblPr>
        <w:tblStyle w:val="TableGrid"/>
        <w:tblW w:type="auto" w:w="0"/>
        <w:jc w:val="left"/>
        <w:tblLook w:firstColumn="1" w:firstRow="1" w:lastColumn="0" w:lastRow="0" w:noHBand="0" w:noVBand="1" w:val="04A0"/>
      </w:tblPr>
      <w:tblGrid>
        <w:gridCol w:w="3216"/>
        <w:gridCol w:w="3216"/>
        <w:gridCol w:w="3216"/>
      </w:tblGrid>
      <w:tr>
        <w:tc>
          <w:tcPr>
            <w:tcW w:type="dxa" w:w="1728"/>
            <w:shd w:val="clear" w:fill="1F355E"/>
          </w:tcPr>
          <w:p>
            <w:pPr>
              <w:spacing w:after="40"/>
            </w:pPr>
            <w:r>
              <w:rPr>
                <w:b/>
                <w:color w:val="FFFFFF"/>
                <w:sz w:val="19"/>
              </w:rPr>
              <w:t>Profile</w:t>
            </w:r>
          </w:p>
        </w:tc>
        <w:tc>
          <w:tcPr>
            <w:tcW w:type="dxa" w:w="3744"/>
            <w:shd w:val="clear" w:fill="1F355E"/>
          </w:tcPr>
          <w:p>
            <w:pPr>
              <w:spacing w:after="40"/>
            </w:pPr>
            <w:r>
              <w:rPr>
                <w:b/>
                <w:color w:val="FFFFFF"/>
                <w:sz w:val="19"/>
              </w:rPr>
              <w:t>Data</w:t>
            </w:r>
          </w:p>
        </w:tc>
        <w:tc>
          <w:tcPr>
            <w:tcW w:type="dxa" w:w="4176"/>
            <w:shd w:val="clear" w:fill="1F355E"/>
          </w:tcPr>
          <w:p>
            <w:pPr>
              <w:spacing w:after="40"/>
            </w:pPr>
            <w:r>
              <w:rPr>
                <w:b/>
                <w:color w:val="FFFFFF"/>
                <w:sz w:val="19"/>
              </w:rPr>
              <w:t>Used for</w:t>
            </w:r>
          </w:p>
        </w:tc>
      </w:tr>
      <w:tr>
        <w:tc>
          <w:tcPr>
            <w:tcW w:type="dxa" w:w="1728"/>
          </w:tcPr>
          <w:p>
            <w:pPr>
              <w:spacing w:after="40"/>
            </w:pPr>
            <w:r>
              <w:rPr>
                <w:sz w:val="19"/>
              </w:rPr>
              <w:t>mock (default)</w:t>
            </w:r>
          </w:p>
        </w:tc>
        <w:tc>
          <w:tcPr>
            <w:tcW w:type="dxa" w:w="3744"/>
          </w:tcPr>
          <w:p>
            <w:pPr>
              <w:spacing w:after="40"/>
            </w:pPr>
            <w:r>
              <w:rPr>
                <w:sz w:val="19"/>
              </w:rPr>
              <w:t>In-memory fixtures shaped exactly like archival rows</w:t>
            </w:r>
          </w:p>
        </w:tc>
        <w:tc>
          <w:tcPr>
            <w:tcW w:type="dxa" w:w="4176"/>
          </w:tcPr>
          <w:p>
            <w:pPr>
              <w:spacing w:after="40"/>
            </w:pPr>
            <w:r>
              <w:rPr>
                <w:sz w:val="19"/>
              </w:rPr>
              <w:t>Demonstrations, UI work, and proving a new PC can run the jar before any database is configured.</w:t>
            </w:r>
          </w:p>
        </w:tc>
      </w:tr>
      <w:tr>
        <w:tc>
          <w:tcPr>
            <w:tcW w:type="dxa" w:w="1728"/>
            <w:shd w:val="clear" w:fill="F5F7FA"/>
          </w:tcPr>
          <w:p>
            <w:pPr>
              <w:spacing w:after="40"/>
            </w:pPr>
            <w:r>
              <w:rPr>
                <w:sz w:val="19"/>
              </w:rPr>
              <w:t>denodo</w:t>
            </w:r>
          </w:p>
        </w:tc>
        <w:tc>
          <w:tcPr>
            <w:tcW w:type="dxa" w:w="3744"/>
            <w:shd w:val="clear" w:fill="F5F7FA"/>
          </w:tcPr>
          <w:p>
            <w:pPr>
              <w:spacing w:after="40"/>
            </w:pPr>
            <w:r>
              <w:rPr>
                <w:sz w:val="19"/>
              </w:rPr>
              <w:t>The real Denodo connection (and optionally the statement Oracle)</w:t>
            </w:r>
          </w:p>
        </w:tc>
        <w:tc>
          <w:tcPr>
            <w:tcW w:type="dxa" w:w="4176"/>
            <w:shd w:val="clear" w:fill="F5F7FA"/>
          </w:tcPr>
          <w:p>
            <w:pPr>
              <w:spacing w:after="40"/>
            </w:pPr>
            <w:r>
              <w:rPr>
                <w:sz w:val="19"/>
              </w:rPr>
              <w:t>Every real deployment.</w:t>
            </w:r>
          </w:p>
        </w:tc>
      </w:tr>
    </w:tbl>
    <w:p>
      <w:pPr>
        <w:spacing w:after="40"/>
      </w:pPr>
    </w:p>
    <w:p>
      <w:pPr>
        <w:spacing w:before="80" w:after="200"/>
        <w:ind w:left="216"/>
        <w:shd w:val="clear" w:fill="EEF2F8"/>
      </w:pPr>
      <w:r>
        <w:rPr>
          <w:b/>
          <w:color w:val="1F355E"/>
          <w:sz w:val="19"/>
        </w:rPr>
        <w:t xml:space="preserve">Caution:  </w:t>
      </w:r>
      <w:r>
        <w:rPr>
          <w:i/>
          <w:sz w:val="19"/>
        </w:rPr>
        <w:t>the mock repositories are not a test of the real ones. They match on Java objects, not SQL, so a query defect can pass every mock-based check. Two production defects have already been traced to exactly this gap; §11 describes how that is compensated for.</w:t>
      </w:r>
    </w:p>
    <w:p>
      <w:r>
        <w:br w:type="page"/>
      </w:r>
    </w:p>
    <w:p>
      <w:pPr>
        <w:pStyle w:val="Heading1"/>
      </w:pPr>
      <w:r>
        <w:t>5. Data architecture</w:t>
      </w:r>
    </w:p>
    <w:p>
      <w:pPr>
        <w:pStyle w:val="Heading2"/>
      </w:pPr>
      <w:r>
        <w:t>5.1 The three sources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792"/>
            <w:shd w:val="clear" w:fill="1F355E"/>
          </w:tcPr>
          <w:p>
            <w:pPr>
              <w:spacing w:after="40"/>
            </w:pPr>
            <w:r>
              <w:rPr>
                <w:b/>
                <w:color w:val="FFFFFF"/>
                <w:sz w:val="19"/>
              </w:rPr>
              <w:t>#</w:t>
            </w:r>
          </w:p>
        </w:tc>
        <w:tc>
          <w:tcPr>
            <w:tcW w:type="dxa" w:w="2376"/>
            <w:shd w:val="clear" w:fill="1F355E"/>
          </w:tcPr>
          <w:p>
            <w:pPr>
              <w:spacing w:after="40"/>
            </w:pPr>
            <w:r>
              <w:rPr>
                <w:b/>
                <w:color w:val="FFFFFF"/>
                <w:sz w:val="19"/>
              </w:rPr>
              <w:t>Source</w:t>
            </w:r>
          </w:p>
        </w:tc>
        <w:tc>
          <w:tcPr>
            <w:tcW w:type="dxa" w:w="4392"/>
            <w:shd w:val="clear" w:fill="1F355E"/>
          </w:tcPr>
          <w:p>
            <w:pPr>
              <w:spacing w:after="40"/>
            </w:pPr>
            <w:r>
              <w:rPr>
                <w:b/>
                <w:color w:val="FFFFFF"/>
                <w:sz w:val="19"/>
              </w:rPr>
              <w:t>Role</w:t>
            </w:r>
          </w:p>
        </w:tc>
        <w:tc>
          <w:tcPr>
            <w:tcW w:type="dxa" w:w="2088"/>
            <w:shd w:val="clear" w:fill="1F355E"/>
          </w:tcPr>
          <w:p>
            <w:pPr>
              <w:spacing w:after="40"/>
            </w:pPr>
            <w:r>
              <w:rPr>
                <w:b/>
                <w:color w:val="FFFFFF"/>
                <w:sz w:val="19"/>
              </w:rPr>
              <w:t>Status</w:t>
            </w:r>
          </w:p>
        </w:tc>
      </w:tr>
      <w:tr>
        <w:tc>
          <w:tcPr>
            <w:tcW w:type="dxa" w:w="792"/>
          </w:tcPr>
          <w:p>
            <w:pPr>
              <w:spacing w:after="40"/>
            </w:pPr>
            <w:r>
              <w:rPr>
                <w:sz w:val="19"/>
              </w:rPr>
              <w:t>DB #1</w:t>
            </w:r>
          </w:p>
        </w:tc>
        <w:tc>
          <w:tcPr>
            <w:tcW w:type="dxa" w:w="2376"/>
          </w:tcPr>
          <w:p>
            <w:pPr>
              <w:spacing w:after="40"/>
            </w:pPr>
            <w:r>
              <w:rPr>
                <w:sz w:val="19"/>
              </w:rPr>
              <w:t>BM archival schema, exposed as Denodo views over Hive/Impala</w:t>
            </w:r>
          </w:p>
        </w:tc>
        <w:tc>
          <w:tcPr>
            <w:tcW w:type="dxa" w:w="4392"/>
          </w:tcPr>
          <w:p>
            <w:pPr>
              <w:spacing w:after="40"/>
            </w:pPr>
            <w:r>
              <w:rPr>
                <w:sz w:val="19"/>
              </w:rPr>
              <w:t>Every screen. 39 views are referenced by the repositories.</w:t>
            </w:r>
          </w:p>
        </w:tc>
        <w:tc>
          <w:tcPr>
            <w:tcW w:type="dxa" w:w="2088"/>
          </w:tcPr>
          <w:p>
            <w:pPr>
              <w:spacing w:after="40"/>
            </w:pPr>
            <w:r>
              <w:rPr>
                <w:sz w:val="19"/>
              </w:rPr>
              <w:t>Live</w:t>
            </w:r>
          </w:p>
        </w:tc>
      </w:tr>
      <w:tr>
        <w:tc>
          <w:tcPr>
            <w:tcW w:type="dxa" w:w="792"/>
            <w:shd w:val="clear" w:fill="F5F7FA"/>
          </w:tcPr>
          <w:p>
            <w:pPr>
              <w:spacing w:after="40"/>
            </w:pPr>
            <w:r>
              <w:rPr>
                <w:sz w:val="19"/>
              </w:rPr>
              <w:t>DB #2</w:t>
            </w:r>
          </w:p>
        </w:tc>
        <w:tc>
          <w:tcPr>
            <w:tcW w:type="dxa" w:w="2376"/>
            <w:shd w:val="clear" w:fill="F5F7FA"/>
          </w:tcPr>
          <w:p>
            <w:pPr>
              <w:spacing w:after="40"/>
            </w:pPr>
            <w:r>
              <w:rPr>
                <w:sz w:val="19"/>
              </w:rPr>
              <w:t>Online / Finacle gateway</w:t>
            </w:r>
          </w:p>
        </w:tc>
        <w:tc>
          <w:tcPr>
            <w:tcW w:type="dxa" w:w="4392"/>
            <w:shd w:val="clear" w:fill="F5F7FA"/>
          </w:tcPr>
          <w:p>
            <w:pPr>
              <w:spacing w:after="40"/>
            </w:pPr>
            <w:r>
              <w:rPr>
                <w:sz w:val="19"/>
              </w:rPr>
              <w:t>Originally the live side. It turned out to be the same Denodo server, so the two connections were merged; only the card screens' customer header still genuinely needs a gateway.</w:t>
            </w:r>
          </w:p>
        </w:tc>
        <w:tc>
          <w:tcPr>
            <w:tcW w:type="dxa" w:w="2088"/>
            <w:shd w:val="clear" w:fill="F5F7FA"/>
          </w:tcPr>
          <w:p>
            <w:pPr>
              <w:spacing w:after="40"/>
            </w:pPr>
            <w:r>
              <w:rPr>
                <w:sz w:val="19"/>
              </w:rPr>
              <w:t>Merged into DB #1; the residual gap degrades gracefully</w:t>
            </w:r>
          </w:p>
        </w:tc>
      </w:tr>
      <w:tr>
        <w:tc>
          <w:tcPr>
            <w:tcW w:type="dxa" w:w="792"/>
          </w:tcPr>
          <w:p>
            <w:pPr>
              <w:spacing w:after="40"/>
            </w:pPr>
            <w:r>
              <w:rPr>
                <w:sz w:val="19"/>
              </w:rPr>
              <w:t>DB #3</w:t>
            </w:r>
          </w:p>
        </w:tc>
        <w:tc>
          <w:tcPr>
            <w:tcW w:type="dxa" w:w="2376"/>
          </w:tcPr>
          <w:p>
            <w:pPr>
              <w:spacing w:after="40"/>
            </w:pPr>
            <w:r>
              <w:rPr>
                <w:sz w:val="19"/>
              </w:rPr>
              <w:t>Statement archive on a separate Oracle instance</w:t>
            </w:r>
          </w:p>
        </w:tc>
        <w:tc>
          <w:tcPr>
            <w:tcW w:type="dxa" w:w="4392"/>
          </w:tcPr>
          <w:p>
            <w:pPr>
              <w:spacing w:after="40"/>
            </w:pPr>
            <w:r>
              <w:rPr>
                <w:sz w:val="19"/>
              </w:rPr>
              <w:t>Historical Statement and PDP Statement only — it replaces the legacy's Btrieve statement index and its zipped pre-rendered pages.</w:t>
            </w:r>
          </w:p>
        </w:tc>
        <w:tc>
          <w:tcPr>
            <w:tcW w:type="dxa" w:w="2088"/>
          </w:tcPr>
          <w:p>
            <w:pPr>
              <w:spacing w:after="40"/>
            </w:pPr>
            <w:r>
              <w:rPr>
                <w:sz w:val="19"/>
              </w:rPr>
              <w:t>Optional, off by default</w:t>
            </w:r>
          </w:p>
        </w:tc>
      </w:tr>
    </w:tbl>
    <w:p>
      <w:pPr>
        <w:spacing w:after="40"/>
      </w:pPr>
    </w:p>
    <w:p>
      <w:pPr>
        <w:pStyle w:val="Heading2"/>
      </w:pPr>
      <w:r>
        <w:t>5.2 The BankingDate snapshot</w:t>
      </w:r>
    </w:p>
    <w:p>
      <w:r>
        <w:rPr>
          <w:b w:val="0"/>
          <w:i w:val="0"/>
        </w:rPr>
        <w:t>The archival extract is a restore, not a live schema. Every view carries a BankingDate column — the ETL's "data restored" date, and key part 1 on 98 of the 106 archival views — and every query the application issues filters on it, so one value pins the whole application to a single snapshot:</w:t>
      </w:r>
    </w:p>
    <w:p>
      <w:pPr>
        <w:spacing w:before="120" w:after="160"/>
        <w:ind w:left="317"/>
        <w:shd w:val="clear" w:fill="F2F4F8"/>
      </w:pPr>
      <w:r>
        <w:rPr>
          <w:rFonts w:ascii="Consolas" w:hAnsi="Consolas"/>
          <w:color w:val="223344"/>
          <w:sz w:val="17"/>
        </w:rPr>
        <w:t>WHERE ... AND &lt;alias&gt;.BankingDate = :bankingDate</w:t>
      </w:r>
    </w:p>
    <w:p>
      <w:r>
        <w:rPr>
          <w:b w:val="0"/>
          <w:i w:val="0"/>
        </w:rPr>
        <w:t>The value is an operator setting, not a build-time constant: it lives in bank-runtime.properties next to the jar and can be changed while the application is running. Measurements recorded in docs/DENODO-VIEWS.md show 29 views hold a single BankingDate value while six of the BM views span 1992-2009, which is why the filter binds one configured date rather than taking a MAX.</w:t>
      </w:r>
    </w:p>
    <w:p>
      <w:pPr>
        <w:pStyle w:val="Heading2"/>
      </w:pPr>
      <w:r>
        <w:t>5.3 Environment prefixing</w:t>
      </w:r>
    </w:p>
    <w:p>
      <w:r>
        <w:rPr>
          <w:b w:val="0"/>
          <w:i w:val="0"/>
        </w:rPr>
        <w:t>The repositories write the bare legacy table names — stcusttab, gld0data, thd0data. SqlTablePrefixer rewrites each FROM/JOIN at runtime with the environment prefix from bank.archival-db.table-prefix (staging default bv_impala_stg_bankmaster_). Moving from staging to production changes one property; no SQL changes.</w:t>
      </w:r>
    </w:p>
    <w:p>
      <w:pPr>
        <w:pStyle w:val="Heading2"/>
      </w:pPr>
      <w:r>
        <w:t>5.4 Legacy data encodings</w:t>
      </w:r>
    </w:p>
    <w:p>
      <w:r>
        <w:rPr>
          <w:b w:val="0"/>
          <w:i w:val="0"/>
        </w:rPr>
        <w:t>The archival extract preserves several BankMaster storage conventions. Each is decoded in one place and documented where it is decoded, because none of them is guessable from a column type:</w:t>
      </w:r>
    </w:p>
    <w:tbl>
      <w:tblPr>
        <w:tblStyle w:val="TableGrid"/>
        <w:tblW w:type="auto" w:w="0"/>
        <w:jc w:val="left"/>
        <w:tblLook w:firstColumn="1" w:firstRow="1" w:lastColumn="0" w:lastRow="0" w:noHBand="0" w:noVBand="1" w:val="04A0"/>
      </w:tblPr>
      <w:tblGrid>
        <w:gridCol w:w="3216"/>
        <w:gridCol w:w="3216"/>
        <w:gridCol w:w="3216"/>
      </w:tblGrid>
      <w:tr>
        <w:tc>
          <w:tcPr>
            <w:tcW w:type="dxa" w:w="2232"/>
            <w:shd w:val="clear" w:fill="1F355E"/>
          </w:tcPr>
          <w:p>
            <w:pPr>
              <w:spacing w:after="40"/>
            </w:pPr>
            <w:r>
              <w:rPr>
                <w:b/>
                <w:color w:val="FFFFFF"/>
                <w:sz w:val="19"/>
              </w:rPr>
              <w:t>Convention</w:t>
            </w:r>
          </w:p>
        </w:tc>
        <w:tc>
          <w:tcPr>
            <w:tcW w:type="dxa" w:w="4896"/>
            <w:shd w:val="clear" w:fill="1F355E"/>
          </w:tcPr>
          <w:p>
            <w:pPr>
              <w:spacing w:after="40"/>
            </w:pPr>
            <w:r>
              <w:rPr>
                <w:b/>
                <w:color w:val="FFFFFF"/>
                <w:sz w:val="19"/>
              </w:rPr>
              <w:t>What it means</w:t>
            </w:r>
          </w:p>
        </w:tc>
        <w:tc>
          <w:tcPr>
            <w:tcW w:type="dxa" w:w="2520"/>
            <w:shd w:val="clear" w:fill="1F355E"/>
          </w:tcPr>
          <w:p>
            <w:pPr>
              <w:spacing w:after="40"/>
            </w:pPr>
            <w:r>
              <w:rPr>
                <w:b/>
                <w:color w:val="FFFFFF"/>
                <w:sz w:val="19"/>
              </w:rPr>
              <w:t>Handled in</w:t>
            </w:r>
          </w:p>
        </w:tc>
      </w:tr>
      <w:tr>
        <w:tc>
          <w:tcPr>
            <w:tcW w:type="dxa" w:w="2232"/>
          </w:tcPr>
          <w:p>
            <w:pPr>
              <w:spacing w:after="40"/>
            </w:pPr>
            <w:r>
              <w:rPr>
                <w:sz w:val="19"/>
              </w:rPr>
              <w:t>Overpunch-signed amounts</w:t>
            </w:r>
          </w:p>
        </w:tc>
        <w:tc>
          <w:tcPr>
            <w:tcW w:type="dxa" w:w="4896"/>
          </w:tcPr>
          <w:p>
            <w:pPr>
              <w:spacing w:after="40"/>
            </w:pPr>
            <w:r>
              <w:rPr>
                <w:sz w:val="19"/>
              </w:rPr>
              <w:t>The sign of a numeric field is folded into its last character.</w:t>
            </w:r>
          </w:p>
        </w:tc>
        <w:tc>
          <w:tcPr>
            <w:tcW w:type="dxa" w:w="2520"/>
          </w:tcPr>
          <w:p>
            <w:pPr>
              <w:spacing w:after="40"/>
            </w:pPr>
            <w:r>
              <w:rPr>
                <w:sz w:val="19"/>
              </w:rPr>
              <w:t>BmForms</w:t>
            </w:r>
          </w:p>
        </w:tc>
      </w:tr>
      <w:tr>
        <w:tc>
          <w:tcPr>
            <w:tcW w:type="dxa" w:w="2232"/>
            <w:shd w:val="clear" w:fill="F5F7FA"/>
          </w:tcPr>
          <w:p>
            <w:pPr>
              <w:spacing w:after="40"/>
            </w:pPr>
            <w:r>
              <w:rPr>
                <w:sz w:val="19"/>
              </w:rPr>
              <w:t>Packed customer numbers and dates</w:t>
            </w:r>
          </w:p>
        </w:tc>
        <w:tc>
          <w:tcPr>
            <w:tcW w:type="dxa" w:w="4896"/>
            <w:shd w:val="clear" w:fill="F5F7FA"/>
          </w:tcPr>
          <w:p>
            <w:pPr>
              <w:spacing w:after="40"/>
            </w:pPr>
            <w:r>
              <w:rPr>
                <w:sz w:val="19"/>
              </w:rPr>
              <w:t>Fields stored in a packed form recovered from the cbcmssrv disassembly.</w:t>
            </w:r>
          </w:p>
        </w:tc>
        <w:tc>
          <w:tcPr>
            <w:tcW w:type="dxa" w:w="2520"/>
            <w:shd w:val="clear" w:fill="F5F7FA"/>
          </w:tcPr>
          <w:p>
            <w:pPr>
              <w:spacing w:after="40"/>
            </w:pPr>
            <w:r>
              <w:rPr>
                <w:sz w:val="19"/>
              </w:rPr>
              <w:t>BmForms</w:t>
            </w:r>
          </w:p>
        </w:tc>
      </w:tr>
      <w:tr>
        <w:tc>
          <w:tcPr>
            <w:tcW w:type="dxa" w:w="2232"/>
          </w:tcPr>
          <w:p>
            <w:pPr>
              <w:spacing w:after="40"/>
            </w:pPr>
            <w:r>
              <w:rPr>
                <w:sz w:val="19"/>
              </w:rPr>
              <w:t>Quote-wrapped empties</w:t>
            </w:r>
          </w:p>
        </w:tc>
        <w:tc>
          <w:tcPr>
            <w:tcW w:type="dxa" w:w="4896"/>
          </w:tcPr>
          <w:p>
            <w:pPr>
              <w:spacing w:after="40"/>
            </w:pPr>
            <w:r>
              <w:rPr>
                <w:sz w:val="19"/>
              </w:rPr>
              <w:t>An empty character column arrives as the two-character string "".</w:t>
            </w:r>
          </w:p>
        </w:tc>
        <w:tc>
          <w:tcPr>
            <w:tcW w:type="dxa" w:w="2520"/>
          </w:tcPr>
          <w:p>
            <w:pPr>
              <w:spacing w:after="40"/>
            </w:pPr>
            <w:r>
              <w:rPr>
                <w:sz w:val="19"/>
              </w:rPr>
              <w:t>ArchivalText.unquote</w:t>
            </w:r>
          </w:p>
        </w:tc>
      </w:tr>
      <w:tr>
        <w:tc>
          <w:tcPr>
            <w:tcW w:type="dxa" w:w="2232"/>
            <w:shd w:val="clear" w:fill="F5F7FA"/>
          </w:tcPr>
          <w:p>
            <w:pPr>
              <w:spacing w:after="40"/>
            </w:pPr>
            <w:r>
              <w:rPr>
                <w:sz w:val="19"/>
              </w:rPr>
              <w:t>Amounts already in major units</w:t>
            </w:r>
          </w:p>
        </w:tc>
        <w:tc>
          <w:tcPr>
            <w:tcW w:type="dxa" w:w="4896"/>
            <w:shd w:val="clear" w:fill="F5F7FA"/>
          </w:tcPr>
          <w:p>
            <w:pPr>
              <w:spacing w:after="40"/>
            </w:pPr>
            <w:r>
              <w:rPr>
                <w:sz w:val="19"/>
              </w:rPr>
              <w:t>The ETL scaled them; the workbook's "currency dependent" note describes the pre-ETL state.</w:t>
            </w:r>
          </w:p>
        </w:tc>
        <w:tc>
          <w:tcPr>
            <w:tcW w:type="dxa" w:w="2520"/>
            <w:shd w:val="clear" w:fill="F5F7FA"/>
          </w:tcPr>
          <w:p>
            <w:pPr>
              <w:spacing w:after="40"/>
            </w:pPr>
            <w:r>
              <w:rPr>
                <w:sz w:val="19"/>
              </w:rPr>
              <w:t>No division applied</w:t>
            </w:r>
          </w:p>
        </w:tc>
      </w:tr>
      <w:tr>
        <w:tc>
          <w:tcPr>
            <w:tcW w:type="dxa" w:w="2232"/>
          </w:tcPr>
          <w:p>
            <w:pPr>
              <w:spacing w:after="40"/>
            </w:pPr>
            <w:r>
              <w:rPr>
                <w:sz w:val="19"/>
              </w:rPr>
              <w:t>isoCurrCode is ISO alpha</w:t>
            </w:r>
          </w:p>
        </w:tc>
        <w:tc>
          <w:tcPr>
            <w:tcW w:type="dxa" w:w="4896"/>
          </w:tcPr>
          <w:p>
            <w:pPr>
              <w:spacing w:after="40"/>
            </w:pPr>
            <w:r>
              <w:rPr>
                <w:sz w:val="19"/>
              </w:rPr>
              <w:t>stctltabXC.isoCurrCode holds SAR / USD, not a numeric code.</w:t>
            </w:r>
          </w:p>
        </w:tc>
        <w:tc>
          <w:tcPr>
            <w:tcW w:type="dxa" w:w="2520"/>
          </w:tcPr>
          <w:p>
            <w:pPr>
              <w:spacing w:after="40"/>
            </w:pPr>
            <w:r>
              <w:rPr>
                <w:sz w:val="19"/>
              </w:rPr>
              <w:t>Reference data mapping</w:t>
            </w:r>
          </w:p>
        </w:tc>
      </w:tr>
      <w:tr>
        <w:tc>
          <w:tcPr>
            <w:tcW w:type="dxa" w:w="2232"/>
            <w:shd w:val="clear" w:fill="F5F7FA"/>
          </w:tcPr>
          <w:p>
            <w:pPr>
              <w:spacing w:after="40"/>
            </w:pPr>
            <w:r>
              <w:rPr>
                <w:sz w:val="19"/>
              </w:rPr>
              <w:t>stcardtab.custNo is shifted</w:t>
            </w:r>
          </w:p>
        </w:tc>
        <w:tc>
          <w:tcPr>
            <w:tcW w:type="dxa" w:w="4896"/>
            <w:shd w:val="clear" w:fill="F5F7FA"/>
          </w:tcPr>
          <w:p>
            <w:pPr>
              <w:spacing w:after="40"/>
            </w:pPr>
            <w:r>
              <w:rPr>
                <w:sz w:val="19"/>
              </w:rPr>
              <w:t>Card customer numbers sit one place left of stcusttab's (0123456 vs 1234560) — bad source data, not a mapping error.</w:t>
            </w:r>
          </w:p>
        </w:tc>
        <w:tc>
          <w:tcPr>
            <w:tcW w:type="dxa" w:w="2520"/>
            <w:shd w:val="clear" w:fill="F5F7FA"/>
          </w:tcPr>
          <w:p>
            <w:pPr>
              <w:spacing w:after="40"/>
            </w:pPr>
            <w:r>
              <w:rPr>
                <w:sz w:val="19"/>
              </w:rPr>
              <w:t>Documented, deliberately not patched in SQL</w:t>
            </w:r>
          </w:p>
        </w:tc>
      </w:tr>
    </w:tbl>
    <w:p>
      <w:pPr>
        <w:spacing w:after="40"/>
      </w:pPr>
    </w:p>
    <w:p>
      <w:pPr>
        <w:pStyle w:val="Heading2"/>
      </w:pPr>
      <w:r>
        <w:t>5.5 Missing views</w:t>
      </w:r>
    </w:p>
    <w:p>
      <w:r>
        <w:rPr>
          <w:b w:val="0"/>
          <w:i w:val="0"/>
        </w:rPr>
        <w:t>Three of the 39 views do not exist in the Denodo environment. None breaks a screen; each read sits in its own try/catch and falls back to a warning in the log:</w:t>
      </w:r>
    </w:p>
    <w:tbl>
      <w:tblPr>
        <w:tblStyle w:val="TableGrid"/>
        <w:tblW w:type="auto" w:w="0"/>
        <w:jc w:val="left"/>
        <w:tblLook w:firstColumn="1" w:firstRow="1" w:lastColumn="0" w:lastRow="0" w:noHBand="0" w:noVBand="1" w:val="04A0"/>
      </w:tblPr>
      <w:tblGrid>
        <w:gridCol w:w="4824"/>
        <w:gridCol w:w="4824"/>
      </w:tblGrid>
      <w:tr>
        <w:tc>
          <w:tcPr>
            <w:tcW w:type="dxa" w:w="2016"/>
            <w:shd w:val="clear" w:fill="1F355E"/>
          </w:tcPr>
          <w:p>
            <w:pPr>
              <w:spacing w:after="40"/>
            </w:pPr>
            <w:r>
              <w:rPr>
                <w:b/>
                <w:color w:val="FFFFFF"/>
                <w:sz w:val="19"/>
              </w:rPr>
              <w:t>View</w:t>
            </w:r>
          </w:p>
        </w:tc>
        <w:tc>
          <w:tcPr>
            <w:tcW w:type="dxa" w:w="7632"/>
            <w:shd w:val="clear" w:fill="1F355E"/>
          </w:tcPr>
          <w:p>
            <w:pPr>
              <w:spacing w:after="40"/>
            </w:pPr>
            <w:r>
              <w:rPr>
                <w:b/>
                <w:color w:val="FFFFFF"/>
                <w:sz w:val="19"/>
              </w:rPr>
              <w:t>Effect</w:t>
            </w:r>
          </w:p>
        </w:tc>
      </w:tr>
      <w:tr>
        <w:tc>
          <w:tcPr>
            <w:tcW w:type="dxa" w:w="2016"/>
          </w:tcPr>
          <w:p>
            <w:pPr>
              <w:spacing w:after="40"/>
            </w:pPr>
            <w:r>
              <w:rPr>
                <w:sz w:val="19"/>
              </w:rPr>
              <w:t>bkd0data</w:t>
            </w:r>
          </w:p>
        </w:tc>
        <w:tc>
          <w:tcPr>
            <w:tcW w:type="dxa" w:w="7632"/>
          </w:tcPr>
          <w:p>
            <w:pPr>
              <w:spacing w:after="40"/>
            </w:pPr>
            <w:r>
              <w:rPr>
                <w:sz w:val="19"/>
              </w:rPr>
              <w:t>Blocked Amount Breakup loses source 3 (other BM blocking).</w:t>
            </w:r>
          </w:p>
        </w:tc>
      </w:tr>
      <w:tr>
        <w:tc>
          <w:tcPr>
            <w:tcW w:type="dxa" w:w="2016"/>
            <w:shd w:val="clear" w:fill="F5F7FA"/>
          </w:tcPr>
          <w:p>
            <w:pPr>
              <w:spacing w:after="40"/>
            </w:pPr>
            <w:r>
              <w:rPr>
                <w:sz w:val="19"/>
              </w:rPr>
              <w:t>ccarrblk</w:t>
            </w:r>
          </w:p>
        </w:tc>
        <w:tc>
          <w:tcPr>
            <w:tcW w:type="dxa" w:w="7632"/>
            <w:shd w:val="clear" w:fill="F5F7FA"/>
          </w:tcPr>
          <w:p>
            <w:pPr>
              <w:spacing w:after="40"/>
            </w:pPr>
            <w:r>
              <w:rPr>
                <w:sz w:val="19"/>
              </w:rPr>
              <w:t>Blocked Amount Breakup loses source 4 (credit-card arrear blocks).</w:t>
            </w:r>
          </w:p>
        </w:tc>
      </w:tr>
      <w:tr>
        <w:tc>
          <w:tcPr>
            <w:tcW w:type="dxa" w:w="2016"/>
          </w:tcPr>
          <w:p>
            <w:pPr>
              <w:spacing w:after="40"/>
            </w:pPr>
            <w:r>
              <w:rPr>
                <w:sz w:val="19"/>
              </w:rPr>
              <w:t>stswiftlog</w:t>
            </w:r>
          </w:p>
        </w:tc>
        <w:tc>
          <w:tcPr>
            <w:tcW w:type="dxa" w:w="7632"/>
          </w:tcPr>
          <w:p>
            <w:pPr>
              <w:spacing w:after="40"/>
            </w:pPr>
            <w:r>
              <w:rPr>
                <w:sz w:val="19"/>
              </w:rPr>
              <w:t>Transfer Detail's pending-SWIFT-amendment guard never fires.</w:t>
            </w:r>
          </w:p>
        </w:tc>
      </w:tr>
    </w:tbl>
    <w:p>
      <w:pPr>
        <w:spacing w:after="40"/>
      </w:pPr>
    </w:p>
    <w:p>
      <w:r>
        <w:rPr>
          <w:b w:val="0"/>
          <w:i w:val="0"/>
        </w:rPr>
        <w:t>The one user-visible symptom: on Blocked Amount Breakup the total tile comes from the gld0data header and is independent of the detail rows, so for an account carrying one of those blocks the total will exceed the sum of the rows shown, with nothing on screen explaining the difference.</w:t>
      </w:r>
    </w:p>
    <w:p>
      <w:r>
        <w:br w:type="page"/>
      </w:r>
    </w:p>
    <w:p>
      <w:pPr>
        <w:pStyle w:val="Heading1"/>
      </w:pPr>
      <w:r>
        <w:t>6. Security</w:t>
      </w:r>
    </w:p>
    <w:p>
      <w:pPr>
        <w:pStyle w:val="Heading2"/>
      </w:pPr>
      <w:r>
        <w:t>6.1 Sign-on</w:t>
      </w:r>
    </w:p>
    <w:p>
      <w:r>
        <w:rPr>
          <w:b w:val="0"/>
          <w:i w:val="0"/>
        </w:rPr>
        <w:t>The login path was ported from an existing in-house authentication slice and has four stages:</w:t>
      </w:r>
    </w:p>
    <w:p>
      <w:pPr>
        <w:pStyle w:val="ListBullet"/>
        <w:spacing w:after="60"/>
        <w:ind w:left="360"/>
      </w:pPr>
      <w:r>
        <w:t>The SPA encrypts the password with AES using a passphrase shared with the API, so the plaintext does not cross the wire. This is transport obfuscation; TLS remains the real control.</w:t>
      </w:r>
    </w:p>
    <w:p>
      <w:pPr>
        <w:pStyle w:val="ListBullet"/>
        <w:spacing w:after="60"/>
        <w:ind w:left="360"/>
      </w:pPr>
      <w:r>
        <w:t>The API verifies the credentials with an Active Directory bind (bank.ldap.*). It is off by default so a machine with no domain still works on the local fallback ladder; a directory that answers "wrong password" is always final, regardless of the fallback setting.</w:t>
      </w:r>
    </w:p>
    <w:p>
      <w:pPr>
        <w:pStyle w:val="ListBullet"/>
        <w:spacing w:after="60"/>
        <w:ind w:left="360"/>
      </w:pPr>
      <w:r>
        <w:t>The user is then gated against an allow-list held in bank-runtime.properties. Blank means every authenticated user is admitted — a development convenience only.</w:t>
      </w:r>
    </w:p>
    <w:p>
      <w:pPr>
        <w:pStyle w:val="ListBullet"/>
        <w:spacing w:after="60"/>
        <w:ind w:left="360"/>
      </w:pPr>
      <w:r>
        <w:t>On success the API issues an HS256 JWT, which the SPA sends as a Bearer token on every /api call; Spring Security's resource server validates it.</w:t>
      </w:r>
    </w:p>
    <w:p>
      <w:r>
        <w:rPr>
          <w:b w:val="0"/>
          <w:i w:val="0"/>
        </w:rPr>
        <w:t>The token has a 15-minute lifetime and slides: any authenticated call past the halfway mark returns a refreshed token in an X-Refresh-Token header, which the SPA adopts. An operator who is working is never logged out; the clock only runs down during genuine inactivity.</w:t>
      </w:r>
    </w:p>
    <w:p>
      <w:pPr>
        <w:spacing w:before="80" w:after="200"/>
        <w:ind w:left="216"/>
        <w:shd w:val="clear" w:fill="EEF2F8"/>
      </w:pPr>
      <w:r>
        <w:rPr>
          <w:b/>
          <w:color w:val="1F355E"/>
          <w:sz w:val="19"/>
        </w:rPr>
        <w:t xml:space="preserve">Interim:  </w:t>
      </w:r>
      <w:r>
        <w:rPr>
          <w:i/>
          <w:sz w:val="19"/>
        </w:rPr>
        <w:t>every authenticated user currently receives a single admin authority containing all the ~NN capability codes the screens gate on — except ~99, the legacy "enquiry-only user" marker, which disables customer search and must not be granted. Per-user authorities await an agreed mapping (§12).</w:t>
      </w:r>
    </w:p>
    <w:p>
      <w:pPr>
        <w:pStyle w:val="Heading2"/>
      </w:pPr>
      <w:r>
        <w:t>6.2 Data handling</w:t>
      </w:r>
    </w:p>
    <w:p>
      <w:pPr>
        <w:pStyle w:val="ListBullet"/>
        <w:spacing w:after="60"/>
        <w:ind w:left="360"/>
      </w:pPr>
      <w:r>
        <w:t>All pools are read-only and every statement is a SELECT.</w:t>
      </w:r>
    </w:p>
    <w:p>
      <w:pPr>
        <w:pStyle w:val="ListBullet"/>
        <w:spacing w:after="60"/>
        <w:ind w:left="360"/>
      </w:pPr>
      <w:r>
        <w:t>An unexpected failure never returns a stack trace to the browser. ApiExceptionHandler mints a six-character reference from an alphabet with no vowels and no 0/O or 1/I so it survives being read aloud, returns it to the SPA, and logs the exception against it.</w:t>
      </w:r>
    </w:p>
    <w:p>
      <w:pPr>
        <w:pStyle w:val="ListBullet"/>
        <w:spacing w:after="60"/>
        <w:ind w:left="360"/>
      </w:pPr>
      <w:r>
        <w:t>The application log and the optional SQL audit log both contain live bank data — request URIs carry customer, account and card numbers, and bound SQL values are written in the clear. Both want to be kept off shared paths; the SQL log is a diagnostic switch, not something to leave on.</w:t>
      </w:r>
    </w:p>
    <w:p>
      <w:pPr>
        <w:pStyle w:val="Heading1"/>
      </w:pPr>
      <w:r>
        <w:t>7. Screens</w:t>
      </w:r>
    </w:p>
    <w:p>
      <w:pPr>
        <w:pStyle w:val="Heading2"/>
      </w:pPr>
      <w:r>
        <w:t>7.1 Navigation</w:t>
      </w:r>
    </w:p>
    <w:p>
      <w:r>
        <w:rPr>
          <w:b w:val="0"/>
          <w:i w:val="0"/>
        </w:rPr>
        <w:t>Everything starts at Customer Static Data, the search screen. A search opens Search Results, and each row offers Enquiry (the profile) or History (the same profile as it stood at a chosen timestamp). Return paths are remembered rather than fixed: a screen goes back to whichever screen opened it.</w:t>
      </w:r>
    </w:p>
    <w:p>
      <w:pPr>
        <w:spacing w:before="120" w:after="160"/>
        <w:ind w:left="317"/>
        <w:shd w:val="clear" w:fill="F2F4F8"/>
      </w:pPr>
      <w:r>
        <w:rPr>
          <w:rFonts w:ascii="Consolas" w:hAnsi="Consolas"/>
          <w:color w:val="223344"/>
          <w:sz w:val="17"/>
        </w:rPr>
        <w:t>Login</w:t>
        <w:br/>
      </w:r>
      <w:r>
        <w:rPr>
          <w:rFonts w:ascii="Consolas" w:hAnsi="Consolas"/>
          <w:color w:val="223344"/>
          <w:sz w:val="17"/>
        </w:rPr>
        <w:t xml:space="preserve">  +-&gt; Customer Static Data (search)</w:t>
        <w:br/>
      </w:r>
      <w:r>
        <w:rPr>
          <w:rFonts w:ascii="Consolas" w:hAnsi="Consolas"/>
          <w:color w:val="223344"/>
          <w:sz w:val="17"/>
        </w:rPr>
        <w:t xml:space="preserve">        +-&gt; Search Results</w:t>
        <w:br/>
      </w:r>
      <w:r>
        <w:rPr>
          <w:rFonts w:ascii="Consolas" w:hAnsi="Consolas"/>
          <w:color w:val="223344"/>
          <w:sz w:val="17"/>
        </w:rPr>
        <w:t xml:space="preserve">        |     +- Enquiry -&gt; a profile screen (category decides which)</w:t>
        <w:br/>
      </w:r>
      <w:r>
        <w:rPr>
          <w:rFonts w:ascii="Consolas" w:hAnsi="Consolas"/>
          <w:color w:val="223344"/>
          <w:sz w:val="17"/>
        </w:rPr>
        <w:t xml:space="preserve">        |     +- History -&gt; Customer Update History -&gt; the same profile, as-of</w:t>
        <w:br/>
      </w:r>
      <w:r>
        <w:rPr>
          <w:rFonts w:ascii="Consolas" w:hAnsi="Consolas"/>
          <w:color w:val="223344"/>
          <w:sz w:val="17"/>
        </w:rPr>
        <w:t xml:space="preserve">        +-&gt; Account Information -&gt; account maintenance, histories, cheques,</w:t>
        <w:br/>
      </w:r>
      <w:r>
        <w:rPr>
          <w:rFonts w:ascii="Consolas" w:hAnsi="Consolas"/>
          <w:color w:val="223344"/>
          <w:sz w:val="17"/>
        </w:rPr>
        <w:t xml:space="preserve">        |     standing orders, transactions, transfers, statements</w:t>
        <w:br/>
      </w:r>
      <w:r>
        <w:rPr>
          <w:rFonts w:ascii="Consolas" w:hAnsi="Consolas"/>
          <w:color w:val="223344"/>
          <w:sz w:val="17"/>
        </w:rPr>
        <w:t xml:space="preserve">        +-&gt; Card Management -&gt; card maintenance, card/PIN history</w:t>
        <w:br/>
      </w:r>
      <w:r>
        <w:rPr>
          <w:rFonts w:ascii="Consolas" w:hAnsi="Consolas"/>
          <w:color w:val="223344"/>
          <w:sz w:val="17"/>
        </w:rPr>
        <w:t xml:space="preserve">        +-&gt; Historical Statement / PDP Statement</w:t>
      </w:r>
    </w:p>
    <w:p>
      <w:pPr>
        <w:pStyle w:val="Heading2"/>
      </w:pPr>
      <w:r>
        <w:t>7.2 Which profile screen opens</w:t>
      </w:r>
    </w:p>
    <w:p>
      <w:r>
        <w:rPr>
          <w:b w:val="0"/>
          <w:i w:val="0"/>
        </w:rPr>
        <w:t>Enquiry does not open one fixed screen. The customer's SAMA main and sub category decide, and the same rule is applied on the history route, so a customer always reaches the same form either way.</w:t>
      </w:r>
    </w:p>
    <w:tbl>
      <w:tblPr>
        <w:tblStyle w:val="TableGrid"/>
        <w:tblW w:type="auto" w:w="0"/>
        <w:jc w:val="left"/>
        <w:tblLook w:firstColumn="1" w:firstRow="1" w:lastColumn="0" w:lastRow="0" w:noHBand="0" w:noVBand="1" w:val="04A0"/>
      </w:tblPr>
      <w:tblGrid>
        <w:gridCol w:w="3216"/>
        <w:gridCol w:w="3216"/>
        <w:gridCol w:w="3216"/>
      </w:tblGrid>
      <w:tr>
        <w:tc>
          <w:tcPr>
            <w:tcW w:type="dxa" w:w="1152"/>
            <w:shd w:val="clear" w:fill="1F355E"/>
          </w:tcPr>
          <w:p>
            <w:pPr>
              <w:spacing w:after="40"/>
            </w:pPr>
            <w:r>
              <w:rPr>
                <w:b/>
                <w:color w:val="FFFFFF"/>
                <w:sz w:val="19"/>
              </w:rPr>
              <w:t>Main</w:t>
            </w:r>
          </w:p>
        </w:tc>
        <w:tc>
          <w:tcPr>
            <w:tcW w:type="dxa" w:w="4176"/>
            <w:shd w:val="clear" w:fill="1F355E"/>
          </w:tcPr>
          <w:p>
            <w:pPr>
              <w:spacing w:after="40"/>
            </w:pPr>
            <w:r>
              <w:rPr>
                <w:b/>
                <w:color w:val="FFFFFF"/>
                <w:sz w:val="19"/>
              </w:rPr>
              <w:t>Sub category</w:t>
            </w:r>
          </w:p>
        </w:tc>
        <w:tc>
          <w:tcPr>
            <w:tcW w:type="dxa" w:w="4320"/>
            <w:shd w:val="clear" w:fill="1F355E"/>
          </w:tcPr>
          <w:p>
            <w:pPr>
              <w:spacing w:after="40"/>
            </w:pPr>
            <w:r>
              <w:rPr>
                <w:b/>
                <w:color w:val="FFFFFF"/>
                <w:sz w:val="19"/>
              </w:rPr>
              <w:t>Opens</w:t>
            </w:r>
          </w:p>
        </w:tc>
      </w:tr>
      <w:tr>
        <w:tc>
          <w:tcPr>
            <w:tcW w:type="dxa" w:w="1152"/>
          </w:tcPr>
          <w:p>
            <w:pPr>
              <w:spacing w:after="40"/>
            </w:pPr>
            <w:r>
              <w:rPr>
                <w:sz w:val="19"/>
              </w:rPr>
              <w:t>01</w:t>
            </w:r>
          </w:p>
        </w:tc>
        <w:tc>
          <w:tcPr>
            <w:tcW w:type="dxa" w:w="4176"/>
          </w:tcPr>
          <w:p>
            <w:pPr>
              <w:spacing w:after="40"/>
            </w:pPr>
            <w:r>
              <w:rPr>
                <w:sz w:val="19"/>
              </w:rPr>
              <w:t>01, 02, 59, 69, 73</w:t>
            </w:r>
          </w:p>
        </w:tc>
        <w:tc>
          <w:tcPr>
            <w:tcW w:type="dxa" w:w="4320"/>
          </w:tcPr>
          <w:p>
            <w:pPr>
              <w:spacing w:after="40"/>
            </w:pPr>
            <w:r>
              <w:rPr>
                <w:sz w:val="19"/>
              </w:rPr>
              <w:t>Individual — Saudi</w:t>
            </w:r>
          </w:p>
        </w:tc>
      </w:tr>
      <w:tr>
        <w:tc>
          <w:tcPr>
            <w:tcW w:type="dxa" w:w="1152"/>
            <w:shd w:val="clear" w:fill="F5F7FA"/>
          </w:tcPr>
          <w:p>
            <w:pPr>
              <w:spacing w:after="40"/>
            </w:pPr>
            <w:r>
              <w:rPr>
                <w:sz w:val="19"/>
              </w:rPr>
              <w:t>01</w:t>
            </w:r>
          </w:p>
        </w:tc>
        <w:tc>
          <w:tcPr>
            <w:tcW w:type="dxa" w:w="4176"/>
            <w:shd w:val="clear" w:fill="F5F7FA"/>
          </w:tcPr>
          <w:p>
            <w:pPr>
              <w:spacing w:after="40"/>
            </w:pPr>
            <w:r>
              <w:rPr>
                <w:sz w:val="19"/>
              </w:rPr>
              <w:t>65</w:t>
            </w:r>
          </w:p>
        </w:tc>
        <w:tc>
          <w:tcPr>
            <w:tcW w:type="dxa" w:w="4320"/>
            <w:shd w:val="clear" w:fill="F5F7FA"/>
          </w:tcPr>
          <w:p>
            <w:pPr>
              <w:spacing w:after="40"/>
            </w:pPr>
            <w:r>
              <w:rPr>
                <w:sz w:val="19"/>
              </w:rPr>
              <w:t>Individual — Saudi, with Heirs unlocked</w:t>
            </w:r>
          </w:p>
        </w:tc>
      </w:tr>
      <w:tr>
        <w:tc>
          <w:tcPr>
            <w:tcW w:type="dxa" w:w="1152"/>
          </w:tcPr>
          <w:p>
            <w:pPr>
              <w:spacing w:after="40"/>
            </w:pPr>
            <w:r>
              <w:rPr>
                <w:sz w:val="19"/>
              </w:rPr>
              <w:t>01</w:t>
            </w:r>
          </w:p>
        </w:tc>
        <w:tc>
          <w:tcPr>
            <w:tcW w:type="dxa" w:w="4176"/>
          </w:tcPr>
          <w:p>
            <w:pPr>
              <w:spacing w:after="40"/>
            </w:pPr>
            <w:r>
              <w:rPr>
                <w:sz w:val="19"/>
              </w:rPr>
              <w:t>03-09, 60-63, 70-72, 74, 84</w:t>
            </w:r>
          </w:p>
        </w:tc>
        <w:tc>
          <w:tcPr>
            <w:tcW w:type="dxa" w:w="4320"/>
          </w:tcPr>
          <w:p>
            <w:pPr>
              <w:spacing w:after="40"/>
            </w:pPr>
            <w:r>
              <w:rPr>
                <w:sz w:val="19"/>
              </w:rPr>
              <w:t>Individual — Other Nationality</w:t>
            </w:r>
          </w:p>
        </w:tc>
      </w:tr>
      <w:tr>
        <w:tc>
          <w:tcPr>
            <w:tcW w:type="dxa" w:w="1152"/>
            <w:shd w:val="clear" w:fill="F5F7FA"/>
          </w:tcPr>
          <w:p>
            <w:pPr>
              <w:spacing w:after="40"/>
            </w:pPr>
            <w:r>
              <w:rPr>
                <w:sz w:val="19"/>
              </w:rPr>
              <w:t>any</w:t>
            </w:r>
          </w:p>
        </w:tc>
        <w:tc>
          <w:tcPr>
            <w:tcW w:type="dxa" w:w="4176"/>
            <w:shd w:val="clear" w:fill="F5F7FA"/>
          </w:tcPr>
          <w:p>
            <w:pPr>
              <w:spacing w:after="40"/>
            </w:pPr>
            <w:r>
              <w:rPr>
                <w:sz w:val="19"/>
              </w:rPr>
              <w:t>10-38, 57, 58, 64, 75, 81, 83, 87</w:t>
            </w:r>
          </w:p>
        </w:tc>
        <w:tc>
          <w:tcPr>
            <w:tcW w:type="dxa" w:w="4320"/>
            <w:shd w:val="clear" w:fill="F5F7FA"/>
          </w:tcPr>
          <w:p>
            <w:pPr>
              <w:spacing w:after="40"/>
            </w:pPr>
            <w:r>
              <w:rPr>
                <w:sz w:val="19"/>
              </w:rPr>
              <w:t>Juristic — Customer Profile</w:t>
            </w:r>
          </w:p>
        </w:tc>
      </w:tr>
      <w:tr>
        <w:tc>
          <w:tcPr>
            <w:tcW w:type="dxa" w:w="1152"/>
          </w:tcPr>
          <w:p>
            <w:pPr>
              <w:spacing w:after="40"/>
            </w:pPr>
            <w:r>
              <w:rPr>
                <w:sz w:val="19"/>
              </w:rPr>
              <w:t>any</w:t>
            </w:r>
          </w:p>
        </w:tc>
        <w:tc>
          <w:tcPr>
            <w:tcW w:type="dxa" w:w="4176"/>
          </w:tcPr>
          <w:p>
            <w:pPr>
              <w:spacing w:after="40"/>
            </w:pPr>
            <w:r>
              <w:rPr>
                <w:sz w:val="19"/>
              </w:rPr>
              <w:t>41-44, 53-55, 67, 76-80, 82, 85, 86, 88</w:t>
            </w:r>
          </w:p>
        </w:tc>
        <w:tc>
          <w:tcPr>
            <w:tcW w:type="dxa" w:w="4320"/>
          </w:tcPr>
          <w:p>
            <w:pPr>
              <w:spacing w:after="40"/>
            </w:pPr>
            <w:r>
              <w:rPr>
                <w:sz w:val="19"/>
              </w:rPr>
              <w:t>Juristic — Customer Profile</w:t>
            </w:r>
          </w:p>
        </w:tc>
      </w:tr>
      <w:tr>
        <w:tc>
          <w:tcPr>
            <w:tcW w:type="dxa" w:w="1152"/>
            <w:shd w:val="clear" w:fill="F5F7FA"/>
          </w:tcPr>
          <w:p>
            <w:pPr>
              <w:spacing w:after="40"/>
            </w:pPr>
            <w:r>
              <w:rPr>
                <w:sz w:val="19"/>
              </w:rPr>
              <w:t>any</w:t>
            </w:r>
          </w:p>
        </w:tc>
        <w:tc>
          <w:tcPr>
            <w:tcW w:type="dxa" w:w="4176"/>
            <w:shd w:val="clear" w:fill="F5F7FA"/>
          </w:tcPr>
          <w:p>
            <w:pPr>
              <w:spacing w:after="40"/>
            </w:pPr>
            <w:r>
              <w:rPr>
                <w:sz w:val="19"/>
              </w:rPr>
              <w:t>39, 40</w:t>
            </w:r>
          </w:p>
        </w:tc>
        <w:tc>
          <w:tcPr>
            <w:tcW w:type="dxa" w:w="4320"/>
            <w:shd w:val="clear" w:fill="F5F7FA"/>
          </w:tcPr>
          <w:p>
            <w:pPr>
              <w:spacing w:after="40"/>
            </w:pPr>
            <w:r>
              <w:rPr>
                <w:sz w:val="19"/>
              </w:rPr>
              <w:t>Juristic — Resident Juristic Customer</w:t>
            </w:r>
          </w:p>
        </w:tc>
      </w:tr>
      <w:tr>
        <w:tc>
          <w:tcPr>
            <w:tcW w:type="dxa" w:w="1152"/>
          </w:tcPr>
          <w:p>
            <w:pPr>
              <w:spacing w:after="40"/>
            </w:pPr>
            <w:r>
              <w:rPr>
                <w:sz w:val="19"/>
              </w:rPr>
              <w:t>any</w:t>
            </w:r>
          </w:p>
        </w:tc>
        <w:tc>
          <w:tcPr>
            <w:tcW w:type="dxa" w:w="4176"/>
          </w:tcPr>
          <w:p>
            <w:pPr>
              <w:spacing w:after="40"/>
            </w:pPr>
            <w:r>
              <w:rPr>
                <w:sz w:val="19"/>
              </w:rPr>
              <w:t>45-52, 66</w:t>
            </w:r>
          </w:p>
        </w:tc>
        <w:tc>
          <w:tcPr>
            <w:tcW w:type="dxa" w:w="4320"/>
          </w:tcPr>
          <w:p>
            <w:pPr>
              <w:spacing w:after="40"/>
            </w:pPr>
            <w:r>
              <w:rPr>
                <w:sz w:val="19"/>
              </w:rPr>
              <w:t>Juristic — Non-Resident Juristic Customer</w:t>
            </w:r>
          </w:p>
        </w:tc>
      </w:tr>
      <w:tr>
        <w:tc>
          <w:tcPr>
            <w:tcW w:type="dxa" w:w="1152"/>
            <w:shd w:val="clear" w:fill="F5F7FA"/>
          </w:tcPr>
          <w:p>
            <w:pPr>
              <w:spacing w:after="40"/>
            </w:pPr>
            <w:r>
              <w:rPr>
                <w:sz w:val="19"/>
              </w:rPr>
              <w:t>either blank</w:t>
            </w:r>
          </w:p>
        </w:tc>
        <w:tc>
          <w:tcPr>
            <w:tcW w:type="dxa" w:w="4176"/>
            <w:shd w:val="clear" w:fill="F5F7FA"/>
          </w:tcPr>
          <w:p>
            <w:pPr>
              <w:spacing w:after="40"/>
            </w:pPr>
            <w:r>
              <w:rPr>
                <w:sz w:val="19"/>
              </w:rPr>
            </w:r>
          </w:p>
        </w:tc>
        <w:tc>
          <w:tcPr>
            <w:tcW w:type="dxa" w:w="4320"/>
            <w:shd w:val="clear" w:fill="F5F7FA"/>
          </w:tcPr>
          <w:p>
            <w:pPr>
              <w:spacing w:after="40"/>
            </w:pPr>
            <w:r>
              <w:rPr>
                <w:sz w:val="19"/>
              </w:rPr>
              <w:t>Customer Maintenance — the general form</w:t>
            </w:r>
          </w:p>
        </w:tc>
      </w:tr>
      <w:tr>
        <w:tc>
          <w:tcPr>
            <w:tcW w:type="dxa" w:w="1152"/>
          </w:tcPr>
          <w:p>
            <w:pPr>
              <w:spacing w:after="40"/>
            </w:pPr>
            <w:r>
              <w:rPr>
                <w:sz w:val="19"/>
              </w:rPr>
              <w:t>00</w:t>
            </w:r>
          </w:p>
        </w:tc>
        <w:tc>
          <w:tcPr>
            <w:tcW w:type="dxa" w:w="4176"/>
          </w:tcPr>
          <w:p>
            <w:pPr>
              <w:spacing w:after="40"/>
            </w:pPr>
            <w:r>
              <w:rPr>
                <w:sz w:val="19"/>
              </w:rPr>
              <w:t>00, 56, 99</w:t>
            </w:r>
          </w:p>
        </w:tc>
        <w:tc>
          <w:tcPr>
            <w:tcW w:type="dxa" w:w="4320"/>
          </w:tcPr>
          <w:p>
            <w:pPr>
              <w:spacing w:after="40"/>
            </w:pPr>
            <w:r>
              <w:rPr>
                <w:sz w:val="19"/>
              </w:rPr>
              <w:t>Nothing — these are create screens, out of scope</w:t>
            </w:r>
          </w:p>
        </w:tc>
      </w:tr>
    </w:tbl>
    <w:p>
      <w:pPr>
        <w:spacing w:after="40"/>
      </w:pPr>
    </w:p>
    <w:p>
      <w:r>
        <w:rPr>
          <w:b w:val="0"/>
          <w:i w:val="0"/>
        </w:rPr>
        <w:t>Two buttons on the individual profiles are category-driven in the same way: Heirs appears for sub category 65, References for 02 and 63.</w:t>
      </w:r>
    </w:p>
    <w:p>
      <w:pPr>
        <w:pStyle w:val="Heading2"/>
      </w:pPr>
      <w:r>
        <w:t>7.3 Screens and their tables</w:t>
      </w:r>
    </w:p>
    <w:p>
      <w:r>
        <w:rPr>
          <w:b w:val="0"/>
          <w:i w:val="0"/>
        </w:rPr>
        <w:t>The full 47-row map lives in docs/SCREEN-TABLE-MAP.md, with field-level detail in docs/SCREEN-FIELD-MAP.md and the complete navigation in docs/SCREEN-FLOW.md. A representative extract:</w:t>
      </w:r>
    </w:p>
    <w:tbl>
      <w:tblPr>
        <w:tblStyle w:val="TableGrid"/>
        <w:tblW w:type="auto" w:w="0"/>
        <w:jc w:val="left"/>
        <w:tblLook w:firstColumn="1" w:firstRow="1" w:lastColumn="0" w:lastRow="0" w:noHBand="0" w:noVBand="1" w:val="04A0"/>
      </w:tblPr>
      <w:tblGrid>
        <w:gridCol w:w="3216"/>
        <w:gridCol w:w="3216"/>
        <w:gridCol w:w="3216"/>
      </w:tblGrid>
      <w:tr>
        <w:tc>
          <w:tcPr>
            <w:tcW w:type="dxa" w:w="2160"/>
            <w:shd w:val="clear" w:fill="1F355E"/>
          </w:tcPr>
          <w:p>
            <w:pPr>
              <w:spacing w:after="40"/>
            </w:pPr>
            <w:r>
              <w:rPr>
                <w:b/>
                <w:color w:val="FFFFFF"/>
                <w:sz w:val="19"/>
              </w:rPr>
              <w:t>Screen</w:t>
            </w:r>
          </w:p>
        </w:tc>
        <w:tc>
          <w:tcPr>
            <w:tcW w:type="dxa" w:w="3168"/>
            <w:shd w:val="clear" w:fill="1F355E"/>
          </w:tcPr>
          <w:p>
            <w:pPr>
              <w:spacing w:after="40"/>
            </w:pPr>
            <w:r>
              <w:rPr>
                <w:b/>
                <w:color w:val="FFFFFF"/>
                <w:sz w:val="19"/>
              </w:rPr>
              <w:t>Title on screen</w:t>
            </w:r>
          </w:p>
        </w:tc>
        <w:tc>
          <w:tcPr>
            <w:tcW w:type="dxa" w:w="4320"/>
            <w:shd w:val="clear" w:fill="1F355E"/>
          </w:tcPr>
          <w:p>
            <w:pPr>
              <w:spacing w:after="40"/>
            </w:pPr>
            <w:r>
              <w:rPr>
                <w:b/>
                <w:color w:val="FFFFFF"/>
                <w:sz w:val="19"/>
              </w:rPr>
              <w:t>Tables</w:t>
            </w:r>
          </w:p>
        </w:tc>
      </w:tr>
      <w:tr>
        <w:tc>
          <w:tcPr>
            <w:tcW w:type="dxa" w:w="2160"/>
          </w:tcPr>
          <w:p>
            <w:pPr>
              <w:spacing w:after="40"/>
            </w:pPr>
            <w:r>
              <w:rPr>
                <w:sz w:val="19"/>
              </w:rPr>
              <w:t>CustomerStaticData</w:t>
            </w:r>
          </w:p>
        </w:tc>
        <w:tc>
          <w:tcPr>
            <w:tcW w:type="dxa" w:w="3168"/>
          </w:tcPr>
          <w:p>
            <w:pPr>
              <w:spacing w:after="40"/>
            </w:pPr>
            <w:r>
              <w:rPr>
                <w:sz w:val="19"/>
              </w:rPr>
              <w:t>Customer Static Data Maintenance</w:t>
            </w:r>
          </w:p>
        </w:tc>
        <w:tc>
          <w:tcPr>
            <w:tcW w:type="dxa" w:w="4320"/>
          </w:tcPr>
          <w:p>
            <w:pPr>
              <w:spacing w:after="40"/>
            </w:pPr>
            <w:r>
              <w:rPr>
                <w:sz w:val="19"/>
              </w:rPr>
              <w:t>stcusttab, stidtab, stcustlog, stcardtab</w:t>
            </w:r>
          </w:p>
        </w:tc>
      </w:tr>
      <w:tr>
        <w:tc>
          <w:tcPr>
            <w:tcW w:type="dxa" w:w="2160"/>
            <w:shd w:val="clear" w:fill="F5F7FA"/>
          </w:tcPr>
          <w:p>
            <w:pPr>
              <w:spacing w:after="40"/>
            </w:pPr>
            <w:r>
              <w:rPr>
                <w:sz w:val="19"/>
              </w:rPr>
              <w:t>IndividualSaudi</w:t>
            </w:r>
          </w:p>
        </w:tc>
        <w:tc>
          <w:tcPr>
            <w:tcW w:type="dxa" w:w="3168"/>
            <w:shd w:val="clear" w:fill="F5F7FA"/>
          </w:tcPr>
          <w:p>
            <w:pPr>
              <w:spacing w:after="40"/>
            </w:pPr>
            <w:r>
              <w:rPr>
                <w:sz w:val="19"/>
              </w:rPr>
              <w:t>Customer Profile</w:t>
            </w:r>
          </w:p>
        </w:tc>
        <w:tc>
          <w:tcPr>
            <w:tcW w:type="dxa" w:w="4320"/>
            <w:shd w:val="clear" w:fill="F5F7FA"/>
          </w:tcPr>
          <w:p>
            <w:pPr>
              <w:spacing w:after="40"/>
            </w:pPr>
            <w:r>
              <w:rPr>
                <w:sz w:val="19"/>
              </w:rPr>
              <w:t>stcusttab, stidtab, staddrtab (history: stcustlog, stidlog, staddrlog)</w:t>
            </w:r>
          </w:p>
        </w:tc>
      </w:tr>
      <w:tr>
        <w:tc>
          <w:tcPr>
            <w:tcW w:type="dxa" w:w="2160"/>
          </w:tcPr>
          <w:p>
            <w:pPr>
              <w:spacing w:after="40"/>
            </w:pPr>
            <w:r>
              <w:rPr>
                <w:sz w:val="19"/>
              </w:rPr>
              <w:t>AccountInfo</w:t>
            </w:r>
          </w:p>
        </w:tc>
        <w:tc>
          <w:tcPr>
            <w:tcW w:type="dxa" w:w="3168"/>
          </w:tcPr>
          <w:p>
            <w:pPr>
              <w:spacing w:after="40"/>
            </w:pPr>
            <w:r>
              <w:rPr>
                <w:sz w:val="19"/>
              </w:rPr>
              <w:t>Account Information</w:t>
            </w:r>
          </w:p>
        </w:tc>
        <w:tc>
          <w:tcPr>
            <w:tcW w:type="dxa" w:w="4320"/>
          </w:tcPr>
          <w:p>
            <w:pPr>
              <w:spacing w:after="40"/>
            </w:pPr>
            <w:r>
              <w:rPr>
                <w:sz w:val="19"/>
              </w:rPr>
              <w:t>gld0data (+ stctltabBD, stusrbrn for the balance-enquiry rule)</w:t>
            </w:r>
          </w:p>
        </w:tc>
      </w:tr>
      <w:tr>
        <w:tc>
          <w:tcPr>
            <w:tcW w:type="dxa" w:w="2160"/>
            <w:shd w:val="clear" w:fill="F5F7FA"/>
          </w:tcPr>
          <w:p>
            <w:pPr>
              <w:spacing w:after="40"/>
            </w:pPr>
            <w:r>
              <w:rPr>
                <w:sz w:val="19"/>
              </w:rPr>
              <w:t>AccountMaintenance</w:t>
            </w:r>
          </w:p>
        </w:tc>
        <w:tc>
          <w:tcPr>
            <w:tcW w:type="dxa" w:w="3168"/>
            <w:shd w:val="clear" w:fill="F5F7FA"/>
          </w:tcPr>
          <w:p>
            <w:pPr>
              <w:spacing w:after="40"/>
            </w:pPr>
            <w:r>
              <w:rPr>
                <w:sz w:val="19"/>
              </w:rPr>
              <w:t>Account Maintenance</w:t>
            </w:r>
          </w:p>
        </w:tc>
        <w:tc>
          <w:tcPr>
            <w:tcW w:type="dxa" w:w="4320"/>
            <w:shd w:val="clear" w:fill="F5F7FA"/>
          </w:tcPr>
          <w:p>
            <w:pPr>
              <w:spacing w:after="40"/>
            </w:pPr>
            <w:r>
              <w:rPr>
                <w:sz w:val="19"/>
              </w:rPr>
              <w:t>gld0data, stacclog, stcusttab, stctltabMM, stctltabXC</w:t>
            </w:r>
          </w:p>
        </w:tc>
      </w:tr>
      <w:tr>
        <w:tc>
          <w:tcPr>
            <w:tcW w:type="dxa" w:w="2160"/>
          </w:tcPr>
          <w:p>
            <w:pPr>
              <w:spacing w:after="40"/>
            </w:pPr>
            <w:r>
              <w:rPr>
                <w:sz w:val="19"/>
              </w:rPr>
              <w:t>BlockedAmountBreakup</w:t>
            </w:r>
          </w:p>
        </w:tc>
        <w:tc>
          <w:tcPr>
            <w:tcW w:type="dxa" w:w="3168"/>
          </w:tcPr>
          <w:p>
            <w:pPr>
              <w:spacing w:after="40"/>
            </w:pPr>
            <w:r>
              <w:rPr>
                <w:sz w:val="19"/>
              </w:rPr>
              <w:t>Breakup of Blocked Amount</w:t>
            </w:r>
          </w:p>
        </w:tc>
        <w:tc>
          <w:tcPr>
            <w:tcW w:type="dxa" w:w="4320"/>
          </w:tcPr>
          <w:p>
            <w:pPr>
              <w:spacing w:after="40"/>
            </w:pPr>
            <w:r>
              <w:rPr>
                <w:sz w:val="19"/>
              </w:rPr>
              <w:t>gld0data, aad0data, bkd0data, ccarrblk, staccblk</w:t>
            </w:r>
          </w:p>
        </w:tc>
      </w:tr>
      <w:tr>
        <w:tc>
          <w:tcPr>
            <w:tcW w:type="dxa" w:w="2160"/>
            <w:shd w:val="clear" w:fill="F5F7FA"/>
          </w:tcPr>
          <w:p>
            <w:pPr>
              <w:spacing w:after="40"/>
            </w:pPr>
            <w:r>
              <w:rPr>
                <w:sz w:val="19"/>
              </w:rPr>
              <w:t>StandingOrderDetail</w:t>
            </w:r>
          </w:p>
        </w:tc>
        <w:tc>
          <w:tcPr>
            <w:tcW w:type="dxa" w:w="3168"/>
            <w:shd w:val="clear" w:fill="F5F7FA"/>
          </w:tcPr>
          <w:p>
            <w:pPr>
              <w:spacing w:after="40"/>
            </w:pPr>
            <w:r>
              <w:rPr>
                <w:sz w:val="19"/>
              </w:rPr>
              <w:t>Standing Order Detail</w:t>
            </w:r>
          </w:p>
        </w:tc>
        <w:tc>
          <w:tcPr>
            <w:tcW w:type="dxa" w:w="4320"/>
            <w:shd w:val="clear" w:fill="F5F7FA"/>
          </w:tcPr>
          <w:p>
            <w:pPr>
              <w:spacing w:after="40"/>
            </w:pPr>
            <w:r>
              <w:rPr>
                <w:sz w:val="19"/>
              </w:rPr>
              <w:t>sod0data, stsodlog, gld0data, crd0data, stcusttab</w:t>
            </w:r>
          </w:p>
        </w:tc>
      </w:tr>
      <w:tr>
        <w:tc>
          <w:tcPr>
            <w:tcW w:type="dxa" w:w="2160"/>
          </w:tcPr>
          <w:p>
            <w:pPr>
              <w:spacing w:after="40"/>
            </w:pPr>
            <w:r>
              <w:rPr>
                <w:sz w:val="19"/>
              </w:rPr>
              <w:t>CardGrid</w:t>
            </w:r>
          </w:p>
        </w:tc>
        <w:tc>
          <w:tcPr>
            <w:tcW w:type="dxa" w:w="3168"/>
          </w:tcPr>
          <w:p>
            <w:pPr>
              <w:spacing w:after="40"/>
            </w:pPr>
            <w:r>
              <w:rPr>
                <w:sz w:val="19"/>
              </w:rPr>
              <w:t>Card Management</w:t>
            </w:r>
          </w:p>
        </w:tc>
        <w:tc>
          <w:tcPr>
            <w:tcW w:type="dxa" w:w="4320"/>
          </w:tcPr>
          <w:p>
            <w:pPr>
              <w:spacing w:after="40"/>
            </w:pPr>
            <w:r>
              <w:rPr>
                <w:sz w:val="19"/>
              </w:rPr>
              <w:t>stcardtab, stcusttab</w:t>
            </w:r>
          </w:p>
        </w:tc>
      </w:tr>
      <w:tr>
        <w:tc>
          <w:tcPr>
            <w:tcW w:type="dxa" w:w="2160"/>
            <w:shd w:val="clear" w:fill="F5F7FA"/>
          </w:tcPr>
          <w:p>
            <w:pPr>
              <w:spacing w:after="40"/>
            </w:pPr>
            <w:r>
              <w:rPr>
                <w:sz w:val="19"/>
              </w:rPr>
              <w:t>TransferEnquiry</w:t>
            </w:r>
          </w:p>
        </w:tc>
        <w:tc>
          <w:tcPr>
            <w:tcW w:type="dxa" w:w="3168"/>
            <w:shd w:val="clear" w:fill="F5F7FA"/>
          </w:tcPr>
          <w:p>
            <w:pPr>
              <w:spacing w:after="40"/>
            </w:pPr>
            <w:r>
              <w:rPr>
                <w:sz w:val="19"/>
              </w:rPr>
              <w:t>Transfer Enquiry</w:t>
            </w:r>
          </w:p>
        </w:tc>
        <w:tc>
          <w:tcPr>
            <w:tcW w:type="dxa" w:w="4320"/>
            <w:shd w:val="clear" w:fill="F5F7FA"/>
          </w:tcPr>
          <w:p>
            <w:pPr>
              <w:spacing w:after="40"/>
            </w:pPr>
            <w:r>
              <w:rPr>
                <w:sz w:val="19"/>
              </w:rPr>
              <w:t>rid0data</w:t>
            </w:r>
          </w:p>
        </w:tc>
      </w:tr>
      <w:tr>
        <w:tc>
          <w:tcPr>
            <w:tcW w:type="dxa" w:w="2160"/>
          </w:tcPr>
          <w:p>
            <w:pPr>
              <w:spacing w:after="40"/>
            </w:pPr>
            <w:r>
              <w:rPr>
                <w:sz w:val="19"/>
              </w:rPr>
              <w:t>TransactionEnquiry</w:t>
            </w:r>
          </w:p>
        </w:tc>
        <w:tc>
          <w:tcPr>
            <w:tcW w:type="dxa" w:w="3168"/>
          </w:tcPr>
          <w:p>
            <w:pPr>
              <w:spacing w:after="40"/>
            </w:pPr>
            <w:r>
              <w:rPr>
                <w:sz w:val="19"/>
              </w:rPr>
              <w:t>BM Transaction Enquiry</w:t>
            </w:r>
          </w:p>
        </w:tc>
        <w:tc>
          <w:tcPr>
            <w:tcW w:type="dxa" w:w="4320"/>
          </w:tcPr>
          <w:p>
            <w:pPr>
              <w:spacing w:after="40"/>
            </w:pPr>
            <w:r>
              <w:rPr>
                <w:sz w:val="19"/>
              </w:rPr>
              <w:t>thd0data</w:t>
            </w:r>
          </w:p>
        </w:tc>
      </w:tr>
      <w:tr>
        <w:tc>
          <w:tcPr>
            <w:tcW w:type="dxa" w:w="2160"/>
            <w:shd w:val="clear" w:fill="F5F7FA"/>
          </w:tcPr>
          <w:p>
            <w:pPr>
              <w:spacing w:after="40"/>
            </w:pPr>
            <w:r>
              <w:rPr>
                <w:sz w:val="19"/>
              </w:rPr>
              <w:t>HistoricalStatement</w:t>
            </w:r>
          </w:p>
        </w:tc>
        <w:tc>
          <w:tcPr>
            <w:tcW w:type="dxa" w:w="3168"/>
            <w:shd w:val="clear" w:fill="F5F7FA"/>
          </w:tcPr>
          <w:p>
            <w:pPr>
              <w:spacing w:after="40"/>
            </w:pPr>
            <w:r>
              <w:rPr>
                <w:sz w:val="19"/>
              </w:rPr>
              <w:t>Historical Statement Printing</w:t>
            </w:r>
          </w:p>
        </w:tc>
        <w:tc>
          <w:tcPr>
            <w:tcW w:type="dxa" w:w="4320"/>
            <w:shd w:val="clear" w:fill="F5F7FA"/>
          </w:tcPr>
          <w:p>
            <w:pPr>
              <w:spacing w:after="40"/>
            </w:pPr>
            <w:r>
              <w:rPr>
                <w:sz w:val="19"/>
              </w:rPr>
              <w:t>BM_TMT_HEADER, BM_STMT_TXN (statement DB)</w:t>
            </w:r>
          </w:p>
        </w:tc>
      </w:tr>
    </w:tbl>
    <w:p>
      <w:pPr>
        <w:spacing w:after="40"/>
      </w:pPr>
    </w:p>
    <w:p>
      <w:pPr>
        <w:pStyle w:val="Heading2"/>
      </w:pPr>
      <w:r>
        <w:t>7.4 Language</w:t>
      </w:r>
    </w:p>
    <w:p>
      <w:r>
        <w:rPr>
          <w:b w:val="0"/>
          <w:i w:val="0"/>
        </w:rPr>
        <w:t>The application is bilingual, as the original was. English strings are the translation keys; the Arabic comes from the legacy caption tables in globalVaribles*.bas, which hold 1,522 English/Arabic pairs in CP1256 — so the wording an operator sees is the wording the old screens used, not a fresh translation. The request's Accept-Language header also picks which archival name column (arabicName or englishName) a lookup returns. Screens flip to right-to-left in Arabic.</w:t>
      </w:r>
    </w:p>
    <w:p>
      <w:r>
        <w:br w:type="page"/>
      </w:r>
    </w:p>
    <w:p>
      <w:pPr>
        <w:pStyle w:val="Heading1"/>
      </w:pPr>
      <w:r>
        <w:t>8. API</w:t>
      </w:r>
    </w:p>
    <w:p>
      <w:pPr>
        <w:pStyle w:val="Heading2"/>
      </w:pPr>
      <w:r>
        <w:t>8.1 Endpoints and their legacy origin</w:t>
      </w:r>
    </w:p>
    <w:p>
      <w:r>
        <w:rPr>
          <w:b w:val="0"/>
          <w:i w:val="0"/>
        </w:rPr>
        <w:t>Each endpoint is traceable to the legacy service code it replaces, which is how the port is reviewed. An extract of the map maintained in bank-api/README.md:</w:t>
      </w:r>
    </w:p>
    <w:tbl>
      <w:tblPr>
        <w:tblStyle w:val="TableGrid"/>
        <w:tblW w:type="auto" w:w="0"/>
        <w:jc w:val="left"/>
        <w:tblLook w:firstColumn="1" w:firstRow="1" w:lastColumn="0" w:lastRow="0" w:noHBand="0" w:noVBand="1" w:val="04A0"/>
      </w:tblPr>
      <w:tblGrid>
        <w:gridCol w:w="3216"/>
        <w:gridCol w:w="3216"/>
        <w:gridCol w:w="3216"/>
      </w:tblGrid>
      <w:tr>
        <w:tc>
          <w:tcPr>
            <w:tcW w:type="dxa" w:w="4104"/>
            <w:shd w:val="clear" w:fill="1F355E"/>
          </w:tcPr>
          <w:p>
            <w:pPr>
              <w:spacing w:after="40"/>
            </w:pPr>
            <w:r>
              <w:rPr>
                <w:b/>
                <w:color w:val="FFFFFF"/>
                <w:sz w:val="19"/>
              </w:rPr>
              <w:t>Endpoint</w:t>
            </w:r>
          </w:p>
        </w:tc>
        <w:tc>
          <w:tcPr>
            <w:tcW w:type="dxa" w:w="2880"/>
            <w:shd w:val="clear" w:fill="1F355E"/>
          </w:tcPr>
          <w:p>
            <w:pPr>
              <w:spacing w:after="40"/>
            </w:pPr>
            <w:r>
              <w:rPr>
                <w:b/>
                <w:color w:val="FFFFFF"/>
                <w:sz w:val="19"/>
              </w:rPr>
              <w:t>Legacy service</w:t>
            </w:r>
          </w:p>
        </w:tc>
        <w:tc>
          <w:tcPr>
            <w:tcW w:type="dxa" w:w="2664"/>
            <w:shd w:val="clear" w:fill="1F355E"/>
          </w:tcPr>
          <w:p>
            <w:pPr>
              <w:spacing w:after="40"/>
            </w:pPr>
            <w:r>
              <w:rPr>
                <w:b/>
                <w:color w:val="FFFFFF"/>
                <w:sz w:val="19"/>
              </w:rPr>
              <w:t>Source</w:t>
            </w:r>
          </w:p>
        </w:tc>
      </w:tr>
      <w:tr>
        <w:tc>
          <w:tcPr>
            <w:tcW w:type="dxa" w:w="4104"/>
          </w:tcPr>
          <w:p>
            <w:pPr>
              <w:spacing w:after="40"/>
            </w:pPr>
            <w:r>
              <w:rPr>
                <w:sz w:val="19"/>
              </w:rPr>
              <w:t>POST /api/login</w:t>
            </w:r>
          </w:p>
        </w:tc>
        <w:tc>
          <w:tcPr>
            <w:tcW w:type="dxa" w:w="2880"/>
          </w:tcPr>
          <w:p>
            <w:pPr>
              <w:spacing w:after="40"/>
            </w:pPr>
            <w:r>
              <w:rPr>
                <w:sz w:val="19"/>
              </w:rPr>
              <w:t>00 logon (cblogin.c)</w:t>
            </w:r>
          </w:p>
        </w:tc>
        <w:tc>
          <w:tcPr>
            <w:tcW w:type="dxa" w:w="2664"/>
          </w:tcPr>
          <w:p>
            <w:pPr>
              <w:spacing w:after="40"/>
            </w:pPr>
            <w:r>
              <w:rPr>
                <w:sz w:val="19"/>
              </w:rPr>
              <w:t>LDAP bind + user profile</w:t>
            </w:r>
          </w:p>
        </w:tc>
      </w:tr>
      <w:tr>
        <w:tc>
          <w:tcPr>
            <w:tcW w:type="dxa" w:w="4104"/>
            <w:shd w:val="clear" w:fill="F5F7FA"/>
          </w:tcPr>
          <w:p>
            <w:pPr>
              <w:spacing w:after="40"/>
            </w:pPr>
            <w:r>
              <w:rPr>
                <w:sz w:val="19"/>
              </w:rPr>
              <w:t>GET /api/customers</w:t>
            </w:r>
          </w:p>
        </w:tc>
        <w:tc>
          <w:tcPr>
            <w:tcW w:type="dxa" w:w="2880"/>
            <w:shd w:val="clear" w:fill="F5F7FA"/>
          </w:tcPr>
          <w:p>
            <w:pPr>
              <w:spacing w:after="40"/>
            </w:pPr>
            <w:r>
              <w:rPr>
                <w:sz w:val="19"/>
              </w:rPr>
              <w:t>16 customer search (cbbranch2.c)</w:t>
            </w:r>
          </w:p>
        </w:tc>
        <w:tc>
          <w:tcPr>
            <w:tcW w:type="dxa" w:w="2664"/>
            <w:shd w:val="clear" w:fill="F5F7FA"/>
          </w:tcPr>
          <w:p>
            <w:pPr>
              <w:spacing w:after="40"/>
            </w:pPr>
            <w:r>
              <w:rPr>
                <w:sz w:val="19"/>
              </w:rPr>
              <w:t>stcusttab</w:t>
            </w:r>
          </w:p>
        </w:tc>
      </w:tr>
      <w:tr>
        <w:tc>
          <w:tcPr>
            <w:tcW w:type="dxa" w:w="4104"/>
          </w:tcPr>
          <w:p>
            <w:pPr>
              <w:spacing w:after="40"/>
            </w:pPr>
            <w:r>
              <w:rPr>
                <w:sz w:val="19"/>
              </w:rPr>
              <w:t>GET /api/customers/{no}/update-history</w:t>
            </w:r>
          </w:p>
        </w:tc>
        <w:tc>
          <w:tcPr>
            <w:tcW w:type="dxa" w:w="2880"/>
          </w:tcPr>
          <w:p>
            <w:pPr>
              <w:spacing w:after="40"/>
            </w:pPr>
            <w:r>
              <w:rPr>
                <w:sz w:val="19"/>
              </w:rPr>
              <w:t>67 customer history</w:t>
            </w:r>
          </w:p>
        </w:tc>
        <w:tc>
          <w:tcPr>
            <w:tcW w:type="dxa" w:w="2664"/>
          </w:tcPr>
          <w:p>
            <w:pPr>
              <w:spacing w:after="40"/>
            </w:pPr>
            <w:r>
              <w:rPr>
                <w:sz w:val="19"/>
              </w:rPr>
              <w:t>stcustlog</w:t>
            </w:r>
          </w:p>
        </w:tc>
      </w:tr>
      <w:tr>
        <w:tc>
          <w:tcPr>
            <w:tcW w:type="dxa" w:w="4104"/>
            <w:shd w:val="clear" w:fill="F5F7FA"/>
          </w:tcPr>
          <w:p>
            <w:pPr>
              <w:spacing w:after="40"/>
            </w:pPr>
            <w:r>
              <w:rPr>
                <w:sz w:val="19"/>
              </w:rPr>
              <w:t>GET /api/customers/{no}/accounts</w:t>
            </w:r>
          </w:p>
        </w:tc>
        <w:tc>
          <w:tcPr>
            <w:tcW w:type="dxa" w:w="2880"/>
            <w:shd w:val="clear" w:fill="F5F7FA"/>
          </w:tcPr>
          <w:p>
            <w:pPr>
              <w:spacing w:after="40"/>
            </w:pPr>
            <w:r>
              <w:rPr>
                <w:sz w:val="19"/>
              </w:rPr>
              <w:t>21 account search</w:t>
            </w:r>
          </w:p>
        </w:tc>
        <w:tc>
          <w:tcPr>
            <w:tcW w:type="dxa" w:w="2664"/>
            <w:shd w:val="clear" w:fill="F5F7FA"/>
          </w:tcPr>
          <w:p>
            <w:pPr>
              <w:spacing w:after="40"/>
            </w:pPr>
            <w:r>
              <w:rPr>
                <w:sz w:val="19"/>
              </w:rPr>
              <w:t>gld0data</w:t>
            </w:r>
          </w:p>
        </w:tc>
      </w:tr>
      <w:tr>
        <w:tc>
          <w:tcPr>
            <w:tcW w:type="dxa" w:w="4104"/>
          </w:tcPr>
          <w:p>
            <w:pPr>
              <w:spacing w:after="40"/>
            </w:pPr>
            <w:r>
              <w:rPr>
                <w:sz w:val="19"/>
              </w:rPr>
              <w:t>GET /api/accounts/{no}/status-history</w:t>
            </w:r>
          </w:p>
        </w:tc>
        <w:tc>
          <w:tcPr>
            <w:tcW w:type="dxa" w:w="2880"/>
          </w:tcPr>
          <w:p>
            <w:pPr>
              <w:spacing w:after="40"/>
            </w:pPr>
            <w:r>
              <w:rPr>
                <w:sz w:val="19"/>
              </w:rPr>
              <w:t>57 requestType 0</w:t>
            </w:r>
          </w:p>
        </w:tc>
        <w:tc>
          <w:tcPr>
            <w:tcW w:type="dxa" w:w="2664"/>
          </w:tcPr>
          <w:p>
            <w:pPr>
              <w:spacing w:after="40"/>
            </w:pPr>
            <w:r>
              <w:rPr>
                <w:sz w:val="19"/>
              </w:rPr>
              <w:t>stacclog</w:t>
            </w:r>
          </w:p>
        </w:tc>
      </w:tr>
      <w:tr>
        <w:tc>
          <w:tcPr>
            <w:tcW w:type="dxa" w:w="4104"/>
            <w:shd w:val="clear" w:fill="F5F7FA"/>
          </w:tcPr>
          <w:p>
            <w:pPr>
              <w:spacing w:after="40"/>
            </w:pPr>
            <w:r>
              <w:rPr>
                <w:sz w:val="19"/>
              </w:rPr>
              <w:t>GET /api/accounts/{no}/snapshot/{dateTime}</w:t>
            </w:r>
          </w:p>
        </w:tc>
        <w:tc>
          <w:tcPr>
            <w:tcW w:type="dxa" w:w="2880"/>
            <w:shd w:val="clear" w:fill="F5F7FA"/>
          </w:tcPr>
          <w:p>
            <w:pPr>
              <w:spacing w:after="40"/>
            </w:pPr>
            <w:r>
              <w:rPr>
                <w:sz w:val="19"/>
              </w:rPr>
              <w:t>33 requestType 01</w:t>
            </w:r>
          </w:p>
        </w:tc>
        <w:tc>
          <w:tcPr>
            <w:tcW w:type="dxa" w:w="2664"/>
            <w:shd w:val="clear" w:fill="F5F7FA"/>
          </w:tcPr>
          <w:p>
            <w:pPr>
              <w:spacing w:after="40"/>
            </w:pPr>
            <w:r>
              <w:rPr>
                <w:sz w:val="19"/>
              </w:rPr>
              <w:t>stacclog / acclogYYYY</w:t>
            </w:r>
          </w:p>
        </w:tc>
      </w:tr>
      <w:tr>
        <w:tc>
          <w:tcPr>
            <w:tcW w:type="dxa" w:w="4104"/>
          </w:tcPr>
          <w:p>
            <w:pPr>
              <w:spacing w:after="40"/>
            </w:pPr>
            <w:r>
              <w:rPr>
                <w:sz w:val="19"/>
              </w:rPr>
              <w:t>GET /api/customers/{no}/profile-asof/{dateTime}</w:t>
            </w:r>
          </w:p>
        </w:tc>
        <w:tc>
          <w:tcPr>
            <w:tcW w:type="dxa" w:w="2880"/>
          </w:tcPr>
          <w:p>
            <w:pPr>
              <w:spacing w:after="40"/>
            </w:pPr>
            <w:r>
              <w:rPr>
                <w:sz w:val="19"/>
              </w:rPr>
              <w:t>11 requestType 01</w:t>
            </w:r>
          </w:p>
        </w:tc>
        <w:tc>
          <w:tcPr>
            <w:tcW w:type="dxa" w:w="2664"/>
          </w:tcPr>
          <w:p>
            <w:pPr>
              <w:spacing w:after="40"/>
            </w:pPr>
            <w:r>
              <w:rPr>
                <w:sz w:val="19"/>
              </w:rPr>
              <w:t>stcustlog / custlogYYYY</w:t>
            </w:r>
          </w:p>
        </w:tc>
      </w:tr>
      <w:tr>
        <w:tc>
          <w:tcPr>
            <w:tcW w:type="dxa" w:w="4104"/>
            <w:shd w:val="clear" w:fill="F5F7FA"/>
          </w:tcPr>
          <w:p>
            <w:pPr>
              <w:spacing w:after="40"/>
            </w:pPr>
            <w:r>
              <w:rPr>
                <w:sz w:val="19"/>
              </w:rPr>
              <w:t>GET /api/accounts/{no}/transfers</w:t>
            </w:r>
          </w:p>
        </w:tc>
        <w:tc>
          <w:tcPr>
            <w:tcW w:type="dxa" w:w="2880"/>
            <w:shd w:val="clear" w:fill="F5F7FA"/>
          </w:tcPr>
          <w:p>
            <w:pPr>
              <w:spacing w:after="40"/>
            </w:pPr>
            <w:r>
              <w:rPr>
                <w:sz w:val="19"/>
              </w:rPr>
              <w:t>transfer enquiry</w:t>
            </w:r>
          </w:p>
        </w:tc>
        <w:tc>
          <w:tcPr>
            <w:tcW w:type="dxa" w:w="2664"/>
            <w:shd w:val="clear" w:fill="F5F7FA"/>
          </w:tcPr>
          <w:p>
            <w:pPr>
              <w:spacing w:after="40"/>
            </w:pPr>
            <w:r>
              <w:rPr>
                <w:sz w:val="19"/>
              </w:rPr>
              <w:t>rid0data</w:t>
            </w:r>
          </w:p>
        </w:tc>
      </w:tr>
      <w:tr>
        <w:tc>
          <w:tcPr>
            <w:tcW w:type="dxa" w:w="4104"/>
          </w:tcPr>
          <w:p>
            <w:pPr>
              <w:spacing w:after="40"/>
            </w:pPr>
            <w:r>
              <w:rPr>
                <w:sz w:val="19"/>
              </w:rPr>
              <w:t>GET /api/accounts/{no}/transactions</w:t>
            </w:r>
          </w:p>
        </w:tc>
        <w:tc>
          <w:tcPr>
            <w:tcW w:type="dxa" w:w="2880"/>
          </w:tcPr>
          <w:p>
            <w:pPr>
              <w:spacing w:after="40"/>
            </w:pPr>
            <w:r>
              <w:rPr>
                <w:sz w:val="19"/>
              </w:rPr>
              <w:t>transaction enquiry</w:t>
            </w:r>
          </w:p>
        </w:tc>
        <w:tc>
          <w:tcPr>
            <w:tcW w:type="dxa" w:w="2664"/>
          </w:tcPr>
          <w:p>
            <w:pPr>
              <w:spacing w:after="40"/>
            </w:pPr>
            <w:r>
              <w:rPr>
                <w:sz w:val="19"/>
              </w:rPr>
              <w:t>thd0data</w:t>
            </w:r>
          </w:p>
        </w:tc>
      </w:tr>
      <w:tr>
        <w:tc>
          <w:tcPr>
            <w:tcW w:type="dxa" w:w="4104"/>
            <w:shd w:val="clear" w:fill="F5F7FA"/>
          </w:tcPr>
          <w:p>
            <w:pPr>
              <w:spacing w:after="40"/>
            </w:pPr>
            <w:r>
              <w:rPr>
                <w:sz w:val="19"/>
              </w:rPr>
              <w:t>GET /api/codes</w:t>
            </w:r>
          </w:p>
        </w:tc>
        <w:tc>
          <w:tcPr>
            <w:tcW w:type="dxa" w:w="2880"/>
            <w:shd w:val="clear" w:fill="F5F7FA"/>
          </w:tcPr>
          <w:p>
            <w:pPr>
              <w:spacing w:after="40"/>
            </w:pPr>
            <w:r>
              <w:rPr>
                <w:sz w:val="19"/>
              </w:rPr>
              <w:t>reference data</w:t>
            </w:r>
          </w:p>
        </w:tc>
        <w:tc>
          <w:tcPr>
            <w:tcW w:type="dxa" w:w="2664"/>
            <w:shd w:val="clear" w:fill="F5F7FA"/>
          </w:tcPr>
          <w:p>
            <w:pPr>
              <w:spacing w:after="40"/>
            </w:pPr>
            <w:r>
              <w:rPr>
                <w:sz w:val="19"/>
              </w:rPr>
              <w:t>stctltab family + legacy combo tables</w:t>
            </w:r>
          </w:p>
        </w:tc>
      </w:tr>
    </w:tbl>
    <w:p>
      <w:pPr>
        <w:spacing w:after="40"/>
      </w:pPr>
    </w:p>
    <w:p>
      <w:pPr>
        <w:pStyle w:val="Heading2"/>
      </w:pPr>
      <w:r>
        <w:t>8.2 Conventions</w:t>
      </w:r>
    </w:p>
    <w:p>
      <w:pPr>
        <w:pStyle w:val="ListBullet"/>
        <w:spacing w:after="60"/>
        <w:ind w:left="360"/>
      </w:pPr>
      <w:r>
        <w:t>Paging keeps the legacy's shape but not its size: the C server returned 20 rows through lastRecCount, the revamp standardises on 10 (PagedResult.PAGE_SIZE). hasMore means a full page was returned; the UI's More button asks for page+1.</w:t>
      </w:r>
    </w:p>
    <w:p>
      <w:pPr>
        <w:pStyle w:val="ListBullet"/>
        <w:spacing w:after="60"/>
        <w:ind w:left="360"/>
      </w:pPr>
      <w:r>
        <w:t>Two paging strategies exist by design. The transfer and BM transaction enquiries page in the query with OFFSET/FETCH FIRST plus an n+1 probe; screens whose legacy counterpart read the whole key still fetch all rows and page in memory.</w:t>
      </w:r>
    </w:p>
    <w:p>
      <w:pPr>
        <w:pStyle w:val="ListBullet"/>
        <w:spacing w:after="60"/>
        <w:ind w:left="360"/>
      </w:pPr>
      <w:r>
        <w:t>Customer search is bounded by time, not row count. The legacy's SEARCHTIME (30 seconds in the production cbcmssrv.cfg) is reproduced: rows already read are returned with an incomplete flag when the clock expires, exactly as the C's alarm() did.</w:t>
      </w:r>
    </w:p>
    <w:p>
      <w:pPr>
        <w:pStyle w:val="ListBullet"/>
        <w:spacing w:after="60"/>
        <w:ind w:left="360"/>
      </w:pPr>
      <w:r>
        <w:t>4xx responses carry ported business messages and no reference; only unexpected 500s mint one.</w:t>
      </w:r>
    </w:p>
    <w:p>
      <w:pPr>
        <w:pStyle w:val="ListBullet"/>
        <w:spacing w:after="60"/>
        <w:ind w:left="360"/>
      </w:pPr>
      <w:r>
        <w:t>A screen whose source is genuinely absent answers 501 through NotAvailableException rather than pretending to have data.</w:t>
      </w:r>
    </w:p>
    <w:p>
      <w:pPr>
        <w:pStyle w:val="Heading1"/>
      </w:pPr>
      <w:r>
        <w:t>9. Fidelity to the legacy</w:t>
      </w:r>
    </w:p>
    <w:p>
      <w:r>
        <w:rPr>
          <w:b w:val="0"/>
          <w:i w:val="0"/>
        </w:rPr>
        <w:t>The governing rule of this project is that behaviour is replicated from the legacy source, not reinvented from the archival schema. The C and VB6 sources are the specification; the schema workbook says only what a column holds. Two early defects came from working the other way round, which is why the rule is stated this plainly.</w:t>
      </w:r>
    </w:p>
    <w:p>
      <w:r>
        <w:rPr>
          <w:b w:val="0"/>
          <w:i w:val="0"/>
        </w:rPr>
        <w:t>In practice that means: the search key order, the meaning of a blank input, which columns a screen reads and in what precedence, the category-to-screen mapping and the caption wording all come from the original. Runtime captions win over the .frm file's Caption= property, because Form_Load rewrote them from the caption table.</w:t>
      </w:r>
    </w:p>
    <w:p>
      <w:pPr>
        <w:pStyle w:val="Heading2"/>
      </w:pPr>
      <w:r>
        <w:t>9.1 Deliberate deviations</w:t>
      </w:r>
    </w:p>
    <w:tbl>
      <w:tblPr>
        <w:tblStyle w:val="TableGrid"/>
        <w:tblW w:type="auto" w:w="0"/>
        <w:jc w:val="left"/>
        <w:tblLook w:firstColumn="1" w:firstRow="1" w:lastColumn="0" w:lastRow="0" w:noHBand="0" w:noVBand="1" w:val="04A0"/>
      </w:tblPr>
      <w:tblGrid>
        <w:gridCol w:w="3216"/>
        <w:gridCol w:w="3216"/>
        <w:gridCol w:w="3216"/>
      </w:tblGrid>
      <w:tr>
        <w:tc>
          <w:tcPr>
            <w:tcW w:type="dxa" w:w="2160"/>
            <w:shd w:val="clear" w:fill="1F355E"/>
          </w:tcPr>
          <w:p>
            <w:pPr>
              <w:spacing w:after="40"/>
            </w:pPr>
            <w:r>
              <w:rPr>
                <w:b/>
                <w:color w:val="FFFFFF"/>
                <w:sz w:val="19"/>
              </w:rPr>
              <w:t>Deviation</w:t>
            </w:r>
          </w:p>
        </w:tc>
        <w:tc>
          <w:tcPr>
            <w:tcW w:type="dxa" w:w="3024"/>
            <w:shd w:val="clear" w:fill="1F355E"/>
          </w:tcPr>
          <w:p>
            <w:pPr>
              <w:spacing w:after="40"/>
            </w:pPr>
            <w:r>
              <w:rPr>
                <w:b/>
                <w:color w:val="FFFFFF"/>
                <w:sz w:val="19"/>
              </w:rPr>
              <w:t>Legacy behaviour</w:t>
            </w:r>
          </w:p>
        </w:tc>
        <w:tc>
          <w:tcPr>
            <w:tcW w:type="dxa" w:w="4464"/>
            <w:shd w:val="clear" w:fill="1F355E"/>
          </w:tcPr>
          <w:p>
            <w:pPr>
              <w:spacing w:after="40"/>
            </w:pPr>
            <w:r>
              <w:rPr>
                <w:b/>
                <w:color w:val="FFFFFF"/>
                <w:sz w:val="19"/>
              </w:rPr>
              <w:t>Why</w:t>
            </w:r>
          </w:p>
        </w:tc>
      </w:tr>
      <w:tr>
        <w:tc>
          <w:tcPr>
            <w:tcW w:type="dxa" w:w="2160"/>
          </w:tcPr>
          <w:p>
            <w:pPr>
              <w:spacing w:after="40"/>
            </w:pPr>
            <w:r>
              <w:rPr>
                <w:sz w:val="19"/>
              </w:rPr>
              <w:t>Page size 10</w:t>
            </w:r>
          </w:p>
        </w:tc>
        <w:tc>
          <w:tcPr>
            <w:tcW w:type="dxa" w:w="3024"/>
          </w:tcPr>
          <w:p>
            <w:pPr>
              <w:spacing w:after="40"/>
            </w:pPr>
            <w:r>
              <w:rPr>
                <w:sz w:val="19"/>
              </w:rPr>
              <w:t>20 rows per page</w:t>
            </w:r>
          </w:p>
        </w:tc>
        <w:tc>
          <w:tcPr>
            <w:tcW w:type="dxa" w:w="4464"/>
          </w:tcPr>
          <w:p>
            <w:pPr>
              <w:spacing w:after="40"/>
            </w:pPr>
            <w:r>
              <w:rPr>
                <w:sz w:val="19"/>
              </w:rPr>
              <w:t>Fits the browser grid; the paging contract is unchanged.</w:t>
            </w:r>
          </w:p>
        </w:tc>
      </w:tr>
      <w:tr>
        <w:tc>
          <w:tcPr>
            <w:tcW w:type="dxa" w:w="2160"/>
            <w:shd w:val="clear" w:fill="F5F7FA"/>
          </w:tcPr>
          <w:p>
            <w:pPr>
              <w:spacing w:after="40"/>
            </w:pPr>
            <w:r>
              <w:rPr>
                <w:sz w:val="19"/>
              </w:rPr>
              <w:t>Case-insensitive name search</w:t>
            </w:r>
          </w:p>
        </w:tc>
        <w:tc>
          <w:tcPr>
            <w:tcW w:type="dxa" w:w="3024"/>
            <w:shd w:val="clear" w:fill="F5F7FA"/>
          </w:tcPr>
          <w:p>
            <w:pPr>
              <w:spacing w:after="40"/>
            </w:pPr>
            <w:r>
              <w:rPr>
                <w:sz w:val="19"/>
              </w:rPr>
              <w:t>Byte-exact match — the C compared with strncmp and the VB6 sent the name unfolded</w:t>
            </w:r>
          </w:p>
        </w:tc>
        <w:tc>
          <w:tcPr>
            <w:tcW w:type="dxa" w:w="4464"/>
            <w:shd w:val="clear" w:fill="F5F7FA"/>
          </w:tcPr>
          <w:p>
            <w:pPr>
              <w:spacing w:after="40"/>
            </w:pPr>
            <w:r>
              <w:rPr>
                <w:sz w:val="19"/>
              </w:rPr>
              <w:t>Archival names are stored as typed ("Hussain"), so an operator typing lower case found nothing. Both sides are now upshifted.</w:t>
            </w:r>
          </w:p>
        </w:tc>
      </w:tr>
      <w:tr>
        <w:tc>
          <w:tcPr>
            <w:tcW w:type="dxa" w:w="2160"/>
          </w:tcPr>
          <w:p>
            <w:pPr>
              <w:spacing w:after="40"/>
            </w:pPr>
            <w:r>
              <w:rPr>
                <w:sz w:val="19"/>
              </w:rPr>
              <w:t>Layout designed, not traced</w:t>
            </w:r>
          </w:p>
        </w:tc>
        <w:tc>
          <w:tcPr>
            <w:tcW w:type="dxa" w:w="3024"/>
          </w:tcPr>
          <w:p>
            <w:pPr>
              <w:spacing w:after="40"/>
            </w:pPr>
            <w:r>
              <w:rPr>
                <w:sz w:val="19"/>
              </w:rPr>
              <w:t>Fixed VB6 frame positions</w:t>
            </w:r>
          </w:p>
        </w:tc>
        <w:tc>
          <w:tcPr>
            <w:tcW w:type="dxa" w:w="4464"/>
          </w:tcPr>
          <w:p>
            <w:pPr>
              <w:spacing w:after="40"/>
            </w:pPr>
            <w:r>
              <w:rPr>
                <w:sz w:val="19"/>
              </w:rPr>
              <w:t>Fields, labels and control types match the original; the arrangement is a uniform grid with grouped cards and a summary band.</w:t>
            </w:r>
          </w:p>
        </w:tc>
      </w:tr>
      <w:tr>
        <w:tc>
          <w:tcPr>
            <w:tcW w:type="dxa" w:w="2160"/>
            <w:shd w:val="clear" w:fill="F5F7FA"/>
          </w:tcPr>
          <w:p>
            <w:pPr>
              <w:spacing w:after="40"/>
            </w:pPr>
            <w:r>
              <w:rPr>
                <w:sz w:val="19"/>
              </w:rPr>
              <w:t>Merged DB #1 and DB #2</w:t>
            </w:r>
          </w:p>
        </w:tc>
        <w:tc>
          <w:tcPr>
            <w:tcW w:type="dxa" w:w="3024"/>
            <w:shd w:val="clear" w:fill="F5F7FA"/>
          </w:tcPr>
          <w:p>
            <w:pPr>
              <w:spacing w:after="40"/>
            </w:pPr>
            <w:r>
              <w:rPr>
                <w:sz w:val="19"/>
              </w:rPr>
              <w:t>Two distinct back-end sources</w:t>
            </w:r>
          </w:p>
        </w:tc>
        <w:tc>
          <w:tcPr>
            <w:tcW w:type="dxa" w:w="4464"/>
            <w:shd w:val="clear" w:fill="F5F7FA"/>
          </w:tcPr>
          <w:p>
            <w:pPr>
              <w:spacing w:after="40"/>
            </w:pPr>
            <w:r>
              <w:rPr>
                <w:sz w:val="19"/>
              </w:rPr>
              <w:t>They resolved to the same Denodo server; only the card customer header still needs a gateway.</w:t>
            </w:r>
          </w:p>
        </w:tc>
      </w:tr>
    </w:tbl>
    <w:p>
      <w:pPr>
        <w:spacing w:after="40"/>
      </w:pPr>
    </w:p>
    <w:p>
      <w:r>
        <w:br w:type="page"/>
      </w:r>
    </w:p>
    <w:p>
      <w:pPr>
        <w:pStyle w:val="Heading1"/>
      </w:pPr>
      <w:r>
        <w:t>10. Build, packaging and deployment</w:t>
      </w:r>
    </w:p>
    <w:p>
      <w:pPr>
        <w:pStyle w:val="Heading2"/>
      </w:pPr>
      <w:r>
        <w:t>10.1 Build order</w:t>
      </w:r>
    </w:p>
    <w:p>
      <w:r>
        <w:rPr>
          <w:b w:val="0"/>
          <w:i w:val="0"/>
        </w:rPr>
        <w:t>The UI is built first and packaged into the jar by the Maven resources plugin, which copies bank-ui/dist into the jar's static/ folder:</w:t>
      </w:r>
    </w:p>
    <w:p>
      <w:pPr>
        <w:spacing w:before="120" w:after="160"/>
        <w:ind w:left="317"/>
        <w:shd w:val="clear" w:fill="F2F4F8"/>
      </w:pPr>
      <w:r>
        <w:rPr>
          <w:rFonts w:ascii="Consolas" w:hAnsi="Consolas"/>
          <w:color w:val="223344"/>
          <w:sz w:val="17"/>
        </w:rPr>
        <w:t>cd bank-ui &amp;&amp; npm run build          # refreshes bank-ui/dist</w:t>
        <w:br/>
      </w:r>
      <w:r>
        <w:rPr>
          <w:rFonts w:ascii="Consolas" w:hAnsi="Consolas"/>
          <w:color w:val="223344"/>
          <w:sz w:val="17"/>
        </w:rPr>
        <w:t>cd ../bank-api &amp;&amp; mvn package        # bundles dist/ into the jar</w:t>
      </w:r>
    </w:p>
    <w:p>
      <w:pPr>
        <w:spacing w:before="80" w:after="200"/>
        <w:ind w:left="216"/>
        <w:shd w:val="clear" w:fill="EEF2F8"/>
      </w:pPr>
      <w:r>
        <w:rPr>
          <w:b/>
          <w:color w:val="1F355E"/>
          <w:sz w:val="19"/>
        </w:rPr>
        <w:t xml:space="preserve">Important:  </w:t>
      </w:r>
      <w:r>
        <w:rPr>
          <w:i/>
          <w:sz w:val="19"/>
        </w:rPr>
        <w:t>verifying a UI change on the Vite dev server proves nothing about the jar. If npm run build is skipped, the jar ships the previous bundle and the change is invisible on the deployed application.</w:t>
      </w:r>
    </w:p>
    <w:p>
      <w:pPr>
        <w:pStyle w:val="Heading2"/>
      </w:pPr>
      <w:r>
        <w:t>10.2 Running on the target PC</w:t>
      </w:r>
    </w:p>
    <w:p>
      <w:r>
        <w:rPr>
          <w:b w:val="0"/>
          <w:i w:val="0"/>
        </w:rPr>
        <w:t>The deploy/ folder is self-contained: the jar, a drivers folder, the runtime properties file and start scripts for both profiles.</w:t>
      </w:r>
    </w:p>
    <w:p>
      <w:pPr>
        <w:spacing w:before="120" w:after="160"/>
        <w:ind w:left="317"/>
        <w:shd w:val="clear" w:fill="F2F4F8"/>
      </w:pPr>
      <w:r>
        <w:rPr>
          <w:rFonts w:ascii="Consolas" w:hAnsi="Consolas"/>
          <w:color w:val="223344"/>
          <w:sz w:val="17"/>
        </w:rPr>
        <w:t>export ARCHIVAL_DB_URL="jdbc:vdb://&lt;denodo-host&gt;:9999/&lt;vdb&gt;"</w:t>
        <w:br/>
      </w:r>
      <w:r>
        <w:rPr>
          <w:rFonts w:ascii="Consolas" w:hAnsi="Consolas"/>
          <w:color w:val="223344"/>
          <w:sz w:val="17"/>
        </w:rPr>
        <w:t>export ARCHIVAL_DB_USER="..."</w:t>
        <w:br/>
      </w:r>
      <w:r>
        <w:rPr>
          <w:rFonts w:ascii="Consolas" w:hAnsi="Consolas"/>
          <w:color w:val="223344"/>
          <w:sz w:val="17"/>
        </w:rPr>
        <w:t>export ARCHIVAL_DB_PASSWORD="..."</w:t>
        <w:br/>
      </w:r>
      <w:r>
        <w:rPr>
          <w:rFonts w:ascii="Consolas" w:hAnsi="Consolas"/>
          <w:color w:val="223344"/>
          <w:sz w:val="17"/>
        </w:rPr>
        <w:br/>
      </w:r>
      <w:r>
        <w:rPr>
          <w:rFonts w:ascii="Consolas" w:hAnsi="Consolas"/>
          <w:color w:val="223344"/>
          <w:sz w:val="17"/>
        </w:rPr>
        <w:t>java -Dloader.path=drivers -jar bank-api-0.1.0-SNAPSHOT.jar \</w:t>
        <w:br/>
      </w:r>
      <w:r>
        <w:rPr>
          <w:rFonts w:ascii="Consolas" w:hAnsi="Consolas"/>
          <w:color w:val="223344"/>
          <w:sz w:val="17"/>
        </w:rPr>
        <w:t xml:space="preserve">     --spring.profiles.active=denodo</w:t>
      </w:r>
    </w:p>
    <w:p>
      <w:r>
        <w:rPr>
          <w:b w:val="0"/>
          <w:i w:val="0"/>
        </w:rPr>
        <w:t>The Denodo JDBC driver is not on Maven Central and ships with the Denodo installation, so it is dropped into drivers/ and picked up at runtime — the reason the jar uses the ZIP layout and PropertiesLauncher. The recommended sequence on a new PC is: run the mock script first to prove Java and the application work, then add the driver and credentials, then check /api/health/db (it reports both connections, the resolved BankingDate and the stcusttab row count) before opening the UI.</w:t>
      </w:r>
    </w:p>
    <w:p>
      <w:pPr>
        <w:pStyle w:val="Heading2"/>
      </w:pPr>
      <w:r>
        <w:t>10.3 Settings that change in service</w:t>
      </w:r>
    </w:p>
    <w:p>
      <w:r>
        <w:rPr>
          <w:b w:val="0"/>
          <w:i w:val="0"/>
        </w:rPr>
        <w:t>Two settings live outside the jar, in bank-runtime.properties, because they are the ones that get changed while the application is in use:</w:t>
      </w:r>
    </w:p>
    <w:p>
      <w:pPr>
        <w:spacing w:before="120" w:after="160"/>
        <w:ind w:left="317"/>
        <w:shd w:val="clear" w:fill="F2F4F8"/>
      </w:pPr>
      <w:r>
        <w:rPr>
          <w:rFonts w:ascii="Consolas" w:hAnsi="Consolas"/>
          <w:color w:val="223344"/>
          <w:sz w:val="17"/>
        </w:rPr>
        <w:t>allowed-users=DEVUSER,OPER1,ENQ1   # blank = any authenticated user</w:t>
        <w:br/>
      </w:r>
      <w:r>
        <w:rPr>
          <w:rFonts w:ascii="Consolas" w:hAnsi="Consolas"/>
          <w:color w:val="223344"/>
          <w:sz w:val="17"/>
        </w:rPr>
        <w:t>banking-date=2009-07-11            # the restore snapshot every query binds</w:t>
      </w:r>
    </w:p>
    <w:p>
      <w:r>
        <w:rPr>
          <w:b w:val="0"/>
          <w:i w:val="0"/>
        </w:rPr>
        <w:t>Editing and saving the file takes effect within a second: the next login sees the new list, the next query binds the new date. No restart, no session is closed. A file that fails to parse — or a date that is neither yyyy-MM-dd nor yyyyMMdd — is rejected with an error in the log and the previously loaded values stay in force, so a typo cannot take a running application down. Everything else (database URL, credentials, JWT settings, port) is startup configuration.</w:t>
      </w:r>
    </w:p>
    <w:p>
      <w:pPr>
        <w:pStyle w:val="Heading1"/>
      </w:pPr>
      <w:r>
        <w:t>11. Observability and testing</w:t>
      </w:r>
    </w:p>
    <w:p>
      <w:pPr>
        <w:pStyle w:val="Heading2"/>
      </w:pPr>
      <w:r>
        <w:t>11.1 Logs</w:t>
      </w:r>
    </w:p>
    <w:tbl>
      <w:tblPr>
        <w:tblStyle w:val="TableGrid"/>
        <w:tblW w:type="auto" w:w="0"/>
        <w:jc w:val="left"/>
        <w:tblLook w:firstColumn="1" w:firstRow="1" w:lastColumn="0" w:lastRow="0" w:noHBand="0" w:noVBand="1" w:val="04A0"/>
      </w:tblPr>
      <w:tblGrid>
        <w:gridCol w:w="3216"/>
        <w:gridCol w:w="3216"/>
        <w:gridCol w:w="3216"/>
      </w:tblGrid>
      <w:tr>
        <w:tc>
          <w:tcPr>
            <w:tcW w:type="dxa" w:w="2520"/>
            <w:shd w:val="clear" w:fill="1F355E"/>
          </w:tcPr>
          <w:p>
            <w:pPr>
              <w:spacing w:after="40"/>
            </w:pPr>
            <w:r>
              <w:rPr>
                <w:b/>
                <w:color w:val="FFFFFF"/>
                <w:sz w:val="19"/>
              </w:rPr>
              <w:t>Log</w:t>
            </w:r>
          </w:p>
        </w:tc>
        <w:tc>
          <w:tcPr>
            <w:tcW w:type="dxa" w:w="1008"/>
            <w:shd w:val="clear" w:fill="1F355E"/>
          </w:tcPr>
          <w:p>
            <w:pPr>
              <w:spacing w:after="40"/>
            </w:pPr>
            <w:r>
              <w:rPr>
                <w:b/>
                <w:color w:val="FFFFFF"/>
                <w:sz w:val="19"/>
              </w:rPr>
              <w:t>Default</w:t>
            </w:r>
          </w:p>
        </w:tc>
        <w:tc>
          <w:tcPr>
            <w:tcW w:type="dxa" w:w="6120"/>
            <w:shd w:val="clear" w:fill="1F355E"/>
          </w:tcPr>
          <w:p>
            <w:pPr>
              <w:spacing w:after="40"/>
            </w:pPr>
            <w:r>
              <w:rPr>
                <w:b/>
                <w:color w:val="FFFFFF"/>
                <w:sz w:val="19"/>
              </w:rPr>
              <w:t>Contents</w:t>
            </w:r>
          </w:p>
        </w:tc>
      </w:tr>
      <w:tr>
        <w:tc>
          <w:tcPr>
            <w:tcW w:type="dxa" w:w="2520"/>
          </w:tcPr>
          <w:p>
            <w:pPr>
              <w:spacing w:after="40"/>
            </w:pPr>
            <w:r>
              <w:rPr>
                <w:sz w:val="19"/>
              </w:rPr>
              <w:t>Application log (logs/bank-api.log)</w:t>
            </w:r>
          </w:p>
        </w:tc>
        <w:tc>
          <w:tcPr>
            <w:tcW w:type="dxa" w:w="1008"/>
          </w:tcPr>
          <w:p>
            <w:pPr>
              <w:spacing w:after="40"/>
            </w:pPr>
            <w:r>
              <w:rPr>
                <w:sz w:val="19"/>
              </w:rPr>
              <w:t>On</w:t>
            </w:r>
          </w:p>
        </w:tc>
        <w:tc>
          <w:tcPr>
            <w:tcW w:type="dxa" w:w="6120"/>
          </w:tcPr>
          <w:p>
            <w:pPr>
              <w:spacing w:after="40"/>
            </w:pPr>
            <w:r>
              <w:rPr>
                <w:sz w:val="19"/>
              </w:rPr>
              <w:t>Startup and faults, each unexpected failure written against the six-character reference the operator was shown. Rolls at 20MB, 30 days, UTF-8 so Arabic names survive, and deliberately not gzipped — Windows has no zgrep, and an archive the help desk cannot search is the same as no log.</w:t>
            </w:r>
          </w:p>
        </w:tc>
      </w:tr>
      <w:tr>
        <w:tc>
          <w:tcPr>
            <w:tcW w:type="dxa" w:w="2520"/>
            <w:shd w:val="clear" w:fill="F5F7FA"/>
          </w:tcPr>
          <w:p>
            <w:pPr>
              <w:spacing w:after="40"/>
            </w:pPr>
            <w:r>
              <w:rPr>
                <w:sz w:val="19"/>
              </w:rPr>
              <w:t>SQL audit log (logs/bank-api-sql.log)</w:t>
            </w:r>
          </w:p>
        </w:tc>
        <w:tc>
          <w:tcPr>
            <w:tcW w:type="dxa" w:w="1008"/>
            <w:shd w:val="clear" w:fill="F5F7FA"/>
          </w:tcPr>
          <w:p>
            <w:pPr>
              <w:spacing w:after="40"/>
            </w:pPr>
            <w:r>
              <w:rPr>
                <w:sz w:val="19"/>
              </w:rPr>
              <w:t>Off</w:t>
            </w:r>
          </w:p>
        </w:tc>
        <w:tc>
          <w:tcPr>
            <w:tcW w:type="dxa" w:w="6120"/>
            <w:shd w:val="clear" w:fill="F5F7FA"/>
          </w:tcPr>
          <w:p>
            <w:pPr>
              <w:spacing w:after="40"/>
            </w:pPr>
            <w:r>
              <w:rPr>
                <w:sz w:val="19"/>
              </w:rPr>
              <w:t>Every /api call and each statement behind it: the SQL as the driver received it with prefixes applied and bound values inlined, so an entry can be pasted into Design Studio and run; plus row count and elapsed time. Holds live bank data.</w:t>
            </w:r>
          </w:p>
        </w:tc>
      </w:tr>
    </w:tbl>
    <w:p>
      <w:pPr>
        <w:spacing w:after="40"/>
      </w:pPr>
    </w:p>
    <w:p>
      <w:pPr>
        <w:pStyle w:val="Heading2"/>
      </w:pPr>
      <w:r>
        <w:t>11.2 Testing strategy</w:t>
      </w:r>
    </w:p>
    <w:p>
      <w:r>
        <w:rPr>
          <w:b w:val="0"/>
          <w:i w:val="0"/>
        </w:rPr>
        <w:t>153 tests run on every build. The important part is what they test. Because the mock repositories match on Java objects, a defect in a real query cannot surface there — two production defects have already been traced to that gap. The compensating measure is a family of tests that capture the SQL a repository hands the JDBC template and assert its shape: the paging window and n+1 probe, the BankingDate predicate every query must carry, the statement queries, and the case-folding on name search. Mapping tests cover the row-to-record translation, including the archival quirks such as the quote wrapper.</w:t>
      </w:r>
    </w:p>
    <w:p>
      <w:r>
        <w:rPr>
          <w:b w:val="0"/>
          <w:i w:val="0"/>
        </w:rPr>
        <w:t>Beyond that, verification is done by driving the built jar in a headless browser — not the dev server — and by comparing known customers against the old application, with two cases called out specifically in the deployment notes: a customer with a negative balance and a customer number above 1,000,000, since those reveal whether the views hold decoded values or raw BankMaster encodings.</w:t>
      </w:r>
    </w:p>
    <w:p>
      <w:r>
        <w:br w:type="page"/>
      </w:r>
    </w:p>
    <w:p>
      <w:pPr>
        <w:pStyle w:val="Heading1"/>
      </w:pPr>
      <w:r>
        <w:t>12. Known gaps and open decisions</w:t>
      </w:r>
    </w:p>
    <w:tbl>
      <w:tblPr>
        <w:tblStyle w:val="TableGrid"/>
        <w:tblW w:type="auto" w:w="0"/>
        <w:jc w:val="left"/>
        <w:tblLook w:firstColumn="1" w:firstRow="1" w:lastColumn="0" w:lastRow="0" w:noHBand="0" w:noVBand="1" w:val="04A0"/>
      </w:tblPr>
      <w:tblGrid>
        <w:gridCol w:w="3216"/>
        <w:gridCol w:w="3216"/>
        <w:gridCol w:w="3216"/>
      </w:tblGrid>
      <w:tr>
        <w:tc>
          <w:tcPr>
            <w:tcW w:type="dxa" w:w="2160"/>
            <w:shd w:val="clear" w:fill="1F355E"/>
          </w:tcPr>
          <w:p>
            <w:pPr>
              <w:spacing w:after="40"/>
            </w:pPr>
            <w:r>
              <w:rPr>
                <w:b/>
                <w:color w:val="FFFFFF"/>
                <w:sz w:val="19"/>
              </w:rPr>
              <w:t>Item</w:t>
            </w:r>
          </w:p>
        </w:tc>
        <w:tc>
          <w:tcPr>
            <w:tcW w:type="dxa" w:w="2016"/>
            <w:shd w:val="clear" w:fill="1F355E"/>
          </w:tcPr>
          <w:p>
            <w:pPr>
              <w:spacing w:after="40"/>
            </w:pPr>
            <w:r>
              <w:rPr>
                <w:b/>
                <w:color w:val="FFFFFF"/>
                <w:sz w:val="19"/>
              </w:rPr>
              <w:t>State</w:t>
            </w:r>
          </w:p>
        </w:tc>
        <w:tc>
          <w:tcPr>
            <w:tcW w:type="dxa" w:w="5472"/>
            <w:shd w:val="clear" w:fill="1F355E"/>
          </w:tcPr>
          <w:p>
            <w:pPr>
              <w:spacing w:after="40"/>
            </w:pPr>
            <w:r>
              <w:rPr>
                <w:b/>
                <w:color w:val="FFFFFF"/>
                <w:sz w:val="19"/>
              </w:rPr>
              <w:t>Effect</w:t>
            </w:r>
          </w:p>
        </w:tc>
      </w:tr>
      <w:tr>
        <w:tc>
          <w:tcPr>
            <w:tcW w:type="dxa" w:w="2160"/>
          </w:tcPr>
          <w:p>
            <w:pPr>
              <w:spacing w:after="40"/>
            </w:pPr>
            <w:r>
              <w:rPr>
                <w:sz w:val="19"/>
              </w:rPr>
              <w:t>Per-user authorities</w:t>
            </w:r>
          </w:p>
        </w:tc>
        <w:tc>
          <w:tcPr>
            <w:tcW w:type="dxa" w:w="2016"/>
          </w:tcPr>
          <w:p>
            <w:pPr>
              <w:spacing w:after="40"/>
            </w:pPr>
            <w:r>
              <w:rPr>
                <w:sz w:val="19"/>
              </w:rPr>
              <w:t>Open decision</w:t>
            </w:r>
          </w:p>
        </w:tc>
        <w:tc>
          <w:tcPr>
            <w:tcW w:type="dxa" w:w="5472"/>
          </w:tcPr>
          <w:p>
            <w:pPr>
              <w:spacing w:after="40"/>
            </w:pPr>
            <w:r>
              <w:rPr>
                <w:sz w:val="19"/>
              </w:rPr>
              <w:t>Every authenticated user currently gets one interim admin authority. Needs an agreed user-to-capability mapping.</w:t>
            </w:r>
          </w:p>
        </w:tc>
      </w:tr>
      <w:tr>
        <w:tc>
          <w:tcPr>
            <w:tcW w:type="dxa" w:w="2160"/>
            <w:shd w:val="clear" w:fill="F5F7FA"/>
          </w:tcPr>
          <w:p>
            <w:pPr>
              <w:spacing w:after="40"/>
            </w:pPr>
            <w:r>
              <w:rPr>
                <w:sz w:val="19"/>
              </w:rPr>
              <w:t>bkd0data, ccarrblk</w:t>
            </w:r>
          </w:p>
        </w:tc>
        <w:tc>
          <w:tcPr>
            <w:tcW w:type="dxa" w:w="2016"/>
            <w:shd w:val="clear" w:fill="F5F7FA"/>
          </w:tcPr>
          <w:p>
            <w:pPr>
              <w:spacing w:after="40"/>
            </w:pPr>
            <w:r>
              <w:rPr>
                <w:sz w:val="19"/>
              </w:rPr>
              <w:t>Views absent</w:t>
            </w:r>
          </w:p>
        </w:tc>
        <w:tc>
          <w:tcPr>
            <w:tcW w:type="dxa" w:w="5472"/>
            <w:shd w:val="clear" w:fill="F5F7FA"/>
          </w:tcPr>
          <w:p>
            <w:pPr>
              <w:spacing w:after="40"/>
            </w:pPr>
            <w:r>
              <w:rPr>
                <w:sz w:val="19"/>
              </w:rPr>
              <w:t>Blocked Amount Breakup shows a total larger than its rows for affected accounts.</w:t>
            </w:r>
          </w:p>
        </w:tc>
      </w:tr>
      <w:tr>
        <w:tc>
          <w:tcPr>
            <w:tcW w:type="dxa" w:w="2160"/>
          </w:tcPr>
          <w:p>
            <w:pPr>
              <w:spacing w:after="40"/>
            </w:pPr>
            <w:r>
              <w:rPr>
                <w:sz w:val="19"/>
              </w:rPr>
              <w:t>stswiftlog</w:t>
            </w:r>
          </w:p>
        </w:tc>
        <w:tc>
          <w:tcPr>
            <w:tcW w:type="dxa" w:w="2016"/>
          </w:tcPr>
          <w:p>
            <w:pPr>
              <w:spacing w:after="40"/>
            </w:pPr>
            <w:r>
              <w:rPr>
                <w:sz w:val="19"/>
              </w:rPr>
              <w:t>View absent</w:t>
            </w:r>
          </w:p>
        </w:tc>
        <w:tc>
          <w:tcPr>
            <w:tcW w:type="dxa" w:w="5472"/>
          </w:tcPr>
          <w:p>
            <w:pPr>
              <w:spacing w:after="40"/>
            </w:pPr>
            <w:r>
              <w:rPr>
                <w:sz w:val="19"/>
              </w:rPr>
              <w:t>Transfer Detail's pending-amendment guard never fires.</w:t>
            </w:r>
          </w:p>
        </w:tc>
      </w:tr>
      <w:tr>
        <w:tc>
          <w:tcPr>
            <w:tcW w:type="dxa" w:w="2160"/>
            <w:shd w:val="clear" w:fill="F5F7FA"/>
          </w:tcPr>
          <w:p>
            <w:pPr>
              <w:spacing w:after="40"/>
            </w:pPr>
            <w:r>
              <w:rPr>
                <w:sz w:val="19"/>
              </w:rPr>
              <w:t>Card customer header</w:t>
            </w:r>
          </w:p>
        </w:tc>
        <w:tc>
          <w:tcPr>
            <w:tcW w:type="dxa" w:w="2016"/>
            <w:shd w:val="clear" w:fill="F5F7FA"/>
          </w:tcPr>
          <w:p>
            <w:pPr>
              <w:spacing w:after="40"/>
            </w:pPr>
            <w:r>
              <w:rPr>
                <w:sz w:val="19"/>
              </w:rPr>
              <w:t>Needs DB #2</w:t>
            </w:r>
          </w:p>
        </w:tc>
        <w:tc>
          <w:tcPr>
            <w:tcW w:type="dxa" w:w="5472"/>
            <w:shd w:val="clear" w:fill="F5F7FA"/>
          </w:tcPr>
          <w:p>
            <w:pPr>
              <w:spacing w:after="40"/>
            </w:pPr>
            <w:r>
              <w:rPr>
                <w:sz w:val="19"/>
              </w:rPr>
              <w:t>The only genuine remaining gateway dependency; marked in JdbcCardRepository.</w:t>
            </w:r>
          </w:p>
        </w:tc>
      </w:tr>
      <w:tr>
        <w:tc>
          <w:tcPr>
            <w:tcW w:type="dxa" w:w="2160"/>
          </w:tcPr>
          <w:p>
            <w:pPr>
              <w:spacing w:after="40"/>
            </w:pPr>
            <w:r>
              <w:rPr>
                <w:sz w:val="19"/>
              </w:rPr>
              <w:t>SADAD live bill enquiry</w:t>
            </w:r>
          </w:p>
        </w:tc>
        <w:tc>
          <w:tcPr>
            <w:tcW w:type="dxa" w:w="2016"/>
          </w:tcPr>
          <w:p>
            <w:pPr>
              <w:spacing w:after="40"/>
            </w:pPr>
            <w:r>
              <w:rPr>
                <w:sz w:val="19"/>
              </w:rPr>
              <w:t>Not scaffolded</w:t>
            </w:r>
          </w:p>
        </w:tc>
        <w:tc>
          <w:tcPr>
            <w:tcW w:type="dxa" w:w="5472"/>
          </w:tcPr>
          <w:p>
            <w:pPr>
              <w:spacing w:after="40"/>
            </w:pPr>
            <w:r>
              <w:rPr>
                <w:sz w:val="19"/>
              </w:rPr>
              <w:t>Gateway decision pending; the archived SADAD log screen works.</w:t>
            </w:r>
          </w:p>
        </w:tc>
      </w:tr>
      <w:tr>
        <w:tc>
          <w:tcPr>
            <w:tcW w:type="dxa" w:w="2160"/>
            <w:shd w:val="clear" w:fill="F5F7FA"/>
          </w:tcPr>
          <w:p>
            <w:pPr>
              <w:spacing w:after="40"/>
            </w:pPr>
            <w:r>
              <w:rPr>
                <w:sz w:val="19"/>
              </w:rPr>
              <w:t>Statement DB table names</w:t>
            </w:r>
          </w:p>
        </w:tc>
        <w:tc>
          <w:tcPr>
            <w:tcW w:type="dxa" w:w="2016"/>
            <w:shd w:val="clear" w:fill="F5F7FA"/>
          </w:tcPr>
          <w:p>
            <w:pPr>
              <w:spacing w:after="40"/>
            </w:pPr>
            <w:r>
              <w:rPr>
                <w:sz w:val="19"/>
              </w:rPr>
              <w:t>Three of four are placeholders</w:t>
            </w:r>
          </w:p>
        </w:tc>
        <w:tc>
          <w:tcPr>
            <w:tcW w:type="dxa" w:w="5472"/>
            <w:shd w:val="clear" w:fill="F5F7FA"/>
          </w:tcPr>
          <w:p>
            <w:pPr>
              <w:spacing w:after="40"/>
            </w:pPr>
            <w:r>
              <w:rPr>
                <w:sz w:val="19"/>
              </w:rPr>
              <w:t>Only PDP_STMT_TXN is confirmed. Correct them before enabling DB #3 — a wrong name is a clean startup and a query-time ORA-00942.</w:t>
            </w:r>
          </w:p>
        </w:tc>
      </w:tr>
      <w:tr>
        <w:tc>
          <w:tcPr>
            <w:tcW w:type="dxa" w:w="2160"/>
          </w:tcPr>
          <w:p>
            <w:pPr>
              <w:spacing w:after="40"/>
            </w:pPr>
            <w:r>
              <w:rPr>
                <w:sz w:val="19"/>
              </w:rPr>
              <w:t>Documentation drift</w:t>
            </w:r>
          </w:p>
        </w:tc>
        <w:tc>
          <w:tcPr>
            <w:tcW w:type="dxa" w:w="2016"/>
          </w:tcPr>
          <w:p>
            <w:pPr>
              <w:spacing w:after="40"/>
            </w:pPr>
            <w:r>
              <w:rPr>
                <w:sz w:val="19"/>
              </w:rPr>
              <w:t>Minor</w:t>
            </w:r>
          </w:p>
        </w:tc>
        <w:tc>
          <w:tcPr>
            <w:tcW w:type="dxa" w:w="5472"/>
          </w:tcPr>
          <w:p>
            <w:pPr>
              <w:spacing w:after="40"/>
            </w:pPr>
            <w:r>
              <w:rPr>
                <w:sz w:val="19"/>
              </w:rPr>
              <w:t>README and deploy notes state Java 21 and port 8080; pom.xml sets Java 25 and application.yml sets port 8085. Worth reconciling.</w:t>
            </w:r>
          </w:p>
        </w:tc>
      </w:tr>
    </w:tbl>
    <w:p>
      <w:pPr>
        <w:spacing w:after="40"/>
      </w:pPr>
    </w:p>
    <w:p>
      <w:pPr>
        <w:pStyle w:val="Heading1"/>
      </w:pPr>
      <w:r>
        <w:t>13. Repository layout</w:t>
      </w:r>
    </w:p>
    <w:p>
      <w:pPr>
        <w:spacing w:before="120" w:after="160"/>
        <w:ind w:left="317"/>
        <w:shd w:val="clear" w:fill="F2F4F8"/>
      </w:pPr>
      <w:r>
        <w:rPr>
          <w:rFonts w:ascii="Consolas" w:hAnsi="Consolas"/>
          <w:color w:val="223344"/>
          <w:sz w:val="17"/>
        </w:rPr>
        <w:t>BankMaster/</w:t>
        <w:br/>
      </w:r>
      <w:r>
        <w:rPr>
          <w:rFonts w:ascii="Consolas" w:hAnsi="Consolas"/>
          <w:color w:val="223344"/>
          <w:sz w:val="17"/>
        </w:rPr>
        <w:t xml:space="preserve">  bank-ui/          React SPA — 47 screens, shared components, i18n</w:t>
        <w:br/>
      </w:r>
      <w:r>
        <w:rPr>
          <w:rFonts w:ascii="Consolas" w:hAnsi="Consolas"/>
          <w:color w:val="223344"/>
          <w:sz w:val="17"/>
        </w:rPr>
        <w:t xml:space="preserve">  bank-api/         Spring Boot API; QUERY-SPECS.md holds the per-method</w:t>
        <w:br/>
      </w:r>
      <w:r>
        <w:rPr>
          <w:rFonts w:ascii="Consolas" w:hAnsi="Consolas"/>
          <w:color w:val="223344"/>
          <w:sz w:val="17"/>
        </w:rPr>
        <w:t xml:space="preserve">                    query specifications extracted from the C code</w:t>
        <w:br/>
      </w:r>
      <w:r>
        <w:rPr>
          <w:rFonts w:ascii="Consolas" w:hAnsi="Consolas"/>
          <w:color w:val="223344"/>
          <w:sz w:val="17"/>
        </w:rPr>
        <w:t xml:space="preserve">  deploy/           jar, drivers/, runtime properties, start scripts</w:t>
        <w:br/>
      </w:r>
      <w:r>
        <w:rPr>
          <w:rFonts w:ascii="Consolas" w:hAnsi="Consolas"/>
          <w:color w:val="223344"/>
          <w:sz w:val="17"/>
        </w:rPr>
        <w:t xml:space="preserve">  docs/             the legacy material and the derived maps:</w:t>
        <w:br/>
      </w:r>
      <w:r>
        <w:rPr>
          <w:rFonts w:ascii="Consolas" w:hAnsi="Consolas"/>
          <w:color w:val="223344"/>
          <w:sz w:val="17"/>
        </w:rPr>
        <w:t xml:space="preserve">                      CSD for CBS-CMS VER 4.0.5/   VB6 client source</w:t>
        <w:br/>
      </w:r>
      <w:r>
        <w:rPr>
          <w:rFonts w:ascii="Consolas" w:hAnsi="Consolas"/>
          <w:color w:val="223344"/>
          <w:sz w:val="17"/>
        </w:rPr>
        <w:t xml:space="preserve">                      CSD C Code/                  cbcmssrv server source</w:t>
        <w:br/>
      </w:r>
      <w:r>
        <w:rPr>
          <w:rFonts w:ascii="Consolas" w:hAnsi="Consolas"/>
          <w:color w:val="223344"/>
          <w:sz w:val="17"/>
        </w:rPr>
        <w:t xml:space="preserve">                      Screens/                     captures of the running app</w:t>
        <w:br/>
      </w:r>
      <w:r>
        <w:rPr>
          <w:rFonts w:ascii="Consolas" w:hAnsi="Consolas"/>
          <w:color w:val="223344"/>
          <w:sz w:val="17"/>
        </w:rPr>
        <w:t xml:space="preserve">                      BM archival Version 9.xlsx   107-table data dictionary</w:t>
        <w:br/>
      </w:r>
      <w:r>
        <w:rPr>
          <w:rFonts w:ascii="Consolas" w:hAnsi="Consolas"/>
          <w:color w:val="223344"/>
          <w:sz w:val="17"/>
        </w:rPr>
        <w:t xml:space="preserve">                      SCREEN-FLOW.md, SCREEN-TABLE-MAP.md,</w:t>
        <w:br/>
      </w:r>
      <w:r>
        <w:rPr>
          <w:rFonts w:ascii="Consolas" w:hAnsi="Consolas"/>
          <w:color w:val="223344"/>
          <w:sz w:val="17"/>
        </w:rPr>
        <w:t xml:space="preserve">                      SCREEN-FIELD-MAP.md, DENODO-VIEWS.md</w:t>
        <w:br/>
      </w:r>
      <w:r>
        <w:rPr>
          <w:rFonts w:ascii="Consolas" w:hAnsi="Consolas"/>
          <w:color w:val="223344"/>
          <w:sz w:val="17"/>
        </w:rPr>
        <w:t xml:space="preserve">  banksystem-source/  earlier design mock-up — look here for an existing</w:t>
        <w:br/>
      </w:r>
      <w:r>
        <w:rPr>
          <w:rFonts w:ascii="Consolas" w:hAnsi="Consolas"/>
          <w:color w:val="223344"/>
          <w:sz w:val="17"/>
        </w:rPr>
        <w:t xml:space="preserve">                      screen design before rebuilding one (hardcoded data)</w:t>
      </w:r>
    </w:p>
    <w:p>
      <w:pPr>
        <w:pStyle w:val="Heading1"/>
      </w:pPr>
      <w:r>
        <w:t>14. Glossary</w:t>
      </w:r>
    </w:p>
    <w:tbl>
      <w:tblPr>
        <w:tblStyle w:val="TableGrid"/>
        <w:tblW w:type="auto" w:w="0"/>
        <w:jc w:val="left"/>
        <w:tblLook w:firstColumn="1" w:firstRow="1" w:lastColumn="0" w:lastRow="0" w:noHBand="0" w:noVBand="1" w:val="04A0"/>
      </w:tblPr>
      <w:tblGrid>
        <w:gridCol w:w="4824"/>
        <w:gridCol w:w="4824"/>
      </w:tblGrid>
      <w:tr>
        <w:tc>
          <w:tcPr>
            <w:tcW w:type="dxa" w:w="1872"/>
            <w:shd w:val="clear" w:fill="1F355E"/>
          </w:tcPr>
          <w:p>
            <w:pPr>
              <w:spacing w:after="40"/>
            </w:pPr>
            <w:r>
              <w:rPr>
                <w:b/>
                <w:color w:val="FFFFFF"/>
                <w:sz w:val="19"/>
              </w:rPr>
              <w:t>Term</w:t>
            </w:r>
          </w:p>
        </w:tc>
        <w:tc>
          <w:tcPr>
            <w:tcW w:type="dxa" w:w="7776"/>
            <w:shd w:val="clear" w:fill="1F355E"/>
          </w:tcPr>
          <w:p>
            <w:pPr>
              <w:spacing w:after="40"/>
            </w:pPr>
            <w:r>
              <w:rPr>
                <w:b/>
                <w:color w:val="FFFFFF"/>
                <w:sz w:val="19"/>
              </w:rPr>
              <w:t>Meaning</w:t>
            </w:r>
          </w:p>
        </w:tc>
      </w:tr>
      <w:tr>
        <w:tc>
          <w:tcPr>
            <w:tcW w:type="dxa" w:w="1872"/>
          </w:tcPr>
          <w:p>
            <w:pPr>
              <w:spacing w:after="40"/>
            </w:pPr>
            <w:r>
              <w:rPr>
                <w:sz w:val="19"/>
              </w:rPr>
              <w:t>BM</w:t>
            </w:r>
          </w:p>
        </w:tc>
        <w:tc>
          <w:tcPr>
            <w:tcW w:type="dxa" w:w="7776"/>
          </w:tcPr>
          <w:p>
            <w:pPr>
              <w:spacing w:after="40"/>
            </w:pPr>
            <w:r>
              <w:rPr>
                <w:sz w:val="19"/>
              </w:rPr>
              <w:t>BankMaster — the core banking system whose static data this application reads.</w:t>
            </w:r>
          </w:p>
        </w:tc>
      </w:tr>
      <w:tr>
        <w:tc>
          <w:tcPr>
            <w:tcW w:type="dxa" w:w="1872"/>
            <w:shd w:val="clear" w:fill="F5F7FA"/>
          </w:tcPr>
          <w:p>
            <w:pPr>
              <w:spacing w:after="40"/>
            </w:pPr>
            <w:r>
              <w:rPr>
                <w:sz w:val="19"/>
              </w:rPr>
              <w:t>CSD</w:t>
            </w:r>
          </w:p>
        </w:tc>
        <w:tc>
          <w:tcPr>
            <w:tcW w:type="dxa" w:w="7776"/>
            <w:shd w:val="clear" w:fill="F5F7FA"/>
          </w:tcPr>
          <w:p>
            <w:pPr>
              <w:spacing w:after="40"/>
            </w:pPr>
            <w:r>
              <w:rPr>
                <w:sz w:val="19"/>
              </w:rPr>
              <w:t>Customer Service Desk — the application being replaced.</w:t>
            </w:r>
          </w:p>
        </w:tc>
      </w:tr>
      <w:tr>
        <w:tc>
          <w:tcPr>
            <w:tcW w:type="dxa" w:w="1872"/>
          </w:tcPr>
          <w:p>
            <w:pPr>
              <w:spacing w:after="40"/>
            </w:pPr>
            <w:r>
              <w:rPr>
                <w:sz w:val="19"/>
              </w:rPr>
              <w:t>cbcmssrv</w:t>
            </w:r>
          </w:p>
        </w:tc>
        <w:tc>
          <w:tcPr>
            <w:tcW w:type="dxa" w:w="7776"/>
          </w:tcPr>
          <w:p>
            <w:pPr>
              <w:spacing w:after="40"/>
            </w:pPr>
            <w:r>
              <w:rPr>
                <w:sz w:val="19"/>
              </w:rPr>
              <w:t>The legacy C server: fixed-length messages over TCP/IP, ISAM reads, Finacle gateway.</w:t>
            </w:r>
          </w:p>
        </w:tc>
      </w:tr>
      <w:tr>
        <w:tc>
          <w:tcPr>
            <w:tcW w:type="dxa" w:w="1872"/>
            <w:shd w:val="clear" w:fill="F5F7FA"/>
          </w:tcPr>
          <w:p>
            <w:pPr>
              <w:spacing w:after="40"/>
            </w:pPr>
            <w:r>
              <w:rPr>
                <w:sz w:val="19"/>
              </w:rPr>
              <w:t>BankingDate</w:t>
            </w:r>
          </w:p>
        </w:tc>
        <w:tc>
          <w:tcPr>
            <w:tcW w:type="dxa" w:w="7776"/>
            <w:shd w:val="clear" w:fill="F5F7FA"/>
          </w:tcPr>
          <w:p>
            <w:pPr>
              <w:spacing w:after="40"/>
            </w:pPr>
            <w:r>
              <w:rPr>
                <w:sz w:val="19"/>
              </w:rPr>
              <w:t>The ETL's restore-snapshot column carried by every archival view; every query filters on it.</w:t>
            </w:r>
          </w:p>
        </w:tc>
      </w:tr>
      <w:tr>
        <w:tc>
          <w:tcPr>
            <w:tcW w:type="dxa" w:w="1872"/>
          </w:tcPr>
          <w:p>
            <w:pPr>
              <w:spacing w:after="40"/>
            </w:pPr>
            <w:r>
              <w:rPr>
                <w:sz w:val="19"/>
              </w:rPr>
              <w:t>Denodo</w:t>
            </w:r>
          </w:p>
        </w:tc>
        <w:tc>
          <w:tcPr>
            <w:tcW w:type="dxa" w:w="7776"/>
          </w:tcPr>
          <w:p>
            <w:pPr>
              <w:spacing w:after="40"/>
            </w:pPr>
            <w:r>
              <w:rPr>
                <w:sz w:val="19"/>
              </w:rPr>
              <w:t>The data virtualisation layer exposing the archival schema as JDBC-queryable Hive views.</w:t>
            </w:r>
          </w:p>
        </w:tc>
      </w:tr>
      <w:tr>
        <w:tc>
          <w:tcPr>
            <w:tcW w:type="dxa" w:w="1872"/>
            <w:shd w:val="clear" w:fill="F5F7FA"/>
          </w:tcPr>
          <w:p>
            <w:pPr>
              <w:spacing w:after="40"/>
            </w:pPr>
            <w:r>
              <w:rPr>
                <w:sz w:val="19"/>
              </w:rPr>
              <w:t>SAMA category</w:t>
            </w:r>
          </w:p>
        </w:tc>
        <w:tc>
          <w:tcPr>
            <w:tcW w:type="dxa" w:w="7776"/>
            <w:shd w:val="clear" w:fill="F5F7FA"/>
          </w:tcPr>
          <w:p>
            <w:pPr>
              <w:spacing w:after="40"/>
            </w:pPr>
            <w:r>
              <w:rPr>
                <w:sz w:val="19"/>
              </w:rPr>
              <w:t>The main/sub category pair that decides which customer profile screen opens.</w:t>
            </w:r>
          </w:p>
        </w:tc>
      </w:tr>
      <w:tr>
        <w:tc>
          <w:tcPr>
            <w:tcW w:type="dxa" w:w="1872"/>
          </w:tcPr>
          <w:p>
            <w:pPr>
              <w:spacing w:after="40"/>
            </w:pPr>
            <w:r>
              <w:rPr>
                <w:sz w:val="19"/>
              </w:rPr>
              <w:t>Overpunch</w:t>
            </w:r>
          </w:p>
        </w:tc>
        <w:tc>
          <w:tcPr>
            <w:tcW w:type="dxa" w:w="7776"/>
          </w:tcPr>
          <w:p>
            <w:pPr>
              <w:spacing w:after="40"/>
            </w:pPr>
            <w:r>
              <w:rPr>
                <w:sz w:val="19"/>
              </w:rPr>
              <w:t>A BankMaster convention folding a number's sign into its final character.</w:t>
            </w:r>
          </w:p>
        </w:tc>
      </w:tr>
      <w:tr>
        <w:tc>
          <w:tcPr>
            <w:tcW w:type="dxa" w:w="1872"/>
            <w:shd w:val="clear" w:fill="F5F7FA"/>
          </w:tcPr>
          <w:p>
            <w:pPr>
              <w:spacing w:after="40"/>
            </w:pPr>
            <w:r>
              <w:rPr>
                <w:sz w:val="19"/>
              </w:rPr>
              <w:t>Authority code</w:t>
            </w:r>
          </w:p>
        </w:tc>
        <w:tc>
          <w:tcPr>
            <w:tcW w:type="dxa" w:w="7776"/>
            <w:shd w:val="clear" w:fill="F5F7FA"/>
          </w:tcPr>
          <w:p>
            <w:pPr>
              <w:spacing w:after="40"/>
            </w:pPr>
            <w:r>
              <w:rPr>
                <w:sz w:val="19"/>
              </w:rPr>
              <w:t>A legacy ~NN capability marker gating screens and buttons; ~99 marks an enquiry-only user.</w:t>
            </w:r>
          </w:p>
        </w:tc>
      </w:tr>
    </w:tbl>
    <w:p>
      <w:pPr>
        <w:spacing w:after="4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BankSystem CSD Enquiry — Design Document   ·   Internal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1F355E"/>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55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5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