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5BCEF" w14:textId="68584D1A" w:rsidR="00D20125" w:rsidRPr="00D20125" w:rsidRDefault="00D20125" w:rsidP="00D20125">
      <w:pPr>
        <w:keepNext/>
        <w:tabs>
          <w:tab w:val="left" w:pos="4260"/>
        </w:tabs>
        <w:spacing w:before="3720" w:after="600" w:line="240" w:lineRule="auto"/>
        <w:rPr>
          <w:rFonts w:ascii="Arial" w:eastAsia="Times New Roman" w:hAnsi="Arial" w:cs="Traditional Arabic"/>
          <w:b/>
          <w:bCs/>
          <w:color w:val="0000FF"/>
          <w:kern w:val="28"/>
          <w:sz w:val="32"/>
          <w:szCs w:val="32"/>
          <w:lang w:val="en-GB" w:eastAsia="en-GB"/>
        </w:rPr>
      </w:pPr>
      <w:r>
        <w:rPr>
          <w:rFonts w:ascii="Arial" w:eastAsia="Times New Roman" w:hAnsi="Arial" w:cs="Traditional Arabic"/>
          <w:b/>
          <w:bCs/>
          <w:color w:val="0000FF"/>
          <w:kern w:val="28"/>
          <w:sz w:val="32"/>
          <w:szCs w:val="32"/>
          <w:lang w:val="en-GB" w:eastAsia="en-GB"/>
        </w:rPr>
        <w:tab/>
      </w:r>
    </w:p>
    <w:tbl>
      <w:tblPr>
        <w:tblW w:w="0" w:type="auto"/>
        <w:tblInd w:w="1101"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7796"/>
      </w:tblGrid>
      <w:tr w:rsidR="00D20125" w:rsidRPr="00D20125" w14:paraId="676963E2" w14:textId="77777777" w:rsidTr="007C7FA6">
        <w:tc>
          <w:tcPr>
            <w:tcW w:w="7796" w:type="dxa"/>
            <w:tcBorders>
              <w:top w:val="double" w:sz="6" w:space="0" w:color="auto"/>
            </w:tcBorders>
          </w:tcPr>
          <w:p w14:paraId="04CDD4CD" w14:textId="77777777" w:rsidR="00D20125" w:rsidRPr="00D20125" w:rsidRDefault="00D20125" w:rsidP="00D20125">
            <w:pPr>
              <w:keepNext/>
              <w:spacing w:before="600" w:after="600" w:line="240" w:lineRule="auto"/>
              <w:jc w:val="center"/>
              <w:rPr>
                <w:rFonts w:ascii="Arial" w:eastAsia="Times New Roman" w:hAnsi="Arial" w:cs="Traditional Arabic"/>
                <w:b/>
                <w:bCs/>
                <w:color w:val="000080"/>
                <w:kern w:val="28"/>
                <w:sz w:val="32"/>
                <w:szCs w:val="32"/>
                <w:lang w:val="en-GB" w:eastAsia="en-GB"/>
              </w:rPr>
            </w:pPr>
            <w:r w:rsidRPr="00D20125">
              <w:rPr>
                <w:rFonts w:ascii="Arial" w:eastAsia="Times New Roman" w:hAnsi="Arial" w:cs="Traditional Arabic"/>
                <w:b/>
                <w:bCs/>
                <w:color w:val="000080"/>
                <w:kern w:val="28"/>
                <w:sz w:val="32"/>
                <w:szCs w:val="38"/>
                <w:lang w:val="en-GB"/>
              </w:rPr>
              <w:t>Design Specification</w:t>
            </w:r>
          </w:p>
        </w:tc>
      </w:tr>
      <w:tr w:rsidR="00D20125" w:rsidRPr="00D20125" w14:paraId="4A484145" w14:textId="77777777" w:rsidTr="007C7FA6">
        <w:tc>
          <w:tcPr>
            <w:tcW w:w="7796" w:type="dxa"/>
            <w:tcBorders>
              <w:bottom w:val="double" w:sz="6" w:space="0" w:color="auto"/>
            </w:tcBorders>
          </w:tcPr>
          <w:p w14:paraId="5129C3C5" w14:textId="489C39A2" w:rsidR="00D20125" w:rsidRPr="00D20125" w:rsidRDefault="00D20125" w:rsidP="00D20125">
            <w:pPr>
              <w:keepNext/>
              <w:spacing w:before="600" w:after="600" w:line="240" w:lineRule="auto"/>
              <w:jc w:val="center"/>
              <w:rPr>
                <w:rFonts w:ascii="Arial" w:eastAsia="Times New Roman" w:hAnsi="Arial" w:cs="Traditional Arabic"/>
                <w:b/>
                <w:bCs/>
                <w:color w:val="000080"/>
                <w:kern w:val="28"/>
                <w:sz w:val="32"/>
                <w:szCs w:val="32"/>
                <w:lang w:eastAsia="en-GB"/>
              </w:rPr>
            </w:pPr>
            <w:r>
              <w:rPr>
                <w:rFonts w:ascii="Arial" w:eastAsia="Times New Roman" w:hAnsi="Arial" w:cs="Traditional Arabic"/>
                <w:b/>
                <w:bCs/>
                <w:color w:val="000080"/>
                <w:kern w:val="28"/>
                <w:sz w:val="32"/>
                <w:szCs w:val="38"/>
                <w:lang w:val="en-GB"/>
              </w:rPr>
              <w:t xml:space="preserve">Bankmaster Archival - CSD Enquiry Application</w:t>
            </w:r>
          </w:p>
        </w:tc>
      </w:tr>
    </w:tbl>
    <w:p w14:paraId="50FCD2B3" w14:textId="77777777" w:rsidR="00D20125" w:rsidRPr="00D20125" w:rsidRDefault="00D20125" w:rsidP="00D20125">
      <w:pPr>
        <w:keepNext/>
        <w:tabs>
          <w:tab w:val="left" w:pos="720"/>
        </w:tabs>
        <w:spacing w:before="60" w:after="120" w:line="240" w:lineRule="auto"/>
        <w:ind w:left="992"/>
        <w:jc w:val="center"/>
        <w:rPr>
          <w:rFonts w:ascii="Times New Roman" w:eastAsia="Times New Roman" w:hAnsi="Times New Roman" w:cs="Traditional Arabic"/>
          <w:sz w:val="24"/>
          <w:szCs w:val="24"/>
        </w:rPr>
      </w:pPr>
    </w:p>
    <w:p w14:paraId="0E2C06AE" w14:textId="77777777" w:rsidR="00D20125" w:rsidRPr="00D20125" w:rsidRDefault="00D20125" w:rsidP="00D20125">
      <w:pPr>
        <w:keepNext/>
        <w:pageBreakBefore/>
        <w:spacing w:before="120" w:after="600" w:line="240" w:lineRule="auto"/>
        <w:ind w:left="994"/>
        <w:jc w:val="center"/>
        <w:rPr>
          <w:rFonts w:ascii="Arial" w:eastAsia="Times New Roman" w:hAnsi="Arial" w:cs="Traditional Arabic"/>
          <w:b/>
          <w:bCs/>
          <w:color w:val="0000FF"/>
          <w:kern w:val="28"/>
          <w:sz w:val="32"/>
          <w:szCs w:val="32"/>
          <w:lang w:val="en-GB" w:eastAsia="en-GB"/>
        </w:rPr>
        <w:sectPr w:rsidR="00D20125" w:rsidRPr="00D20125">
          <w:headerReference w:type="even" r:id="rId7"/>
          <w:headerReference w:type="default" r:id="rId8"/>
          <w:footerReference w:type="even" r:id="rId9"/>
          <w:footerReference w:type="default" r:id="rId10"/>
          <w:headerReference w:type="first" r:id="rId11"/>
          <w:footerReference w:type="first" r:id="rId12"/>
          <w:pgSz w:w="11909" w:h="16834" w:code="9"/>
          <w:pgMar w:top="1440" w:right="852" w:bottom="1440" w:left="988" w:header="720" w:footer="720" w:gutter="288"/>
          <w:cols w:space="720"/>
        </w:sectPr>
      </w:pPr>
    </w:p>
    <w:p w14:paraId="4A08F908" w14:textId="77777777" w:rsidR="00D20125" w:rsidRPr="00D20125" w:rsidRDefault="00D20125" w:rsidP="00D20125">
      <w:pPr>
        <w:keepNext/>
        <w:pageBreakBefore/>
        <w:spacing w:before="120" w:after="600" w:line="240" w:lineRule="auto"/>
        <w:ind w:left="994"/>
        <w:jc w:val="center"/>
        <w:rPr>
          <w:rFonts w:ascii="Arial" w:eastAsia="Times New Roman" w:hAnsi="Arial" w:cs="Traditional Arabic"/>
          <w:b/>
          <w:bCs/>
          <w:color w:val="0000FF"/>
          <w:kern w:val="28"/>
          <w:sz w:val="32"/>
          <w:szCs w:val="32"/>
          <w:lang w:val="en-GB" w:eastAsia="en-GB"/>
        </w:rPr>
      </w:pPr>
      <w:r w:rsidRPr="00D20125">
        <w:rPr>
          <w:rFonts w:ascii="Arial" w:eastAsia="Times New Roman" w:hAnsi="Arial" w:cs="Traditional Arabic"/>
          <w:b/>
          <w:bCs/>
          <w:color w:val="0000FF"/>
          <w:kern w:val="28"/>
          <w:sz w:val="32"/>
          <w:szCs w:val="32"/>
          <w:lang w:val="en-GB" w:eastAsia="en-GB"/>
        </w:rPr>
        <w:lastRenderedPageBreak/>
        <w:t>Contents</w:t>
      </w:r>
    </w:p>
    <w:p>
      <w:pPr>
        <w:spacing w:before="60" w:after="120" w:line="240" w:lineRule="auto"/>
        <w:ind w:left="992"/>
        <w:rPr>
          <w:rFonts w:ascii="Times New Roman" w:eastAsia="Times New Roman" w:hAnsi="Times New Roman" w:cs="Traditional Arabic"/>
          <w:sz w:val="24"/>
          <w:szCs w:val="24"/>
        </w:rPr>
      </w:pPr>
      <w:r>
        <w:rPr>
          <w:rFonts w:ascii="Times New Roman" w:eastAsia="Times New Roman" w:hAnsi="Times New Roman" w:cs="Traditional Arabic"/>
          <w:sz w:val="24"/>
          <w:szCs w:val="24"/>
        </w:rPr>
        <w:fldChar w:fldCharType="begin" w:dirty="true"/>
      </w:r>
      <w:r>
        <w:rPr>
          <w:rFonts w:ascii="Times New Roman" w:eastAsia="Times New Roman" w:hAnsi="Times New Roman" w:cs="Traditional Arabic"/>
          <w:sz w:val="24"/>
          <w:szCs w:val="24"/>
        </w:rPr>
        <w:instrText xml:space="preserve"> TOC \o "1-3" \h \z \u </w:instrText>
      </w:r>
      <w:r>
        <w:rPr>
          <w:rFonts w:ascii="Times New Roman" w:eastAsia="Times New Roman" w:hAnsi="Times New Roman" w:cs="Traditional Arabic"/>
          <w:sz w:val="24"/>
          <w:szCs w:val="24"/>
        </w:rPr>
        <w:fldChar w:fldCharType="separate"/>
      </w:r>
      <w:r>
        <w:rPr>
          <w:rFonts w:ascii="Times New Roman" w:eastAsia="Times New Roman" w:hAnsi="Times New Roman" w:cs="Traditional Arabic"/>
          <w:sz w:val="24"/>
          <w:szCs w:val="24"/>
        </w:rPr>
        <w:t xml:space="preserve">Right-click and choose Update Field to build the table of contents.</w:t>
      </w:r>
      <w:r>
        <w:rPr>
          <w:rFonts w:ascii="Times New Roman" w:eastAsia="Times New Roman" w:hAnsi="Times New Roman" w:cs="Traditional Arabic"/>
          <w:sz w:val="24"/>
          <w:szCs w:val="24"/>
        </w:rPr>
        <w:fldChar w:fldCharType="end"/>
      </w:r>
    </w:p>
    <w:p>
      <w:pPr>
        <w:keepNext/>
        <w:pageBreakBefore/>
        <w:numPr>
          <w:ilvl w:val="0"/>
          <w:numId w:val="1"/>
        </w:numPr>
        <w:spacing w:before="120" w:after="120" w:line="240" w:lineRule="auto"/>
        <w:jc w:val="lowKashida"/>
        <w:outlineLvl w:val="0"/>
        <w:rPr>
          <w:rFonts w:ascii="Arial" w:eastAsia="Times New Roman" w:hAnsi="Arial" w:cs="Traditional Arabic"/>
          <w:spacing w:val="-10"/>
          <w:kern w:val="28"/>
          <w:sz w:val="32"/>
          <w:szCs w:val="32"/>
        </w:rPr>
      </w:pPr>
      <w:r>
        <w:rPr>
          <w:rFonts w:ascii="Arial" w:eastAsia="Times New Roman" w:hAnsi="Arial" w:cs="Traditional Arabic"/>
          <w:spacing w:val="-10"/>
          <w:kern w:val="28"/>
          <w:sz w:val="32"/>
          <w:szCs w:val="32"/>
        </w:rPr>
        <w:t xml:space="preserve">Introduction</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This document provides the design specification for the replacement of the Customer Service Desk (CSD) application under the Bankmaster Archival programme. The existing CSD client/server system is withdrawn and its enquiry function is rebuilt as a browser-based application reading the BankMaster archival extract through Denodo, with statements served from the Omni statement archive.</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It is written from the delivered repository rather than from intent: every statement below reflects source, configuration or legacy material that exists in the BankMaster repository today. Where something is not yet settled it is listed in section 3.3 rather than described as though it were built.</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document is addressed to four readers:</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Application support</w:t>
      </w:r>
      <w:r>
        <w:rPr>
          <w:rFonts w:ascii="Times New Roman" w:eastAsia="Times New Roman" w:hAnsi="Times New Roman" w:cs="Traditional Arabic"/>
          <w:sz w:val="24"/>
          <w:szCs w:val="24"/>
        </w:rPr>
        <w:t xml:space="preserve"> - what runs on the branch PC, which settings change in service, and how a reported error is traced to a log line.</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The Denodo and data team</w:t>
      </w:r>
      <w:r>
        <w:rPr>
          <w:rFonts w:ascii="Times New Roman" w:eastAsia="Times New Roman" w:hAnsi="Times New Roman" w:cs="Traditional Arabic"/>
          <w:sz w:val="24"/>
          <w:szCs w:val="24"/>
        </w:rPr>
        <w:t xml:space="preserve"> - which views the application queries, how they are named per environment, and the snapshot every query filters on.</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Reviewers of the port</w:t>
      </w:r>
      <w:r>
        <w:rPr>
          <w:rFonts w:ascii="Times New Roman" w:eastAsia="Times New Roman" w:hAnsi="Times New Roman" w:cs="Traditional Arabic"/>
          <w:sz w:val="24"/>
          <w:szCs w:val="24"/>
        </w:rPr>
        <w:t xml:space="preserve"> - the mapping from each legacy service code to the endpoint that replaces it, and the deliberate deviations from legacy behaviour.</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Whoever maintains the application next</w:t>
      </w:r>
      <w:r>
        <w:rPr>
          <w:rFonts w:ascii="Times New Roman" w:eastAsia="Times New Roman" w:hAnsi="Times New Roman" w:cs="Traditional Arabic"/>
          <w:sz w:val="24"/>
          <w:szCs w:val="24"/>
        </w:rPr>
        <w:t xml:space="preserve"> - the package structure, the runtime profiles and the open items.</w:t>
      </w:r>
    </w:p>
    <w:p>
      <w:pPr>
        <w:keepNext/>
        <w:pageBreakBefore/>
        <w:numPr>
          <w:ilvl w:val="0"/>
          <w:numId w:val="1"/>
        </w:numPr>
        <w:spacing w:before="120" w:after="120" w:line="240" w:lineRule="auto"/>
        <w:jc w:val="lowKashida"/>
        <w:outlineLvl w:val="0"/>
        <w:rPr>
          <w:rFonts w:ascii="Arial" w:eastAsia="Times New Roman" w:hAnsi="Arial" w:cs="Traditional Arabic"/>
          <w:spacing w:val="-10"/>
          <w:kern w:val="28"/>
          <w:sz w:val="32"/>
          <w:szCs w:val="32"/>
        </w:rPr>
      </w:pPr>
      <w:r>
        <w:rPr>
          <w:rFonts w:ascii="Arial" w:eastAsia="Times New Roman" w:hAnsi="Arial" w:cs="Traditional Arabic"/>
          <w:spacing w:val="-10"/>
          <w:kern w:val="28"/>
          <w:sz w:val="32"/>
          <w:szCs w:val="32"/>
        </w:rPr>
        <w:t xml:space="preserve">Current System Functionality</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Currently an old CSD system is used to access customer and account details. It is CSD for CBS-CMS Ver 4.0.5, a two-tier application from the CBS-CMS era, and it is preserved in the repository under </w:t>
      </w:r>
      <w:r>
        <w:rPr>
          <w:rFonts w:ascii="Courier New" w:eastAsia="Times New Roman" w:hAnsi="Courier New" w:cs="Courier New"/>
          <w:sz w:val="24"/>
          <w:szCs w:val="24"/>
        </w:rPr>
        <w:t xml:space="preserve">docs/CSD for CBS-CMS VER 4.0.5</w:t>
      </w:r>
      <w:r>
        <w:rPr>
          <w:rFonts w:ascii="Times New Roman" w:eastAsia="Times New Roman" w:hAnsi="Times New Roman" w:cs="Traditional Arabic"/>
          <w:sz w:val="24"/>
          <w:szCs w:val="24"/>
        </w:rPr>
        <w:t xml:space="preserve"> (the client) and </w:t>
      </w:r>
      <w:r>
        <w:rPr>
          <w:rFonts w:ascii="Courier New" w:eastAsia="Times New Roman" w:hAnsi="Courier New" w:cs="Courier New"/>
          <w:sz w:val="24"/>
          <w:szCs w:val="24"/>
        </w:rPr>
        <w:t xml:space="preserve">docs/CSD C Code</w:t>
      </w:r>
      <w:r>
        <w:rPr>
          <w:rFonts w:ascii="Times New Roman" w:eastAsia="Times New Roman" w:hAnsi="Times New Roman" w:cs="Traditional Arabic"/>
          <w:sz w:val="24"/>
          <w:szCs w:val="24"/>
        </w:rPr>
        <w:t xml:space="preserve"> (the server).</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8"/>
        <w:gridCol w:w="6502"/>
      </w:tblGrid>
      <w:tr>
        <w:trPr>
          <w:tblHeader/>
          <w:cantSplit/>
        </w:trPr>
        <w:tc>
          <w:tcPr>
            <w:tcW w:w="216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Component</w:t>
            </w:r>
          </w:p>
        </w:tc>
        <w:tc>
          <w:tcPr>
            <w:tcW w:w="6502"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Role</w:t>
            </w:r>
          </w:p>
        </w:tc>
      </w:tr>
      <w:tr>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Visual Basic 6 desktop client</w:t>
            </w:r>
          </w:p>
        </w:tc>
        <w:tc>
          <w:tcPr>
            <w:tcW w:w="650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operator interface: forms, screen captures and the bilingual caption tables that title every control at run time. Distributed per branch PC.</w:t>
            </w:r>
          </w:p>
        </w:tc>
      </w:tr>
      <w:tr>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cbcmssrv (C server)</w:t>
            </w:r>
          </w:p>
        </w:tc>
        <w:tc>
          <w:tcPr>
            <w:tcW w:w="650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Reached over a raw TCP/IP socket with fixed-length request and response messages - one message per action. cbserver.h defines 531 message contracts; service 16 is customer search, 21 account search, 33 the account snapshot, 67 customer update history.</w:t>
            </w:r>
          </w:p>
        </w:tc>
      </w:tr>
      <w:tr>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ISAM record files</w:t>
            </w:r>
          </w:p>
        </w:tc>
        <w:tc>
          <w:tcPr>
            <w:tcW w:w="650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BankMaster (BM) static data the server reads directly - customers, accounts, cards, standing orders, cheques, transfers and their audit logs.</w:t>
            </w:r>
          </w:p>
        </w:tc>
      </w:tr>
      <w:tr>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Finacle gateway</w:t>
            </w:r>
          </w:p>
        </w:tc>
        <w:tc>
          <w:tcPr>
            <w:tcW w:w="650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Reached by the same server for live account and transaction data that BM itself does not hold.</w:t>
            </w:r>
          </w:p>
        </w:tc>
      </w:tr>
      <w:tr>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Btrieve statement index</w:t>
            </w:r>
          </w:p>
        </w:tc>
        <w:tc>
          <w:tcPr>
            <w:tcW w:w="650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Behind the historical statement screen, pointing at zipped pre-rendered statement pages.</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client cannot be maintained or distributed any longer, and the data behind it has been retired: the BM record files now exist as an archival extract on Cloudera rather than as a live ISAM store. Both halves of the system therefore have to be replaced at once.</w:t>
      </w:r>
    </w:p>
    <w:p>
      <w:pPr>
        <w:keepNext/>
        <w:pageBreakBefore/>
        <w:numPr>
          <w:ilvl w:val="0"/>
          <w:numId w:val="1"/>
        </w:numPr>
        <w:spacing w:before="120" w:after="120" w:line="240" w:lineRule="auto"/>
        <w:jc w:val="lowKashida"/>
        <w:outlineLvl w:val="0"/>
        <w:rPr>
          <w:rFonts w:ascii="Arial" w:eastAsia="Times New Roman" w:hAnsi="Arial" w:cs="Traditional Arabic"/>
          <w:spacing w:val="-10"/>
          <w:kern w:val="28"/>
          <w:sz w:val="32"/>
          <w:szCs w:val="32"/>
        </w:rPr>
      </w:pPr>
      <w:r>
        <w:rPr>
          <w:rFonts w:ascii="Arial" w:eastAsia="Times New Roman" w:hAnsi="Arial" w:cs="Traditional Arabic"/>
          <w:spacing w:val="-10"/>
          <w:kern w:val="28"/>
          <w:sz w:val="32"/>
          <w:szCs w:val="32"/>
        </w:rPr>
        <w:t xml:space="preserve">Requirements</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A new system is to be created with Java as backend and React as frontend which will do the enquiry only for all the customer/accounts in system, with data fetched from Cloudera through Denodo views for all screen actions and from the Omni DB for statements.</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governing rule of the build is that behaviour is replicated from the legacy source, not reinvented from the archival schema. Where the VB6 form and the C service disagree with what the data dictionary would suggest, the legacy source wins - the search key order, the meaning of a blank input, which columns a screen reads and in what precedence all come from the original code.</w:t>
      </w:r>
    </w:p>
    <w:p>
      <w:pPr>
        <w:keepNext/>
        <w:numPr>
          <w:ilvl w:val="1"/>
          <w:numId w:val="1"/>
        </w:numPr>
        <w:tabs>
          <w:tab w:val="left" w:pos="992"/>
        </w:tabs>
        <w:spacing w:before="120" w:after="120" w:line="240" w:lineRule="auto"/>
        <w:ind w:left="993" w:hanging="993"/>
        <w:jc w:val="lowKashida"/>
        <w:outlineLvl w:val="1"/>
        <w:rPr>
          <w:rFonts w:ascii="Arial" w:eastAsia="Times New Roman" w:hAnsi="Arial" w:cs="Traditional Arabic"/>
          <w:spacing w:val="-10"/>
          <w:kern w:val="28"/>
          <w:sz w:val="28"/>
          <w:szCs w:val="33"/>
        </w:rPr>
      </w:pPr>
      <w:r>
        <w:rPr>
          <w:rFonts w:ascii="Arial" w:eastAsia="Times New Roman" w:hAnsi="Arial" w:cs="Traditional Arabic"/>
          <w:spacing w:val="-10"/>
          <w:kern w:val="28"/>
          <w:sz w:val="28"/>
          <w:szCs w:val="33"/>
        </w:rPr>
        <w:t xml:space="preserve">Functional Requirements</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This section provides the functional detail of the expected requirements.</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UI changes</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VB6 desktop client is replaced by a single-page React application served by the API itself, so there is nothing to install on a branch PC beyond a browser. The application covers </w:t>
      </w:r>
      <w:r>
        <w:rPr>
          <w:rFonts w:ascii="Times New Roman" w:eastAsia="Times New Roman" w:hAnsi="Times New Roman" w:cs="Traditional Arabic"/>
          <w:sz w:val="24"/>
          <w:szCs w:val="24"/>
          <w:b/>
          <w:bCs/>
        </w:rPr>
        <w:t xml:space="preserve">47 screens</w:t>
      </w:r>
      <w:r>
        <w:rPr>
          <w:rFonts w:ascii="Times New Roman" w:eastAsia="Times New Roman" w:hAnsi="Times New Roman" w:cs="Traditional Arabic"/>
          <w:sz w:val="24"/>
          <w:szCs w:val="24"/>
        </w:rPr>
        <w:t xml:space="preserve">. Its field inventory, labels and control types are taken from the legacy forms and their run-time caption tables; the arrangement is not: fixed VB6 frame positions are replaced by a uniform grid of grouped cards with a summary band, which is the one deliberate visual departure.</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legacy control vocabulary is reproduced in-house rather than borrowed from a component library, so that a screen reads as the original did - segmented option groups, read-only combo displays and the three-part date control all exist as shared primitives (</w:t>
      </w:r>
      <w:r>
        <w:rPr>
          <w:rFonts w:ascii="Courier New" w:eastAsia="Times New Roman" w:hAnsi="Courier New" w:cs="Courier New"/>
          <w:sz w:val="24"/>
          <w:szCs w:val="24"/>
        </w:rPr>
        <w:t xml:space="preserve">bank-ui/src/components/legacyForm.tsx</w:t>
      </w:r>
      <w:r>
        <w:rPr>
          <w:rFonts w:ascii="Times New Roman" w:eastAsia="Times New Roman" w:hAnsi="Times New Roman" w:cs="Traditional Arabic"/>
          <w:sz w:val="24"/>
          <w:szCs w:val="24"/>
        </w:rPr>
        <w:t xml:space="preserve">).</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Navigation</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Everything begins at Customer Static Data, the search screen. A search opens Search Results; each result row offers Enquiry, which opens a customer profile screen, and History, which opens Customer Update History. Five routes leave the search screen:</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4"/>
        <w:gridCol w:w="3468"/>
        <w:gridCol w:w="3468"/>
      </w:tblGrid>
      <w:tr>
        <w:trPr>
          <w:tblHeader/>
          <w:cantSplit/>
        </w:trPr>
        <w:tc>
          <w:tcPr>
            <w:tcW w:w="17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Button</w:t>
            </w:r>
          </w:p>
        </w:tc>
        <w:tc>
          <w:tcPr>
            <w:tcW w:w="346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Opens</w:t>
            </w:r>
          </w:p>
        </w:tc>
        <w:tc>
          <w:tcPr>
            <w:tcW w:w="346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Needs</w:t>
            </w:r>
          </w:p>
        </w:tc>
      </w:tr>
      <w:tr>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Search</w:t>
            </w:r>
          </w:p>
        </w:tc>
        <w:tc>
          <w:tcPr>
            <w:tcW w:w="34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Search Results</w:t>
            </w:r>
          </w:p>
        </w:tc>
        <w:tc>
          <w:tcPr>
            <w:tcW w:w="34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any search criterion</w:t>
            </w:r>
          </w:p>
        </w:tc>
      </w:tr>
      <w:tr>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Accounts</w:t>
            </w:r>
          </w:p>
        </w:tc>
        <w:tc>
          <w:tcPr>
            <w:tcW w:w="34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 Information</w:t>
            </w:r>
          </w:p>
        </w:tc>
        <w:tc>
          <w:tcPr>
            <w:tcW w:w="34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 customer, account or card number</w:t>
            </w:r>
          </w:p>
        </w:tc>
      </w:tr>
      <w:tr>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Cards</w:t>
            </w:r>
          </w:p>
        </w:tc>
        <w:tc>
          <w:tcPr>
            <w:tcW w:w="34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 Management</w:t>
            </w:r>
          </w:p>
        </w:tc>
        <w:tc>
          <w:tcPr>
            <w:tcW w:w="34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 customer, account or card number</w:t>
            </w:r>
          </w:p>
        </w:tc>
      </w:tr>
      <w:tr>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PDP Statement</w:t>
            </w:r>
          </w:p>
        </w:tc>
        <w:tc>
          <w:tcPr>
            <w:tcW w:w="34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Historical Statement Printing - PDP</w:t>
            </w:r>
          </w:p>
        </w:tc>
        <w:tc>
          <w:tcPr>
            <w:tcW w:w="34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nothing; keyed on the form</w:t>
            </w:r>
          </w:p>
        </w:tc>
      </w:tr>
      <w:tr>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Deleted Acct</w:t>
            </w:r>
          </w:p>
        </w:tc>
        <w:tc>
          <w:tcPr>
            <w:tcW w:w="34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Historical Statement Printing</w:t>
            </w:r>
          </w:p>
        </w:tc>
        <w:tc>
          <w:tcPr>
            <w:tcW w:w="34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nothing; keyed on the form</w:t>
            </w:r>
          </w:p>
        </w:tc>
      </w:tr>
    </w:tbl>
    <w:p>
      <w:pPr>
        <w:spacing w:before="60" w:after="120" w:line="240" w:lineRule="auto"/>
        <w:ind w:left="992"/>
        <w:jc w:val="lowKashida"/>
        <w:rPr>
          <w:rFonts w:ascii="Times New Roman" w:eastAsia="Times New Roman" w:hAnsi="Times New Roman" w:cs="Traditional Arabic"/>
          <w:sz w:val="24"/>
          <w:szCs w:val="24"/>
        </w:rPr>
      </w:pP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Customer profile routing</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Enquiry does not open one fixed screen. The customer's SAMA main and sub category pair decides which profile form opens, and the same rule is applied on the history route, so a customer always reaches the same form either way.</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9"/>
        <w:gridCol w:w="3716"/>
        <w:gridCol w:w="3715"/>
      </w:tblGrid>
      <w:tr>
        <w:trPr>
          <w:tblHeader/>
          <w:cantSplit/>
        </w:trPr>
        <w:tc>
          <w:tcPr>
            <w:tcW w:w="1239"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Main</w:t>
            </w:r>
          </w:p>
        </w:tc>
        <w:tc>
          <w:tcPr>
            <w:tcW w:w="3716"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Sub category</w:t>
            </w:r>
          </w:p>
        </w:tc>
        <w:tc>
          <w:tcPr>
            <w:tcW w:w="3715"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Opens</w:t>
            </w:r>
          </w:p>
        </w:tc>
      </w:tr>
      <w:tr>
        <w:tc>
          <w:tcPr>
            <w:tcW w:w="1239"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01</w:t>
            </w:r>
          </w:p>
        </w:tc>
        <w:tc>
          <w:tcPr>
            <w:tcW w:w="37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01, 02, 59, 69, 73</w:t>
            </w:r>
          </w:p>
        </w:tc>
        <w:tc>
          <w:tcPr>
            <w:tcW w:w="371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Individual - Saudi</w:t>
            </w:r>
          </w:p>
        </w:tc>
      </w:tr>
      <w:tr>
        <w:tc>
          <w:tcPr>
            <w:tcW w:w="1239"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01</w:t>
            </w:r>
          </w:p>
        </w:tc>
        <w:tc>
          <w:tcPr>
            <w:tcW w:w="37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65</w:t>
            </w:r>
          </w:p>
        </w:tc>
        <w:tc>
          <w:tcPr>
            <w:tcW w:w="371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Individual - Saudi, with Heirs unlocked</w:t>
            </w:r>
          </w:p>
        </w:tc>
      </w:tr>
      <w:tr>
        <w:tc>
          <w:tcPr>
            <w:tcW w:w="1239"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01</w:t>
            </w:r>
          </w:p>
        </w:tc>
        <w:tc>
          <w:tcPr>
            <w:tcW w:w="37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03-09, 60-63, 70-72, 74, 84</w:t>
            </w:r>
          </w:p>
        </w:tc>
        <w:tc>
          <w:tcPr>
            <w:tcW w:w="371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Individual - Other Nationality</w:t>
            </w:r>
          </w:p>
        </w:tc>
      </w:tr>
      <w:tr>
        <w:tc>
          <w:tcPr>
            <w:tcW w:w="1239"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any</w:t>
            </w:r>
          </w:p>
        </w:tc>
        <w:tc>
          <w:tcPr>
            <w:tcW w:w="37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10-38, 57, 58, 64, 75, 81, 83, 87</w:t>
            </w:r>
          </w:p>
        </w:tc>
        <w:tc>
          <w:tcPr>
            <w:tcW w:w="371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Juristic - Customer Profile</w:t>
            </w:r>
          </w:p>
        </w:tc>
      </w:tr>
      <w:tr>
        <w:tc>
          <w:tcPr>
            <w:tcW w:w="1239"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any</w:t>
            </w:r>
          </w:p>
        </w:tc>
        <w:tc>
          <w:tcPr>
            <w:tcW w:w="37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41-44, 53-55, 67, 76-80, 82, 85, 86, 88</w:t>
            </w:r>
          </w:p>
        </w:tc>
        <w:tc>
          <w:tcPr>
            <w:tcW w:w="371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Juristic - Customer Profile</w:t>
            </w:r>
          </w:p>
        </w:tc>
      </w:tr>
      <w:tr>
        <w:tc>
          <w:tcPr>
            <w:tcW w:w="1239"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any</w:t>
            </w:r>
          </w:p>
        </w:tc>
        <w:tc>
          <w:tcPr>
            <w:tcW w:w="37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39, 40</w:t>
            </w:r>
          </w:p>
        </w:tc>
        <w:tc>
          <w:tcPr>
            <w:tcW w:w="371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Juristic - Resident Juristic Customer</w:t>
            </w:r>
          </w:p>
        </w:tc>
      </w:tr>
      <w:tr>
        <w:tc>
          <w:tcPr>
            <w:tcW w:w="1239"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any</w:t>
            </w:r>
          </w:p>
        </w:tc>
        <w:tc>
          <w:tcPr>
            <w:tcW w:w="37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45-52, 66</w:t>
            </w:r>
          </w:p>
        </w:tc>
        <w:tc>
          <w:tcPr>
            <w:tcW w:w="371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Juristic - Non-Resident Juristic Customer</w:t>
            </w:r>
          </w:p>
        </w:tc>
      </w:tr>
      <w:tr>
        <w:tc>
          <w:tcPr>
            <w:tcW w:w="1239"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either code blank</w:t>
            </w:r>
          </w:p>
        </w:tc>
        <w:tc>
          <w:tcPr>
            <w:tcW w:w="3716" w:type="dxa"/>
            <w:vAlign w:val="top"/>
          </w:tcPr>
          <w:p>
            <w:pPr>
              <w:spacing w:before="40" w:after="40" w:line="240" w:lineRule="auto"/>
              <w:rPr>
                <w:rFonts w:ascii="Arial" w:eastAsia="Times New Roman" w:hAnsi="Arial" w:cs="Traditional Arabic"/>
                <w:sz w:val="16"/>
                <w:szCs w:val="19"/>
              </w:rPr>
            </w:pPr>
          </w:p>
        </w:tc>
        <w:tc>
          <w:tcPr>
            <w:tcW w:w="371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Maintenance - the general customer form</w:t>
            </w:r>
          </w:p>
        </w:tc>
      </w:tr>
      <w:tr>
        <w:tc>
          <w:tcPr>
            <w:tcW w:w="1239"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00</w:t>
            </w:r>
          </w:p>
        </w:tc>
        <w:tc>
          <w:tcPr>
            <w:tcW w:w="37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00, 56, 99</w:t>
            </w:r>
          </w:p>
        </w:tc>
        <w:tc>
          <w:tcPr>
            <w:tcW w:w="371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Nothing - these are create screens, out of scope</w:t>
            </w:r>
          </w:p>
        </w:tc>
      </w:tr>
      <w:tr>
        <w:tc>
          <w:tcPr>
            <w:tcW w:w="1239"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anything else</w:t>
            </w:r>
          </w:p>
        </w:tc>
        <w:tc>
          <w:tcPr>
            <w:tcW w:w="3716" w:type="dxa"/>
            <w:vAlign w:val="top"/>
          </w:tcPr>
          <w:p>
            <w:pPr>
              <w:spacing w:before="40" w:after="40" w:line="240" w:lineRule="auto"/>
              <w:rPr>
                <w:rFonts w:ascii="Arial" w:eastAsia="Times New Roman" w:hAnsi="Arial" w:cs="Traditional Arabic"/>
                <w:sz w:val="16"/>
                <w:szCs w:val="19"/>
              </w:rPr>
            </w:pPr>
          </w:p>
        </w:tc>
        <w:tc>
          <w:tcPr>
            <w:tcW w:w="371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Nothing - a message says there is no profile screen</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Two buttons on the individual profiles are driven by the same pair: </w:t>
      </w:r>
      <w:r>
        <w:rPr>
          <w:rFonts w:ascii="Times New Roman" w:eastAsia="Times New Roman" w:hAnsi="Times New Roman" w:cs="Traditional Arabic"/>
          <w:sz w:val="24"/>
          <w:szCs w:val="24"/>
          <w:b/>
          <w:bCs/>
        </w:rPr>
        <w:t xml:space="preserve">Heirs</w:t>
      </w:r>
      <w:r>
        <w:rPr>
          <w:rFonts w:ascii="Times New Roman" w:eastAsia="Times New Roman" w:hAnsi="Times New Roman" w:cs="Traditional Arabic"/>
          <w:sz w:val="24"/>
          <w:szCs w:val="24"/>
        </w:rPr>
        <w:t xml:space="preserve"> appears for sub category 65, </w:t>
      </w:r>
      <w:r>
        <w:rPr>
          <w:rFonts w:ascii="Times New Roman" w:eastAsia="Times New Roman" w:hAnsi="Times New Roman" w:cs="Traditional Arabic"/>
          <w:sz w:val="24"/>
          <w:szCs w:val="24"/>
          <w:b/>
          <w:bCs/>
        </w:rPr>
        <w:t xml:space="preserve">References</w:t>
      </w:r>
      <w:r>
        <w:rPr>
          <w:rFonts w:ascii="Times New Roman" w:eastAsia="Times New Roman" w:hAnsi="Times New Roman" w:cs="Traditional Arabic"/>
          <w:sz w:val="24"/>
          <w:szCs w:val="24"/>
        </w:rPr>
        <w:t xml:space="preserve"> for the sub categories that carry a legal representative.</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Screen inventory and its data</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47 screens and the archival views each one reads are listed below. Field-level detail is in </w:t>
      </w:r>
      <w:r>
        <w:rPr>
          <w:rFonts w:ascii="Courier New" w:eastAsia="Times New Roman" w:hAnsi="Courier New" w:cs="Courier New"/>
          <w:sz w:val="24"/>
          <w:szCs w:val="24"/>
        </w:rPr>
        <w:t xml:space="preserve">docs/SCREEN-FIELD-MAP.md</w:t>
      </w:r>
      <w:r>
        <w:rPr>
          <w:rFonts w:ascii="Times New Roman" w:eastAsia="Times New Roman" w:hAnsi="Times New Roman" w:cs="Traditional Arabic"/>
          <w:sz w:val="24"/>
          <w:szCs w:val="24"/>
        </w:rPr>
        <w:t xml:space="preserve"> and the movement between screens in </w:t>
      </w:r>
      <w:r>
        <w:rPr>
          <w:rFonts w:ascii="Courier New" w:eastAsia="Times New Roman" w:hAnsi="Courier New" w:cs="Courier New"/>
          <w:sz w:val="24"/>
          <w:szCs w:val="24"/>
        </w:rPr>
        <w:t xml:space="preserve">docs/SCREEN-FLOW.md</w:t>
      </w:r>
      <w:r>
        <w:rPr>
          <w:rFonts w:ascii="Times New Roman" w:eastAsia="Times New Roman" w:hAnsi="Times New Roman" w:cs="Traditional Arabic"/>
          <w:sz w:val="24"/>
          <w:szCs w:val="24"/>
        </w:rPr>
        <w:t xml:space="preserve">.</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Sign-on &amp; search</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4"/>
        <w:gridCol w:w="1734"/>
        <w:gridCol w:w="2168"/>
        <w:gridCol w:w="4334"/>
      </w:tblGrid>
      <w:tr>
        <w:trPr>
          <w:tblHeader/>
          <w:cantSplit/>
        </w:trPr>
        <w:tc>
          <w:tcPr>
            <w:tcW w:w="4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w:t>
            </w:r>
          </w:p>
        </w:tc>
        <w:tc>
          <w:tcPr>
            <w:tcW w:w="17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Screen</w:t>
            </w:r>
          </w:p>
        </w:tc>
        <w:tc>
          <w:tcPr>
            <w:tcW w:w="216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Title on screen</w:t>
            </w:r>
          </w:p>
        </w:tc>
        <w:tc>
          <w:tcPr>
            <w:tcW w:w="43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Views read</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Login</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Static Data Maintenance - Logon Window</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stuser, stusrbrn, stctltabBD, stctltab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CustomerStaticData</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Static Data Maintenance</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stcusttab, stidtab, stcustlog, stcardtab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EnquirySelect</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Search Results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(none - renders the rows the search already returned)</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Customer profile</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4"/>
        <w:gridCol w:w="1734"/>
        <w:gridCol w:w="2168"/>
        <w:gridCol w:w="4334"/>
      </w:tblGrid>
      <w:tr>
        <w:trPr>
          <w:tblHeader/>
          <w:cantSplit/>
        </w:trPr>
        <w:tc>
          <w:tcPr>
            <w:tcW w:w="4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w:t>
            </w:r>
          </w:p>
        </w:tc>
        <w:tc>
          <w:tcPr>
            <w:tcW w:w="17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Screen</w:t>
            </w:r>
          </w:p>
        </w:tc>
        <w:tc>
          <w:tcPr>
            <w:tcW w:w="216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Title on screen</w:t>
            </w:r>
          </w:p>
        </w:tc>
        <w:tc>
          <w:tcPr>
            <w:tcW w:w="43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Views read</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IndividualSaudi</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Profile</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stcusttab, stidtab, staddrtab - history mode: stcustlog, stidlog, staddrlog</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IndividualSaudiAcctInfo</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stcusttab, staddrtab, stidtab - history mode adds stacclog</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6</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IndividualOthers</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Profile</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stcusttab, stidtab, staddrtab - history mode: stcustlog, stidlog, staddrlog</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7</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IndividualOthersPage2</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stcusttab, staddrtab, stidtab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8</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IndividualOthersAcctInfo</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stcusttab, staddrtab, stidtab - history mode adds stacclog</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9</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JuristicMain</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Profile / Resident Juristic Customer / Non-Resident Juristic Customer (3 variants, one file)</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stcusttab, stidtab, staddrtab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10</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JuristicAccountInfo</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stcusttab, staddrtab, stacclog, stidtab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11</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CustomerGeneric</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Maintenance</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stcusttab, stidtab, staddrtab - history mode: stcustlog, stidlog, staddrlog</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12</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CustUpdateHistory</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Update History</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stcustlog</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13</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EssentialDocuments</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Documents for Sub Category</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stctltabDC, stcusttab, stcustlog</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14</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profilePageFields</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 title - shared field blocks reused by rows 4–10)</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(none of its own)</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Related parties</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4"/>
        <w:gridCol w:w="1734"/>
        <w:gridCol w:w="2168"/>
        <w:gridCol w:w="4334"/>
      </w:tblGrid>
      <w:tr>
        <w:trPr>
          <w:tblHeader/>
          <w:cantSplit/>
        </w:trPr>
        <w:tc>
          <w:tcPr>
            <w:tcW w:w="4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w:t>
            </w:r>
          </w:p>
        </w:tc>
        <w:tc>
          <w:tcPr>
            <w:tcW w:w="17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Screen</w:t>
            </w:r>
          </w:p>
        </w:tc>
        <w:tc>
          <w:tcPr>
            <w:tcW w:w="216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Title on screen</w:t>
            </w:r>
          </w:p>
        </w:tc>
        <w:tc>
          <w:tcPr>
            <w:tcW w:w="43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Views read</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15</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JointHolders</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Joint Account Holders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stjointtab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16</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JointHolderDetail</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Joint Holder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stjointtab, stidtab, staddrtab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17</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Owners</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Owner / Management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stowntab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18</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OwnerDetail</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Owner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stowntab, stidtab, staddrtab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19</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References</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Reference / Legal Representative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stcreftab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20</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HeirsProxy</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Heirs / Proxy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stheirtab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21</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PartyDetail</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Heir Details / Reference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stheirtab or stcreftab, plus stidtab, staddrtab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22</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SignatoryGrid</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Signatory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stsigntab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23</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SignatoryDetail</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Signatory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stsigntab, stidtab</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Accounts</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4"/>
        <w:gridCol w:w="1734"/>
        <w:gridCol w:w="2168"/>
        <w:gridCol w:w="4334"/>
      </w:tblGrid>
      <w:tr>
        <w:trPr>
          <w:tblHeader/>
          <w:cantSplit/>
        </w:trPr>
        <w:tc>
          <w:tcPr>
            <w:tcW w:w="4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w:t>
            </w:r>
          </w:p>
        </w:tc>
        <w:tc>
          <w:tcPr>
            <w:tcW w:w="17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Screen</w:t>
            </w:r>
          </w:p>
        </w:tc>
        <w:tc>
          <w:tcPr>
            <w:tcW w:w="216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Title on screen</w:t>
            </w:r>
          </w:p>
        </w:tc>
        <w:tc>
          <w:tcPr>
            <w:tcW w:w="43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Views read</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24</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AccountInfo</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 Information</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gld0data - plus stctltabBD, stusrbrn for the balance-enquiry restriction</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25</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AccountMaintenance</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 Maintenance</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gld0data, stacclog, stcusttab, stctltabMM, stctltabXC</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26</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AcctUpdateHistory</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 Update History</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stacclog</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27</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AcctStatusHistory</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 Status History</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stacclog</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28</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SamaStatusHistory</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SAMA Account Status History</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stacclog (the SAMA columns of it, not stsamaacc)</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29</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BlockedAmountBreakup</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Breakup of Blocked Amount</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gld0data, aad0data, bkd0data, ccarrblk, staccblk</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Cheques &amp; standing orders</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4"/>
        <w:gridCol w:w="1734"/>
        <w:gridCol w:w="2168"/>
        <w:gridCol w:w="4334"/>
      </w:tblGrid>
      <w:tr>
        <w:trPr>
          <w:tblHeader/>
          <w:cantSplit/>
        </w:trPr>
        <w:tc>
          <w:tcPr>
            <w:tcW w:w="4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w:t>
            </w:r>
          </w:p>
        </w:tc>
        <w:tc>
          <w:tcPr>
            <w:tcW w:w="17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Screen</w:t>
            </w:r>
          </w:p>
        </w:tc>
        <w:tc>
          <w:tcPr>
            <w:tcW w:w="216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Title on screen</w:t>
            </w:r>
          </w:p>
        </w:tc>
        <w:tc>
          <w:tcPr>
            <w:tcW w:w="43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Views read</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30</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ChequeBookGrid</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Cheque Book Requests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stchqtab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31</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ChequeBookHistory</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Cheque Book History</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stchqtab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32</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StopChequeGrid</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Stop Cheque Information</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pyd0data</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33</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StopChequeDetail</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Stop Cheque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pyd0data, ststchqlog</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34</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StandingOrderGrid</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Standing Orders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sod0data</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35</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StandingOrderDetail</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Standing Order Detail</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sod0data, stsodlog, gld0data, crd0data, stcusttab</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Cards</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4"/>
        <w:gridCol w:w="1734"/>
        <w:gridCol w:w="2168"/>
        <w:gridCol w:w="4334"/>
      </w:tblGrid>
      <w:tr>
        <w:trPr>
          <w:tblHeader/>
          <w:cantSplit/>
        </w:trPr>
        <w:tc>
          <w:tcPr>
            <w:tcW w:w="4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w:t>
            </w:r>
          </w:p>
        </w:tc>
        <w:tc>
          <w:tcPr>
            <w:tcW w:w="17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Screen</w:t>
            </w:r>
          </w:p>
        </w:tc>
        <w:tc>
          <w:tcPr>
            <w:tcW w:w="216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Title on screen</w:t>
            </w:r>
          </w:p>
        </w:tc>
        <w:tc>
          <w:tcPr>
            <w:tcW w:w="43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Views read</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36</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CardGrid</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 Management</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stcardtab, stcusttab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37</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CardDetail</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 Maintenance</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stcardtab, stcusttab, stcardlog</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38</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CardUpdateHistory</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 Update History</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stcardlog</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39</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CardHistory</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 / Pin History</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stcardlog</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Transactions &amp; transfers</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4"/>
        <w:gridCol w:w="1734"/>
        <w:gridCol w:w="2168"/>
        <w:gridCol w:w="4334"/>
      </w:tblGrid>
      <w:tr>
        <w:trPr>
          <w:tblHeader/>
          <w:cantSplit/>
        </w:trPr>
        <w:tc>
          <w:tcPr>
            <w:tcW w:w="4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w:t>
            </w:r>
          </w:p>
        </w:tc>
        <w:tc>
          <w:tcPr>
            <w:tcW w:w="17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Screen</w:t>
            </w:r>
          </w:p>
        </w:tc>
        <w:tc>
          <w:tcPr>
            <w:tcW w:w="216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Title on screen</w:t>
            </w:r>
          </w:p>
        </w:tc>
        <w:tc>
          <w:tcPr>
            <w:tcW w:w="43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Views read</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40</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TransferEnquiry</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Transfer Enquiry</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rid0data</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41</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TransferDetail</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Transfer Details</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rid0data, stcusttab (name, crd0data as fallback), stswiftlog</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42</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TransactionEnquiry</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BM Transaction Enquiry</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thd0data</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43</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TransactionDetail</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Bankmaster Transaction Detail</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thd0data, stcusttab (name, crd0data as fallback)</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44</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TransactionInquiry</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Transaction Enquiry (online / gateway)</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crd0data, gld0data, thd0data, stctltabXC, stctltabBD</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Statements</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4"/>
        <w:gridCol w:w="1734"/>
        <w:gridCol w:w="2168"/>
        <w:gridCol w:w="4334"/>
      </w:tblGrid>
      <w:tr>
        <w:trPr>
          <w:tblHeader/>
          <w:cantSplit/>
        </w:trPr>
        <w:tc>
          <w:tcPr>
            <w:tcW w:w="4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w:t>
            </w:r>
          </w:p>
        </w:tc>
        <w:tc>
          <w:tcPr>
            <w:tcW w:w="17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Screen</w:t>
            </w:r>
          </w:p>
        </w:tc>
        <w:tc>
          <w:tcPr>
            <w:tcW w:w="216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Title on screen</w:t>
            </w:r>
          </w:p>
        </w:tc>
        <w:tc>
          <w:tcPr>
            <w:tcW w:w="433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Views read</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45</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OnDemandStatement</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OnLine Statement Printing</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crd0data, gld0data, thd0data, stctltabXC</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46</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HistoricalStatement</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Historical Statement Printing</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BM_TMT_HEADER, BM_STMT_TXN (statement DB)</w:t>
            </w:r>
          </w:p>
        </w:tc>
      </w:tr>
      <w:tr>
        <w:tc>
          <w:tcPr>
            <w:tcW w:w="4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47</w:t>
            </w:r>
          </w:p>
        </w:tc>
        <w:tc>
          <w:tcPr>
            <w:tcW w:w="17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PdpStatement</w:t>
            </w:r>
          </w:p>
        </w:tc>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Historical Statement Printing - PDP</w:t>
            </w:r>
          </w:p>
        </w:tc>
        <w:tc>
          <w:tcPr>
            <w:tcW w:w="43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PDP_STMT_HEADER, PDP_STMT_TXN (statement DB)</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A tenth group of views is loaded once at sign-on through </w:t>
      </w:r>
      <w:r>
        <w:rPr>
          <w:rFonts w:ascii="Courier New" w:eastAsia="Times New Roman" w:hAnsi="Courier New" w:cs="Courier New"/>
          <w:sz w:val="24"/>
          <w:szCs w:val="24"/>
        </w:rPr>
        <w:t xml:space="preserve">/api/codes</w:t>
      </w:r>
      <w:r>
        <w:rPr>
          <w:rFonts w:ascii="Times New Roman" w:eastAsia="Times New Roman" w:hAnsi="Times New Roman" w:cs="Traditional Arabic"/>
          <w:sz w:val="24"/>
          <w:szCs w:val="24"/>
        </w:rPr>
        <w:t xml:space="preserve"> and feeds every dropdown and code label on the screens above: </w:t>
      </w:r>
      <w:r>
        <w:rPr>
          <w:rFonts w:ascii="Courier New" w:eastAsia="Times New Roman" w:hAnsi="Courier New" w:cs="Courier New"/>
          <w:sz w:val="24"/>
          <w:szCs w:val="24"/>
        </w:rPr>
        <w:t xml:space="preserve">stctltab</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stctltabNA</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stctltabSS</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stctltabBD</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stctltabXC</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stctltabMM</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stctltabDC</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rid0data</w:t>
      </w:r>
      <w:r>
        <w:rPr>
          <w:rFonts w:ascii="Times New Roman" w:eastAsia="Times New Roman" w:hAnsi="Times New Roman" w:cs="Traditional Arabic"/>
          <w:sz w:val="24"/>
          <w:szCs w:val="24"/>
        </w:rPr>
        <w:t xml:space="preserve"> and </w:t>
      </w:r>
      <w:r>
        <w:rPr>
          <w:rFonts w:ascii="Courier New" w:eastAsia="Times New Roman" w:hAnsi="Courier New" w:cs="Courier New"/>
          <w:sz w:val="24"/>
          <w:szCs w:val="24"/>
        </w:rPr>
        <w:t xml:space="preserve">brcode</w:t>
      </w:r>
      <w:r>
        <w:rPr>
          <w:rFonts w:ascii="Times New Roman" w:eastAsia="Times New Roman" w:hAnsi="Times New Roman" w:cs="Traditional Arabic"/>
          <w:sz w:val="24"/>
          <w:szCs w:val="24"/>
        </w:rPr>
        <w:t xml:space="preserve">.</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Enquiry behaviour</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Paging</w:t>
      </w:r>
      <w:r>
        <w:rPr>
          <w:rFonts w:ascii="Times New Roman" w:eastAsia="Times New Roman" w:hAnsi="Times New Roman" w:cs="Traditional Arabic"/>
          <w:sz w:val="24"/>
          <w:szCs w:val="24"/>
        </w:rPr>
        <w:t xml:space="preserve"> keeps the legacy's shape but not its size. The C server returned 20 rows through </w:t>
      </w:r>
      <w:r>
        <w:rPr>
          <w:rFonts w:ascii="Courier New" w:eastAsia="Times New Roman" w:hAnsi="Courier New" w:cs="Courier New"/>
          <w:sz w:val="24"/>
          <w:szCs w:val="24"/>
        </w:rPr>
        <w:t xml:space="preserve">lastRecCount</w:t>
      </w:r>
      <w:r>
        <w:rPr>
          <w:rFonts w:ascii="Times New Roman" w:eastAsia="Times New Roman" w:hAnsi="Times New Roman" w:cs="Traditional Arabic"/>
          <w:sz w:val="24"/>
          <w:szCs w:val="24"/>
        </w:rPr>
        <w:t xml:space="preserve">; the revamp standardises on 10 per page, which fits the browser grid. The paging contract - a page plus a "more rows exist" probe - is unchanged.</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Two paging strategies exist by design.</w:t>
      </w:r>
      <w:r>
        <w:rPr>
          <w:rFonts w:ascii="Times New Roman" w:eastAsia="Times New Roman" w:hAnsi="Times New Roman" w:cs="Traditional Arabic"/>
          <w:sz w:val="24"/>
          <w:szCs w:val="24"/>
        </w:rPr>
        <w:t xml:space="preserve"> The transfer and BM transaction enquiries page inside the query with </w:t>
      </w:r>
      <w:r>
        <w:rPr>
          <w:rFonts w:ascii="Courier New" w:eastAsia="Times New Roman" w:hAnsi="Courier New" w:cs="Courier New"/>
          <w:sz w:val="24"/>
          <w:szCs w:val="24"/>
        </w:rPr>
        <w:t xml:space="preserve">OFFSET</w:t>
      </w:r>
      <w:r>
        <w:rPr>
          <w:rFonts w:ascii="Times New Roman" w:eastAsia="Times New Roman" w:hAnsi="Times New Roman" w:cs="Traditional Arabic"/>
          <w:sz w:val="24"/>
          <w:szCs w:val="24"/>
        </w:rPr>
        <w:t xml:space="preserve">/</w:t>
      </w:r>
      <w:r>
        <w:rPr>
          <w:rFonts w:ascii="Courier New" w:eastAsia="Times New Roman" w:hAnsi="Courier New" w:cs="Courier New"/>
          <w:sz w:val="24"/>
          <w:szCs w:val="24"/>
        </w:rPr>
        <w:t xml:space="preserve">FETCH FIRST</w:t>
      </w:r>
      <w:r>
        <w:rPr>
          <w:rFonts w:ascii="Times New Roman" w:eastAsia="Times New Roman" w:hAnsi="Times New Roman" w:cs="Traditional Arabic"/>
          <w:sz w:val="24"/>
          <w:szCs w:val="24"/>
        </w:rPr>
        <w:t xml:space="preserve"> and an n+1 probe, because their tables are large and the operator usually reads the first page only. The remaining grids fetch their rows and page in the browser, which is what the legacy did and is cheaper for the small result sets they return.</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Customer search is bounded by time, not row count.</w:t>
      </w:r>
      <w:r>
        <w:rPr>
          <w:rFonts w:ascii="Times New Roman" w:eastAsia="Times New Roman" w:hAnsi="Times New Roman" w:cs="Traditional Arabic"/>
          <w:sz w:val="24"/>
          <w:szCs w:val="24"/>
        </w:rPr>
        <w:t xml:space="preserve"> The legacy's </w:t>
      </w:r>
      <w:r>
        <w:rPr>
          <w:rFonts w:ascii="Courier New" w:eastAsia="Times New Roman" w:hAnsi="Courier New" w:cs="Courier New"/>
          <w:sz w:val="24"/>
          <w:szCs w:val="24"/>
        </w:rPr>
        <w:t xml:space="preserve">SEARCHTIME</w:t>
      </w:r>
      <w:r>
        <w:rPr>
          <w:rFonts w:ascii="Times New Roman" w:eastAsia="Times New Roman" w:hAnsi="Times New Roman" w:cs="Traditional Arabic"/>
          <w:sz w:val="24"/>
          <w:szCs w:val="24"/>
        </w:rPr>
        <w:t xml:space="preserve"> (30 seconds in the production </w:t>
      </w:r>
      <w:r>
        <w:rPr>
          <w:rFonts w:ascii="Courier New" w:eastAsia="Times New Roman" w:hAnsi="Courier New" w:cs="Courier New"/>
          <w:sz w:val="24"/>
          <w:szCs w:val="24"/>
        </w:rPr>
        <w:t xml:space="preserve">cbcmssrv.cfg</w:t>
      </w:r>
      <w:r>
        <w:rPr>
          <w:rFonts w:ascii="Times New Roman" w:eastAsia="Times New Roman" w:hAnsi="Times New Roman" w:cs="Traditional Arabic"/>
          <w:sz w:val="24"/>
          <w:szCs w:val="24"/>
        </w:rPr>
        <w:t xml:space="preserve">) is carried over as </w:t>
      </w:r>
      <w:r>
        <w:rPr>
          <w:rFonts w:ascii="Courier New" w:eastAsia="Times New Roman" w:hAnsi="Courier New" w:cs="Courier New"/>
          <w:sz w:val="24"/>
          <w:szCs w:val="24"/>
        </w:rPr>
        <w:t xml:space="preserve">search-timeout-seconds</w:t>
      </w:r>
      <w:r>
        <w:rPr>
          <w:rFonts w:ascii="Times New Roman" w:eastAsia="Times New Roman" w:hAnsi="Times New Roman" w:cs="Traditional Arabic"/>
          <w:sz w:val="24"/>
          <w:szCs w:val="24"/>
        </w:rPr>
        <w:t xml:space="preserve">, and the search stops and returns what it has when the clock expires - exactly as the C's </w:t>
      </w:r>
      <w:r>
        <w:rPr>
          <w:rFonts w:ascii="Courier New" w:eastAsia="Times New Roman" w:hAnsi="Courier New" w:cs="Courier New"/>
          <w:sz w:val="24"/>
          <w:szCs w:val="24"/>
        </w:rPr>
        <w:t xml:space="preserve">alarm(searchTimeOut)</w:t>
      </w:r>
      <w:r>
        <w:rPr>
          <w:rFonts w:ascii="Times New Roman" w:eastAsia="Times New Roman" w:hAnsi="Times New Roman" w:cs="Traditional Arabic"/>
          <w:sz w:val="24"/>
          <w:szCs w:val="24"/>
        </w:rPr>
        <w:t xml:space="preserve"> did.</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A screen whose source is genuinely absent says so.</w:t>
      </w:r>
      <w:r>
        <w:rPr>
          <w:rFonts w:ascii="Times New Roman" w:eastAsia="Times New Roman" w:hAnsi="Times New Roman" w:cs="Traditional Arabic"/>
          <w:sz w:val="24"/>
          <w:szCs w:val="24"/>
        </w:rPr>
        <w:t xml:space="preserve"> It answers HTTP 501 through </w:t>
      </w:r>
      <w:r>
        <w:rPr>
          <w:rFonts w:ascii="Courier New" w:eastAsia="Times New Roman" w:hAnsi="Courier New" w:cs="Courier New"/>
          <w:sz w:val="24"/>
          <w:szCs w:val="24"/>
        </w:rPr>
        <w:t xml:space="preserve">NotAvailableException</w:t>
      </w:r>
      <w:r>
        <w:rPr>
          <w:rFonts w:ascii="Times New Roman" w:eastAsia="Times New Roman" w:hAnsi="Times New Roman" w:cs="Traditional Arabic"/>
          <w:sz w:val="24"/>
          <w:szCs w:val="24"/>
        </w:rPr>
        <w:t xml:space="preserve"> rather than presenting an empty form as though it held no data.</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Sign-on and authorisation</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sign-on path has four stages:</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SPA encrypts the password with AES under a passphrase shared with the API, so the plaintext does not cross the wire. This is transport obfuscation only - TLS remains the real control.</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API verifies the credentials with an Active Directory bind (</w:t>
      </w:r>
      <w:r>
        <w:rPr>
          <w:rFonts w:ascii="Courier New" w:eastAsia="Times New Roman" w:hAnsi="Courier New" w:cs="Courier New"/>
          <w:sz w:val="24"/>
          <w:szCs w:val="24"/>
        </w:rPr>
        <w:t xml:space="preserve">bank.ldap.*</w:t>
      </w:r>
      <w:r>
        <w:rPr>
          <w:rFonts w:ascii="Times New Roman" w:eastAsia="Times New Roman" w:hAnsi="Times New Roman" w:cs="Traditional Arabic"/>
          <w:sz w:val="24"/>
          <w:szCs w:val="24"/>
        </w:rPr>
        <w:t xml:space="preserve">). It is disabled by default so a machine with no directory reachable can still be brought up on the mock profile.</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user is gated against an allow-list held in </w:t>
      </w:r>
      <w:r>
        <w:rPr>
          <w:rFonts w:ascii="Courier New" w:eastAsia="Times New Roman" w:hAnsi="Courier New" w:cs="Courier New"/>
          <w:sz w:val="24"/>
          <w:szCs w:val="24"/>
        </w:rPr>
        <w:t xml:space="preserve">bank-runtime.properties</w:t>
      </w:r>
      <w:r>
        <w:rPr>
          <w:rFonts w:ascii="Times New Roman" w:eastAsia="Times New Roman" w:hAnsi="Times New Roman" w:cs="Traditional Arabic"/>
          <w:sz w:val="24"/>
          <w:szCs w:val="24"/>
        </w:rPr>
        <w:t xml:space="preserve">. A blank list admits every authenticated user.</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On success the API issues an HS256 JWT which the SPA sends as a Bearer token on every </w:t>
      </w:r>
      <w:r>
        <w:rPr>
          <w:rFonts w:ascii="Courier New" w:eastAsia="Times New Roman" w:hAnsi="Courier New" w:cs="Courier New"/>
          <w:sz w:val="24"/>
          <w:szCs w:val="24"/>
        </w:rPr>
        <w:t xml:space="preserve">/api</w:t>
      </w:r>
      <w:r>
        <w:rPr>
          <w:rFonts w:ascii="Times New Roman" w:eastAsia="Times New Roman" w:hAnsi="Times New Roman" w:cs="Traditional Arabic"/>
          <w:sz w:val="24"/>
          <w:szCs w:val="24"/>
        </w:rPr>
        <w:t xml:space="preserve"> call. The token lives 900 seconds and slides: an authenticated call past the halfway mark returns a refreshed token, so an operator working continuously is never signed out mid-enquiry.</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Authority codes are the legacy's </w:t>
      </w:r>
      <w:r>
        <w:rPr>
          <w:rFonts w:ascii="Courier New" w:eastAsia="Times New Roman" w:hAnsi="Courier New" w:cs="Courier New"/>
          <w:sz w:val="24"/>
          <w:szCs w:val="24"/>
        </w:rPr>
        <w:t xml:space="preserve">~NN</w:t>
      </w:r>
      <w:r>
        <w:rPr>
          <w:rFonts w:ascii="Times New Roman" w:eastAsia="Times New Roman" w:hAnsi="Times New Roman" w:cs="Traditional Arabic"/>
          <w:sz w:val="24"/>
          <w:szCs w:val="24"/>
        </w:rPr>
        <w:t xml:space="preserve"> capability markers, and they still gate screens and buttons - </w:t>
      </w:r>
      <w:r>
        <w:rPr>
          <w:rFonts w:ascii="Courier New" w:eastAsia="Times New Roman" w:hAnsi="Courier New" w:cs="Courier New"/>
          <w:sz w:val="24"/>
          <w:szCs w:val="24"/>
        </w:rPr>
        <w:t xml:space="preserve">~99</w:t>
      </w:r>
      <w:r>
        <w:rPr>
          <w:rFonts w:ascii="Times New Roman" w:eastAsia="Times New Roman" w:hAnsi="Times New Roman" w:cs="Traditional Arabic"/>
          <w:sz w:val="24"/>
          <w:szCs w:val="24"/>
        </w:rPr>
        <w:t xml:space="preserve"> marks an enquiry-only user, which disables customer search. Branch scope comes from </w:t>
      </w:r>
      <w:r>
        <w:rPr>
          <w:rFonts w:ascii="Courier New" w:eastAsia="Times New Roman" w:hAnsi="Courier New" w:cs="Courier New"/>
          <w:sz w:val="24"/>
          <w:szCs w:val="24"/>
        </w:rPr>
        <w:t xml:space="preserve">stusrbrn</w:t>
      </w:r>
      <w:r>
        <w:rPr>
          <w:rFonts w:ascii="Times New Roman" w:eastAsia="Times New Roman" w:hAnsi="Times New Roman" w:cs="Traditional Arabic"/>
          <w:sz w:val="24"/>
          <w:szCs w:val="24"/>
        </w:rPr>
        <w:t xml:space="preserve">, and the branch balance-enquiry restriction flag on </w:t>
      </w:r>
      <w:r>
        <w:rPr>
          <w:rFonts w:ascii="Courier New" w:eastAsia="Times New Roman" w:hAnsi="Courier New" w:cs="Courier New"/>
          <w:sz w:val="24"/>
          <w:szCs w:val="24"/>
        </w:rPr>
        <w:t xml:space="preserve">stctltabBD</w:t>
      </w:r>
      <w:r>
        <w:rPr>
          <w:rFonts w:ascii="Times New Roman" w:eastAsia="Times New Roman" w:hAnsi="Times New Roman" w:cs="Traditional Arabic"/>
          <w:sz w:val="24"/>
          <w:szCs w:val="24"/>
        </w:rPr>
        <w:t xml:space="preserve"> is honoured on Account Information as it was in the original.</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Language</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application is bilingual, as the original was. English strings are the translation keys and the Arabic comes from the legacy caption tables (</w:t>
      </w:r>
      <w:r>
        <w:rPr>
          <w:rFonts w:ascii="Courier New" w:eastAsia="Times New Roman" w:hAnsi="Courier New" w:cs="Courier New"/>
          <w:sz w:val="24"/>
          <w:szCs w:val="24"/>
        </w:rPr>
        <w:t xml:space="preserve">globalVaribles*.bas</w:t>
      </w:r>
      <w:r>
        <w:rPr>
          <w:rFonts w:ascii="Times New Roman" w:eastAsia="Times New Roman" w:hAnsi="Times New Roman" w:cs="Traditional Arabic"/>
          <w:sz w:val="24"/>
          <w:szCs w:val="24"/>
        </w:rPr>
        <w:t xml:space="preserve">, 1,522 English/Arabic pairs in CP1256), so a caption in the revamp is the caption the operator saw. The </w:t>
      </w:r>
      <w:r>
        <w:rPr>
          <w:rFonts w:ascii="Courier New" w:eastAsia="Times New Roman" w:hAnsi="Courier New" w:cs="Courier New"/>
          <w:sz w:val="24"/>
          <w:szCs w:val="24"/>
        </w:rPr>
        <w:t xml:space="preserve">Accept-Language</w:t>
      </w:r>
      <w:r>
        <w:rPr>
          <w:rFonts w:ascii="Times New Roman" w:eastAsia="Times New Roman" w:hAnsi="Times New Roman" w:cs="Traditional Arabic"/>
          <w:sz w:val="24"/>
          <w:szCs w:val="24"/>
        </w:rPr>
        <w:t xml:space="preserve"> header also selects which archival column a name is read from - </w:t>
      </w:r>
      <w:r>
        <w:rPr>
          <w:rFonts w:ascii="Courier New" w:eastAsia="Times New Roman" w:hAnsi="Courier New" w:cs="Courier New"/>
          <w:sz w:val="24"/>
          <w:szCs w:val="24"/>
        </w:rPr>
        <w:t xml:space="preserve">arabicName</w:t>
      </w:r>
      <w:r>
        <w:rPr>
          <w:rFonts w:ascii="Times New Roman" w:eastAsia="Times New Roman" w:hAnsi="Times New Roman" w:cs="Traditional Arabic"/>
          <w:sz w:val="24"/>
          <w:szCs w:val="24"/>
        </w:rPr>
        <w:t xml:space="preserve"> or </w:t>
      </w:r>
      <w:r>
        <w:rPr>
          <w:rFonts w:ascii="Courier New" w:eastAsia="Times New Roman" w:hAnsi="Courier New" w:cs="Courier New"/>
          <w:sz w:val="24"/>
          <w:szCs w:val="24"/>
        </w:rPr>
        <w:t xml:space="preserve">englishName</w:t>
      </w:r>
      <w:r>
        <w:rPr>
          <w:rFonts w:ascii="Times New Roman" w:eastAsia="Times New Roman" w:hAnsi="Times New Roman" w:cs="Traditional Arabic"/>
          <w:sz w:val="24"/>
          <w:szCs w:val="24"/>
        </w:rPr>
        <w:t xml:space="preserve">.</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Out of scope</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Enquiry only. Every screen reads; nothing writes.</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Creation, update, maintenance and supervisor authorisation of any record. The legacy's write paths are deliberately not ported.</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account-opening screens the legacy reached through categories 00, 56 and 99.</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Live SADAD bill enquiry; the archived SADAD log screen is in scope and works.</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restriction is enforced, not merely intended: every connection pool is configured </w:t>
      </w:r>
      <w:r>
        <w:rPr>
          <w:rFonts w:ascii="Courier New" w:eastAsia="Times New Roman" w:hAnsi="Courier New" w:cs="Courier New"/>
          <w:sz w:val="24"/>
          <w:szCs w:val="24"/>
        </w:rPr>
        <w:t xml:space="preserve">read-only: true</w:t>
      </w:r>
      <w:r>
        <w:rPr>
          <w:rFonts w:ascii="Times New Roman" w:eastAsia="Times New Roman" w:hAnsi="Times New Roman" w:cs="Traditional Arabic"/>
          <w:sz w:val="24"/>
          <w:szCs w:val="24"/>
        </w:rPr>
        <w:t xml:space="preserve"> and every statement the application issues is a </w:t>
      </w:r>
      <w:r>
        <w:rPr>
          <w:rFonts w:ascii="Courier New" w:eastAsia="Times New Roman" w:hAnsi="Courier New" w:cs="Courier New"/>
          <w:sz w:val="24"/>
          <w:szCs w:val="24"/>
        </w:rPr>
        <w:t xml:space="preserve">SELECT</w:t>
      </w:r>
      <w:r>
        <w:rPr>
          <w:rFonts w:ascii="Times New Roman" w:eastAsia="Times New Roman" w:hAnsi="Times New Roman" w:cs="Traditional Arabic"/>
          <w:sz w:val="24"/>
          <w:szCs w:val="24"/>
        </w:rPr>
        <w:t xml:space="preserve">.</w:t>
      </w:r>
    </w:p>
    <w:p>
      <w:pPr>
        <w:keepNext/>
        <w:numPr>
          <w:ilvl w:val="1"/>
          <w:numId w:val="1"/>
        </w:numPr>
        <w:tabs>
          <w:tab w:val="left" w:pos="992"/>
        </w:tabs>
        <w:spacing w:before="120" w:after="120" w:line="240" w:lineRule="auto"/>
        <w:ind w:left="993" w:hanging="993"/>
        <w:jc w:val="lowKashida"/>
        <w:outlineLvl w:val="1"/>
        <w:rPr>
          <w:rFonts w:ascii="Arial" w:eastAsia="Times New Roman" w:hAnsi="Arial" w:cs="Traditional Arabic"/>
          <w:spacing w:val="-10"/>
          <w:kern w:val="28"/>
          <w:sz w:val="28"/>
          <w:szCs w:val="33"/>
        </w:rPr>
      </w:pPr>
      <w:r>
        <w:rPr>
          <w:rFonts w:ascii="Arial" w:eastAsia="Times New Roman" w:hAnsi="Arial" w:cs="Traditional Arabic"/>
          <w:spacing w:val="-10"/>
          <w:kern w:val="28"/>
          <w:sz w:val="28"/>
          <w:szCs w:val="33"/>
        </w:rPr>
        <w:t xml:space="preserve">Technical Requirements</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8"/>
        <w:gridCol w:w="6502"/>
      </w:tblGrid>
      <w:tr>
        <w:trPr>
          <w:tblHeader/>
          <w:cantSplit/>
        </w:trPr>
        <w:tc>
          <w:tcPr>
            <w:tcW w:w="216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Operating System</w:t>
            </w:r>
          </w:p>
        </w:tc>
        <w:tc>
          <w:tcPr>
            <w:tcW w:w="6502"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Windows</w:t>
            </w:r>
          </w:p>
        </w:tc>
      </w:tr>
      <w:tr>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Languages/Tools</w:t>
            </w:r>
          </w:p>
        </w:tc>
        <w:tc>
          <w:tcPr>
            <w:tcW w:w="650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Java 25 / Spring Boot 4.1 (backend); React 19 / TypeScript 6 / Vite 8 / Tailwind CSS 4 (frontend); Maven</w:t>
            </w:r>
          </w:p>
        </w:tc>
      </w:tr>
      <w:tr>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Databases</w:t>
            </w:r>
          </w:p>
        </w:tc>
        <w:tc>
          <w:tcPr>
            <w:tcW w:w="650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Cloudera BankMaster archival schema exposed as Denodo views over JDBC; Omni statement archive on Oracle</w:t>
            </w:r>
          </w:p>
        </w:tc>
      </w:tr>
    </w:tbl>
    <w:p>
      <w:pPr>
        <w:spacing w:before="60" w:after="120" w:line="240" w:lineRule="auto"/>
        <w:ind w:left="992"/>
        <w:jc w:val="lowKashida"/>
        <w:rPr>
          <w:rFonts w:ascii="Times New Roman" w:eastAsia="Times New Roman" w:hAnsi="Times New Roman" w:cs="Traditional Arabic"/>
          <w:sz w:val="24"/>
          <w:szCs w:val="24"/>
        </w:rPr>
      </w:pP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Application architecture</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Two artefacts, one deployable. The React application is built to static files and packaged inside the Spring Boot jar, so a deployment is one file plus a JDBC driver. The browser holds no credentials beyond the bearer token and talks to nothing but the API.</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Browser (branch PC)</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   HTTPS  -  Bearer JWT on every /api call</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v</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  bank-api (Spring Boot jar)                      |</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    static SPA bundle  +  REST controllers        |</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    application services  -&gt;  JDBC repositories   |</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                              |</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v                              v</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Denodo (Cloudera/Hive)         Omni statement DB (Oracle)</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BM archival views              header + detail pairs</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Dependencies point inwards only, so swapping a data source touches </w:t>
      </w:r>
      <w:r>
        <w:rPr>
          <w:rFonts w:ascii="Courier New" w:eastAsia="Times New Roman" w:hAnsi="Courier New" w:cs="Courier New"/>
          <w:sz w:val="24"/>
          <w:szCs w:val="24"/>
        </w:rPr>
        <w:t xml:space="preserve">infrastructure/</w:t>
      </w:r>
      <w:r>
        <w:rPr>
          <w:rFonts w:ascii="Times New Roman" w:eastAsia="Times New Roman" w:hAnsi="Times New Roman" w:cs="Traditional Arabic"/>
          <w:sz w:val="24"/>
          <w:szCs w:val="24"/>
        </w:rPr>
        <w:t xml:space="preserve"> and nothing else. Controllers hold no business rules: they bind HTTP parameters and delegate to an application service, and services depend on repository interfaces declared in the domain.</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com.banksystem.api</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domain/            core - no framework, no I/O</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model/           enquiry records; field names equal archival column names</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repository/      the interfaces the application depends on</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application/       one service per screen area; the ported business rules</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infrastructure/</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persistence/jdbc/    hand-written SQL, one repository per domain area</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persistence/mock/    in-memory fixtures shaped like archival rows</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security/            LDAP bind, JWT issue and resolve, allow-list gate</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presentation/rest/ controllers, DTOs, ApiExceptionHandler</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There is no ORM. Every statement is hand-written SQL ported from the C source, held in one repository per domain area (</w:t>
      </w:r>
      <w:r>
        <w:rPr>
          <w:rFonts w:ascii="Courier New" w:eastAsia="Times New Roman" w:hAnsi="Courier New" w:cs="Courier New"/>
          <w:sz w:val="24"/>
          <w:szCs w:val="24"/>
        </w:rPr>
        <w:t xml:space="preserve">JdbcCustomerRepository</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JdbcAccountRepository</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JdbcCardRepository</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JdbcTransferRepository</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JdbcStatementRepository</w:t>
      </w:r>
      <w:r>
        <w:rPr>
          <w:rFonts w:ascii="Times New Roman" w:eastAsia="Times New Roman" w:hAnsi="Times New Roman" w:cs="Traditional Arabic"/>
          <w:sz w:val="24"/>
          <w:szCs w:val="24"/>
        </w:rPr>
        <w:t xml:space="preserve"> and their siblings) and executed through </w:t>
      </w:r>
      <w:r>
        <w:rPr>
          <w:rFonts w:ascii="Courier New" w:eastAsia="Times New Roman" w:hAnsi="Courier New" w:cs="Courier New"/>
          <w:sz w:val="24"/>
          <w:szCs w:val="24"/>
        </w:rPr>
        <w:t xml:space="preserve">NamedParameterJdbcTemplate</w:t>
      </w:r>
      <w:r>
        <w:rPr>
          <w:rFonts w:ascii="Times New Roman" w:eastAsia="Times New Roman" w:hAnsi="Times New Roman" w:cs="Traditional Arabic"/>
          <w:sz w:val="24"/>
          <w:szCs w:val="24"/>
        </w:rPr>
        <w:t xml:space="preserve"> over HikariCP.</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Runtime profiles</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5"/>
        <w:gridCol w:w="2890"/>
        <w:gridCol w:w="4335"/>
      </w:tblGrid>
      <w:tr>
        <w:trPr>
          <w:tblHeader/>
          <w:cantSplit/>
        </w:trPr>
        <w:tc>
          <w:tcPr>
            <w:tcW w:w="1445"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Profile</w:t>
            </w:r>
          </w:p>
        </w:tc>
        <w:tc>
          <w:tcPr>
            <w:tcW w:w="2890"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Data</w:t>
            </w:r>
          </w:p>
        </w:tc>
        <w:tc>
          <w:tcPr>
            <w:tcW w:w="4335"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Used for</w:t>
            </w:r>
          </w:p>
        </w:tc>
      </w:tr>
      <w:tr>
        <w:tc>
          <w:tcPr>
            <w:tcW w:w="144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mock (default)</w:t>
            </w:r>
          </w:p>
        </w:tc>
        <w:tc>
          <w:tcPr>
            <w:tcW w:w="289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In-memory fixtures shaped exactly like archival rows</w:t>
            </w:r>
          </w:p>
        </w:tc>
        <w:tc>
          <w:tcPr>
            <w:tcW w:w="433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Demonstrations, UI work, and proving a new PC can run the jar before any database is configured.</w:t>
            </w:r>
          </w:p>
        </w:tc>
      </w:tr>
      <w:tr>
        <w:tc>
          <w:tcPr>
            <w:tcW w:w="144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denodo</w:t>
            </w:r>
          </w:p>
        </w:tc>
        <w:tc>
          <w:tcPr>
            <w:tcW w:w="289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real Denodo connection, and optionally the Oracle statement archive</w:t>
            </w:r>
          </w:p>
        </w:tc>
        <w:tc>
          <w:tcPr>
            <w:tcW w:w="433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Every real deployment.</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mock repositories are </w:t>
      </w:r>
      <w:r>
        <w:rPr>
          <w:rFonts w:ascii="Times New Roman" w:eastAsia="Times New Roman" w:hAnsi="Times New Roman" w:cs="Traditional Arabic"/>
          <w:sz w:val="24"/>
          <w:szCs w:val="24"/>
          <w:b/>
          <w:bCs/>
        </w:rPr>
        <w:t xml:space="preserve">not</w:t>
      </w:r>
      <w:r>
        <w:rPr>
          <w:rFonts w:ascii="Times New Roman" w:eastAsia="Times New Roman" w:hAnsi="Times New Roman" w:cs="Traditional Arabic"/>
          <w:sz w:val="24"/>
          <w:szCs w:val="24"/>
        </w:rPr>
        <w:t xml:space="preserve"> a test of the real ones. They match on Java objects, not SQL, so a defect that only exists in a query - a wrong column name, a missing filter - passes every mock test and fails against Denodo. Verification against the real connection is the only verification that counts.</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Data sources</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2"/>
        <w:gridCol w:w="2143"/>
        <w:gridCol w:w="3897"/>
        <w:gridCol w:w="1948"/>
      </w:tblGrid>
      <w:tr>
        <w:trPr>
          <w:tblHeader/>
          <w:cantSplit/>
        </w:trPr>
        <w:tc>
          <w:tcPr>
            <w:tcW w:w="682"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w:t>
            </w:r>
          </w:p>
        </w:tc>
        <w:tc>
          <w:tcPr>
            <w:tcW w:w="2143"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Source</w:t>
            </w:r>
          </w:p>
        </w:tc>
        <w:tc>
          <w:tcPr>
            <w:tcW w:w="3897"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Role</w:t>
            </w:r>
          </w:p>
        </w:tc>
        <w:tc>
          <w:tcPr>
            <w:tcW w:w="194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Status</w:t>
            </w:r>
          </w:p>
        </w:tc>
      </w:tr>
      <w:tr>
        <w:tc>
          <w:tcPr>
            <w:tcW w:w="68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DB #1</w:t>
            </w:r>
          </w:p>
        </w:tc>
        <w:tc>
          <w:tcPr>
            <w:tcW w:w="2143"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BankMaster archival schema, exposed as Denodo views over Hive/Impala</w:t>
            </w:r>
          </w:p>
        </w:tc>
        <w:tc>
          <w:tcPr>
            <w:tcW w:w="389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Every screen. 39 views are referenced by the repositories.</w:t>
            </w:r>
          </w:p>
        </w:tc>
        <w:tc>
          <w:tcPr>
            <w:tcW w:w="194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Live</w:t>
            </w:r>
          </w:p>
        </w:tc>
      </w:tr>
      <w:tr>
        <w:tc>
          <w:tcPr>
            <w:tcW w:w="68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DB #2</w:t>
            </w:r>
          </w:p>
        </w:tc>
        <w:tc>
          <w:tcPr>
            <w:tcW w:w="2143"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Online / Finacle gateway</w:t>
            </w:r>
          </w:p>
        </w:tc>
        <w:tc>
          <w:tcPr>
            <w:tcW w:w="389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Originally the live side. It resolved to the same Denodo server, so the two connections were merged; only the card customer header still wants a genuine gateway.</w:t>
            </w:r>
          </w:p>
        </w:tc>
        <w:tc>
          <w:tcPr>
            <w:tcW w:w="194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Merged into DB #1; the residual gap degrades gracefully</w:t>
            </w:r>
          </w:p>
        </w:tc>
      </w:tr>
      <w:tr>
        <w:tc>
          <w:tcPr>
            <w:tcW w:w="68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DB #3</w:t>
            </w:r>
          </w:p>
        </w:tc>
        <w:tc>
          <w:tcPr>
            <w:tcW w:w="2143"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Omni statement archive on a separate Oracle instance</w:t>
            </w:r>
          </w:p>
        </w:tc>
        <w:tc>
          <w:tcPr>
            <w:tcW w:w="389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Historical Statement and PDP Statement only. It replaces the legacy's Btrieve statement index and the zipped pre-rendered pages it pointed at.</w:t>
            </w:r>
          </w:p>
        </w:tc>
        <w:tc>
          <w:tcPr>
            <w:tcW w:w="194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Optional, off by default</w:t>
            </w:r>
          </w:p>
        </w:tc>
      </w:tr>
    </w:tbl>
    <w:p>
      <w:pPr>
        <w:spacing w:before="60" w:after="120" w:line="240" w:lineRule="auto"/>
        <w:ind w:left="992"/>
        <w:jc w:val="lowKashida"/>
        <w:rPr>
          <w:rFonts w:ascii="Times New Roman" w:eastAsia="Times New Roman" w:hAnsi="Times New Roman" w:cs="Traditional Arabic"/>
          <w:sz w:val="24"/>
          <w:szCs w:val="24"/>
        </w:rPr>
      </w:pP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The BankingDate snapshot</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archival extract is a restore, not a live schema. Every view carries a </w:t>
      </w:r>
      <w:r>
        <w:rPr>
          <w:rFonts w:ascii="Courier New" w:eastAsia="Times New Roman" w:hAnsi="Courier New" w:cs="Courier New"/>
          <w:sz w:val="24"/>
          <w:szCs w:val="24"/>
        </w:rPr>
        <w:t xml:space="preserve">BankingDate</w:t>
      </w:r>
      <w:r>
        <w:rPr>
          <w:rFonts w:ascii="Times New Roman" w:eastAsia="Times New Roman" w:hAnsi="Times New Roman" w:cs="Traditional Arabic"/>
          <w:sz w:val="24"/>
          <w:szCs w:val="24"/>
        </w:rPr>
        <w:t xml:space="preserve"> column - the ETL's "data restored" date, key part 1 on 98 of the 106 archival views - and </w:t>
      </w:r>
      <w:r>
        <w:rPr>
          <w:rFonts w:ascii="Times New Roman" w:eastAsia="Times New Roman" w:hAnsi="Times New Roman" w:cs="Traditional Arabic"/>
          <w:sz w:val="24"/>
          <w:szCs w:val="24"/>
          <w:b/>
          <w:bCs/>
        </w:rPr>
        <w:t xml:space="preserve">every query the application issues filters on it</w:t>
      </w:r>
      <w:r>
        <w:rPr>
          <w:rFonts w:ascii="Times New Roman" w:eastAsia="Times New Roman" w:hAnsi="Times New Roman" w:cs="Traditional Arabic"/>
          <w:sz w:val="24"/>
          <w:szCs w:val="24"/>
        </w:rPr>
        <w:t xml:space="preserve">:</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WHERE ... AND &lt;alias&gt;.BankingDate = :bankingDate</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value is an operator setting, not a build-time constant. It lives in </w:t>
      </w:r>
      <w:r>
        <w:rPr>
          <w:rFonts w:ascii="Courier New" w:eastAsia="Times New Roman" w:hAnsi="Courier New" w:cs="Courier New"/>
          <w:sz w:val="24"/>
          <w:szCs w:val="24"/>
        </w:rPr>
        <w:t xml:space="preserve">bank-runtime.properties</w:t>
      </w:r>
      <w:r>
        <w:rPr>
          <w:rFonts w:ascii="Times New Roman" w:eastAsia="Times New Roman" w:hAnsi="Times New Roman" w:cs="Traditional Arabic"/>
          <w:sz w:val="24"/>
          <w:szCs w:val="24"/>
        </w:rPr>
        <w:t xml:space="preserve"> next to the jar, is read through </w:t>
      </w:r>
      <w:r>
        <w:rPr>
          <w:rFonts w:ascii="Courier New" w:eastAsia="Times New Roman" w:hAnsi="Courier New" w:cs="Courier New"/>
          <w:sz w:val="24"/>
          <w:szCs w:val="24"/>
        </w:rPr>
        <w:t xml:space="preserve">BankingDateProvider</w:t>
      </w:r>
      <w:r>
        <w:rPr>
          <w:rFonts w:ascii="Times New Roman" w:eastAsia="Times New Roman" w:hAnsi="Times New Roman" w:cs="Traditional Arabic"/>
          <w:sz w:val="24"/>
          <w:szCs w:val="24"/>
        </w:rPr>
        <w:t xml:space="preserve">, and a blank value falls back to </w:t>
      </w:r>
      <w:r>
        <w:rPr>
          <w:rFonts w:ascii="Courier New" w:eastAsia="Times New Roman" w:hAnsi="Courier New" w:cs="Courier New"/>
          <w:sz w:val="24"/>
          <w:szCs w:val="24"/>
        </w:rPr>
        <w:t xml:space="preserve">MAX(BankingDate) FROM stcusttab</w:t>
      </w:r>
      <w:r>
        <w:rPr>
          <w:rFonts w:ascii="Times New Roman" w:eastAsia="Times New Roman" w:hAnsi="Times New Roman" w:cs="Traditional Arabic"/>
          <w:sz w:val="24"/>
          <w:szCs w:val="24"/>
        </w:rPr>
        <w:t xml:space="preserve"> with a warning. It is a plain string compared with </w:t>
      </w:r>
      <w:r>
        <w:rPr>
          <w:rFonts w:ascii="Courier New" w:eastAsia="Times New Roman" w:hAnsi="Courier New" w:cs="Courier New"/>
          <w:sz w:val="24"/>
          <w:szCs w:val="24"/>
        </w:rPr>
        <w:t xml:space="preserve">=</w:t>
      </w:r>
      <w:r>
        <w:rPr>
          <w:rFonts w:ascii="Times New Roman" w:eastAsia="Times New Roman" w:hAnsi="Times New Roman" w:cs="Traditional Arabic"/>
          <w:sz w:val="24"/>
          <w:szCs w:val="24"/>
        </w:rPr>
        <w:t xml:space="preserve">, so it must be written exactly as the views store it - </w:t>
      </w:r>
      <w:r>
        <w:rPr>
          <w:rFonts w:ascii="Courier New" w:eastAsia="Times New Roman" w:hAnsi="Courier New" w:cs="Courier New"/>
          <w:sz w:val="24"/>
          <w:szCs w:val="24"/>
        </w:rPr>
        <w:t xml:space="preserve">2009-07-11</w:t>
      </w:r>
      <w:r>
        <w:rPr>
          <w:rFonts w:ascii="Times New Roman" w:eastAsia="Times New Roman" w:hAnsi="Times New Roman" w:cs="Traditional Arabic"/>
          <w:sz w:val="24"/>
          <w:szCs w:val="24"/>
        </w:rPr>
        <w:t xml:space="preserve"> for a DATE column, </w:t>
      </w:r>
      <w:r>
        <w:rPr>
          <w:rFonts w:ascii="Courier New" w:eastAsia="Times New Roman" w:hAnsi="Courier New" w:cs="Courier New"/>
          <w:sz w:val="24"/>
          <w:szCs w:val="24"/>
        </w:rPr>
        <w:t xml:space="preserve">20090711</w:t>
      </w:r>
      <w:r>
        <w:rPr>
          <w:rFonts w:ascii="Times New Roman" w:eastAsia="Times New Roman" w:hAnsi="Times New Roman" w:cs="Traditional Arabic"/>
          <w:sz w:val="24"/>
          <w:szCs w:val="24"/>
        </w:rPr>
        <w:t xml:space="preserve"> for a </w:t>
      </w:r>
      <w:r>
        <w:rPr>
          <w:rFonts w:ascii="Courier New" w:eastAsia="Times New Roman" w:hAnsi="Courier New" w:cs="Courier New"/>
          <w:sz w:val="24"/>
          <w:szCs w:val="24"/>
        </w:rPr>
        <w:t xml:space="preserve">YYYYMMDD</w:t>
      </w:r>
      <w:r>
        <w:rPr>
          <w:rFonts w:ascii="Times New Roman" w:eastAsia="Times New Roman" w:hAnsi="Times New Roman" w:cs="Traditional Arabic"/>
          <w:sz w:val="24"/>
          <w:szCs w:val="24"/>
        </w:rPr>
        <w:t xml:space="preserve"> string. A format mismatch is not an error: it is every screen returning no rows, which is why the file is validated on load and an unusable date is rejected with the previous value left in force.</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Measurement of the extract found 29 views single-valued on BankingDate and 6 of the BM views spanning 1992 to 2009. A </w:t>
      </w:r>
      <w:r>
        <w:rPr>
          <w:rFonts w:ascii="Courier New" w:eastAsia="Times New Roman" w:hAnsi="Courier New" w:cs="Courier New"/>
          <w:sz w:val="24"/>
          <w:szCs w:val="24"/>
        </w:rPr>
        <w:t xml:space="preserve">MAX(BankingDate)</w:t>
      </w:r>
      <w:r>
        <w:rPr>
          <w:rFonts w:ascii="Times New Roman" w:eastAsia="Times New Roman" w:hAnsi="Times New Roman" w:cs="Traditional Arabic"/>
          <w:sz w:val="24"/>
          <w:szCs w:val="24"/>
        </w:rPr>
        <w:t xml:space="preserve"> filter is therefore </w:t>
      </w:r>
      <w:r>
        <w:rPr>
          <w:rFonts w:ascii="Times New Roman" w:eastAsia="Times New Roman" w:hAnsi="Times New Roman" w:cs="Traditional Arabic"/>
          <w:sz w:val="24"/>
          <w:szCs w:val="24"/>
          <w:b/>
          <w:bCs/>
        </w:rPr>
        <w:t xml:space="preserve">not</w:t>
      </w:r>
      <w:r>
        <w:rPr>
          <w:rFonts w:ascii="Times New Roman" w:eastAsia="Times New Roman" w:hAnsi="Times New Roman" w:cs="Traditional Arabic"/>
          <w:sz w:val="24"/>
          <w:szCs w:val="24"/>
        </w:rPr>
        <w:t xml:space="preserve"> applied inside the queries - the configured snapshot is bound as-is.</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Environment prefixing</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repositories write the bare legacy table names - </w:t>
      </w:r>
      <w:r>
        <w:rPr>
          <w:rFonts w:ascii="Courier New" w:eastAsia="Times New Roman" w:hAnsi="Courier New" w:cs="Courier New"/>
          <w:sz w:val="24"/>
          <w:szCs w:val="24"/>
        </w:rPr>
        <w:t xml:space="preserve">stcusttab</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gld0data</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thd0data</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SqlTablePrefixer</w:t>
      </w:r>
      <w:r>
        <w:rPr>
          <w:rFonts w:ascii="Times New Roman" w:eastAsia="Times New Roman" w:hAnsi="Times New Roman" w:cs="Traditional Arabic"/>
          <w:sz w:val="24"/>
          <w:szCs w:val="24"/>
        </w:rPr>
        <w:t xml:space="preserve"> rewrites each </w:t>
      </w:r>
      <w:r>
        <w:rPr>
          <w:rFonts w:ascii="Courier New" w:eastAsia="Times New Roman" w:hAnsi="Courier New" w:cs="Courier New"/>
          <w:sz w:val="24"/>
          <w:szCs w:val="24"/>
        </w:rPr>
        <w:t xml:space="preserve">FROM</w:t>
      </w:r>
      <w:r>
        <w:rPr>
          <w:rFonts w:ascii="Times New Roman" w:eastAsia="Times New Roman" w:hAnsi="Times New Roman" w:cs="Traditional Arabic"/>
          <w:sz w:val="24"/>
          <w:szCs w:val="24"/>
        </w:rPr>
        <w:t xml:space="preserve">/</w:t>
      </w:r>
      <w:r>
        <w:rPr>
          <w:rFonts w:ascii="Courier New" w:eastAsia="Times New Roman" w:hAnsi="Courier New" w:cs="Courier New"/>
          <w:sz w:val="24"/>
          <w:szCs w:val="24"/>
        </w:rPr>
        <w:t xml:space="preserve">JOIN</w:t>
      </w:r>
      <w:r>
        <w:rPr>
          <w:rFonts w:ascii="Times New Roman" w:eastAsia="Times New Roman" w:hAnsi="Times New Roman" w:cs="Traditional Arabic"/>
          <w:sz w:val="24"/>
          <w:szCs w:val="24"/>
        </w:rPr>
        <w:t xml:space="preserve"> at run time with the prefix configured in </w:t>
      </w:r>
      <w:r>
        <w:rPr>
          <w:rFonts w:ascii="Courier New" w:eastAsia="Times New Roman" w:hAnsi="Courier New" w:cs="Courier New"/>
          <w:sz w:val="24"/>
          <w:szCs w:val="24"/>
        </w:rPr>
        <w:t xml:space="preserve">bank.archival-db.table-prefix</w:t>
      </w:r>
      <w:r>
        <w:rPr>
          <w:rFonts w:ascii="Times New Roman" w:eastAsia="Times New Roman" w:hAnsi="Times New Roman" w:cs="Traditional Arabic"/>
          <w:sz w:val="24"/>
          <w:szCs w:val="24"/>
        </w:rPr>
        <w:t xml:space="preserve"> (staging default </w:t>
      </w:r>
      <w:r>
        <w:rPr>
          <w:rFonts w:ascii="Courier New" w:eastAsia="Times New Roman" w:hAnsi="Courier New" w:cs="Courier New"/>
          <w:sz w:val="24"/>
          <w:szCs w:val="24"/>
        </w:rPr>
        <w:t xml:space="preserve">bv_impala_stg_bankmaster_</w:t>
      </w:r>
      <w:r>
        <w:rPr>
          <w:rFonts w:ascii="Times New Roman" w:eastAsia="Times New Roman" w:hAnsi="Times New Roman" w:cs="Traditional Arabic"/>
          <w:sz w:val="24"/>
          <w:szCs w:val="24"/>
        </w:rPr>
        <w:t xml:space="preserve">), so the staging view is </w:t>
      </w:r>
      <w:r>
        <w:rPr>
          <w:rFonts w:ascii="Courier New" w:eastAsia="Times New Roman" w:hAnsi="Courier New" w:cs="Courier New"/>
          <w:sz w:val="24"/>
          <w:szCs w:val="24"/>
        </w:rPr>
        <w:t xml:space="preserve">bv_impala_stg_bankmaster_stcusttab</w:t>
      </w:r>
      <w:r>
        <w:rPr>
          <w:rFonts w:ascii="Times New Roman" w:eastAsia="Times New Roman" w:hAnsi="Times New Roman" w:cs="Traditional Arabic"/>
          <w:sz w:val="24"/>
          <w:szCs w:val="24"/>
        </w:rPr>
        <w:t xml:space="preserve">. Only the prefix changes between environments; no SQL changes. The Oracle statement connection has the same mechanism with a schema qualifier (</w:t>
      </w:r>
      <w:r>
        <w:rPr>
          <w:rFonts w:ascii="Courier New" w:eastAsia="Times New Roman" w:hAnsi="Courier New" w:cs="Courier New"/>
          <w:sz w:val="24"/>
          <w:szCs w:val="24"/>
        </w:rPr>
        <w:t xml:space="preserve">O2MS_UPG1.</w:t>
      </w:r>
      <w:r>
        <w:rPr>
          <w:rFonts w:ascii="Times New Roman" w:eastAsia="Times New Roman" w:hAnsi="Times New Roman" w:cs="Traditional Arabic"/>
          <w:sz w:val="24"/>
          <w:szCs w:val="24"/>
        </w:rPr>
        <w:t xml:space="preserve">).</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Legacy data encodings</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archival extract preserves several BankMaster storage conventions. Each is decoded in exactly one place:</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8"/>
        <w:gridCol w:w="4335"/>
        <w:gridCol w:w="2167"/>
      </w:tblGrid>
      <w:tr>
        <w:trPr>
          <w:tblHeader/>
          <w:cantSplit/>
        </w:trPr>
        <w:tc>
          <w:tcPr>
            <w:tcW w:w="216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Convention</w:t>
            </w:r>
          </w:p>
        </w:tc>
        <w:tc>
          <w:tcPr>
            <w:tcW w:w="4335"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What it means</w:t>
            </w:r>
          </w:p>
        </w:tc>
        <w:tc>
          <w:tcPr>
            <w:tcW w:w="2167"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Handled in</w:t>
            </w:r>
          </w:p>
        </w:tc>
      </w:tr>
      <w:tr>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Overpunch-signed amounts</w:t>
            </w:r>
          </w:p>
        </w:tc>
        <w:tc>
          <w:tcPr>
            <w:tcW w:w="433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sign of a numeric field is folded into its last character.</w:t>
            </w:r>
          </w:p>
        </w:tc>
        <w:tc>
          <w:tcPr>
            <w:tcW w:w="2167"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BmForms</w:t>
            </w:r>
          </w:p>
        </w:tc>
      </w:tr>
      <w:tr>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Packed customer numbers and dates</w:t>
            </w:r>
          </w:p>
        </w:tc>
        <w:tc>
          <w:tcPr>
            <w:tcW w:w="433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Fields stored in a packed form recovered from the cbcmssrv disassembly.</w:t>
            </w:r>
          </w:p>
        </w:tc>
        <w:tc>
          <w:tcPr>
            <w:tcW w:w="2167"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BmForms</w:t>
            </w:r>
          </w:p>
        </w:tc>
      </w:tr>
      <w:tr>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Quote-wrapped empties</w:t>
            </w:r>
          </w:p>
        </w:tc>
        <w:tc>
          <w:tcPr>
            <w:tcW w:w="433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An empty character column arrives as the two-character string </w:t>
            </w:r>
            <w:r>
              <w:rPr>
                <w:rFonts w:ascii="Courier New" w:eastAsia="Times New Roman" w:hAnsi="Courier New" w:cs="Courier New"/>
                <w:sz w:val="16"/>
                <w:szCs w:val="19"/>
              </w:rPr>
              <w:t xml:space="preserve">""</w:t>
            </w:r>
            <w:r>
              <w:rPr>
                <w:rFonts w:ascii="Arial" w:eastAsia="Times New Roman" w:hAnsi="Arial" w:cs="Traditional Arabic"/>
                <w:sz w:val="16"/>
                <w:szCs w:val="19"/>
              </w:rPr>
              <w:t xml:space="preserve">.</w:t>
            </w:r>
          </w:p>
        </w:tc>
        <w:tc>
          <w:tcPr>
            <w:tcW w:w="2167"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ArchivalText.unquote</w:t>
            </w:r>
          </w:p>
        </w:tc>
      </w:tr>
      <w:tr>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Amounts already in major units</w:t>
            </w:r>
          </w:p>
        </w:tc>
        <w:tc>
          <w:tcPr>
            <w:tcW w:w="433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ETL scaled them; the workbook's "currency dependent" note describes the pre-ETL state, so nothing is divided.</w:t>
            </w:r>
          </w:p>
        </w:tc>
        <w:tc>
          <w:tcPr>
            <w:tcW w:w="216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 division applied</w:t>
            </w:r>
          </w:p>
        </w:tc>
      </w:tr>
      <w:tr>
        <w:tc>
          <w:tcPr>
            <w:tcW w:w="216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isoCurrCode is ISO alpha</w:t>
            </w:r>
          </w:p>
        </w:tc>
        <w:tc>
          <w:tcPr>
            <w:tcW w:w="4335"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stctltabXC.isoCurrCode</w:t>
            </w:r>
            <w:r>
              <w:rPr>
                <w:rFonts w:ascii="Arial" w:eastAsia="Times New Roman" w:hAnsi="Arial" w:cs="Traditional Arabic"/>
                <w:sz w:val="16"/>
                <w:szCs w:val="19"/>
              </w:rPr>
              <w:t xml:space="preserve"> holds </w:t>
            </w:r>
            <w:r>
              <w:rPr>
                <w:rFonts w:ascii="Courier New" w:eastAsia="Times New Roman" w:hAnsi="Courier New" w:cs="Courier New"/>
                <w:sz w:val="16"/>
                <w:szCs w:val="19"/>
              </w:rPr>
              <w:t xml:space="preserve">SAR</w:t>
            </w:r>
            <w:r>
              <w:rPr>
                <w:rFonts w:ascii="Arial" w:eastAsia="Times New Roman" w:hAnsi="Arial" w:cs="Traditional Arabic"/>
                <w:sz w:val="16"/>
                <w:szCs w:val="19"/>
              </w:rPr>
              <w:t xml:space="preserve"> / </w:t>
            </w:r>
            <w:r>
              <w:rPr>
                <w:rFonts w:ascii="Courier New" w:eastAsia="Times New Roman" w:hAnsi="Courier New" w:cs="Courier New"/>
                <w:sz w:val="16"/>
                <w:szCs w:val="19"/>
              </w:rPr>
              <w:t xml:space="preserve">USD</w:t>
            </w:r>
            <w:r>
              <w:rPr>
                <w:rFonts w:ascii="Arial" w:eastAsia="Times New Roman" w:hAnsi="Arial" w:cs="Traditional Arabic"/>
                <w:sz w:val="16"/>
                <w:szCs w:val="19"/>
              </w:rPr>
              <w:t xml:space="preserve">, not a numeric code.</w:t>
            </w:r>
          </w:p>
        </w:tc>
        <w:tc>
          <w:tcPr>
            <w:tcW w:w="216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Reference data mapping</w:t>
            </w:r>
          </w:p>
        </w:tc>
      </w:tr>
      <w:tr>
        <w:tc>
          <w:tcPr>
            <w:tcW w:w="216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stcardtab.custNo</w:t>
            </w:r>
            <w:r>
              <w:rPr>
                <w:rFonts w:ascii="Arial" w:eastAsia="Times New Roman" w:hAnsi="Arial" w:cs="Traditional Arabic"/>
                <w:sz w:val="16"/>
                <w:szCs w:val="19"/>
              </w:rPr>
              <w:t xml:space="preserve"> is shifted</w:t>
            </w:r>
          </w:p>
        </w:tc>
        <w:tc>
          <w:tcPr>
            <w:tcW w:w="433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 customer numbers sit one place left of </w:t>
            </w:r>
            <w:r>
              <w:rPr>
                <w:rFonts w:ascii="Courier New" w:eastAsia="Times New Roman" w:hAnsi="Courier New" w:cs="Courier New"/>
                <w:sz w:val="16"/>
                <w:szCs w:val="19"/>
              </w:rPr>
              <w:t xml:space="preserve">stcusttab</w:t>
            </w:r>
            <w:r>
              <w:rPr>
                <w:rFonts w:ascii="Arial" w:eastAsia="Times New Roman" w:hAnsi="Arial" w:cs="Traditional Arabic"/>
                <w:sz w:val="16"/>
                <w:szCs w:val="19"/>
              </w:rPr>
              <w:t xml:space="preserve">'s (0123456 against 1234560). Bad source data, not a mapping error.</w:t>
            </w:r>
          </w:p>
        </w:tc>
        <w:tc>
          <w:tcPr>
            <w:tcW w:w="216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Documented, deliberately not patched in SQL</w:t>
            </w:r>
          </w:p>
        </w:tc>
      </w:tr>
      <w:tr>
        <w:tc>
          <w:tcPr>
            <w:tcW w:w="216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datetime_bigdata</w:t>
            </w:r>
          </w:p>
        </w:tc>
        <w:tc>
          <w:tcPr>
            <w:tcW w:w="4335"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w:t>
            </w:r>
            <w:r>
              <w:rPr>
                <w:rFonts w:ascii="Courier New" w:eastAsia="Times New Roman" w:hAnsi="Courier New" w:cs="Courier New"/>
                <w:sz w:val="16"/>
                <w:szCs w:val="19"/>
              </w:rPr>
              <w:t xml:space="preserve">stacclog</w:t>
            </w:r>
            <w:r>
              <w:rPr>
                <w:rFonts w:ascii="Arial" w:eastAsia="Times New Roman" w:hAnsi="Arial" w:cs="Traditional Arabic"/>
                <w:sz w:val="16"/>
                <w:szCs w:val="19"/>
              </w:rPr>
              <w:t xml:space="preserve"> / </w:t>
            </w:r>
            <w:r>
              <w:rPr>
                <w:rFonts w:ascii="Courier New" w:eastAsia="Times New Roman" w:hAnsi="Courier New" w:cs="Courier New"/>
                <w:sz w:val="16"/>
                <w:szCs w:val="19"/>
              </w:rPr>
              <w:t xml:space="preserve">stcustlog</w:t>
            </w:r>
            <w:r>
              <w:rPr>
                <w:rFonts w:ascii="Arial" w:eastAsia="Times New Roman" w:hAnsi="Arial" w:cs="Traditional Arabic"/>
                <w:sz w:val="16"/>
                <w:szCs w:val="19"/>
              </w:rPr>
              <w:t xml:space="preserve"> / </w:t>
            </w:r>
            <w:r>
              <w:rPr>
                <w:rFonts w:ascii="Courier New" w:eastAsia="Times New Roman" w:hAnsi="Courier New" w:cs="Courier New"/>
                <w:sz w:val="16"/>
                <w:szCs w:val="19"/>
              </w:rPr>
              <w:t xml:space="preserve">stcardlog</w:t>
            </w:r>
            <w:r>
              <w:rPr>
                <w:rFonts w:ascii="Arial" w:eastAsia="Times New Roman" w:hAnsi="Arial" w:cs="Traditional Arabic"/>
                <w:sz w:val="16"/>
                <w:szCs w:val="19"/>
              </w:rPr>
              <w:t xml:space="preserve"> Denodo views carry no </w:t>
            </w:r>
            <w:r>
              <w:rPr>
                <w:rFonts w:ascii="Courier New" w:eastAsia="Times New Roman" w:hAnsi="Courier New" w:cs="Courier New"/>
                <w:sz w:val="16"/>
                <w:szCs w:val="19"/>
              </w:rPr>
              <w:t xml:space="preserve">datetime</w:t>
            </w:r>
            <w:r>
              <w:rPr>
                <w:rFonts w:ascii="Arial" w:eastAsia="Times New Roman" w:hAnsi="Arial" w:cs="Traditional Arabic"/>
                <w:sz w:val="16"/>
                <w:szCs w:val="19"/>
              </w:rPr>
              <w:t xml:space="preserve"> column.</w:t>
            </w:r>
          </w:p>
        </w:tc>
        <w:tc>
          <w:tcPr>
            <w:tcW w:w="216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Read as </w:t>
            </w:r>
            <w:r>
              <w:rPr>
                <w:rFonts w:ascii="Courier New" w:eastAsia="Times New Roman" w:hAnsi="Courier New" w:cs="Courier New"/>
                <w:sz w:val="16"/>
                <w:szCs w:val="19"/>
              </w:rPr>
              <w:t xml:space="preserve">datetime_bigdata</w:t>
            </w:r>
          </w:p>
        </w:tc>
      </w:tr>
    </w:tbl>
    <w:p>
      <w:pPr>
        <w:spacing w:before="60" w:after="120" w:line="240" w:lineRule="auto"/>
        <w:ind w:left="992"/>
        <w:jc w:val="lowKashida"/>
        <w:rPr>
          <w:rFonts w:ascii="Times New Roman" w:eastAsia="Times New Roman" w:hAnsi="Times New Roman" w:cs="Traditional Arabic"/>
          <w:sz w:val="24"/>
          <w:szCs w:val="24"/>
        </w:rPr>
      </w:pP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Security and data handling</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Every pool is read-only and every statement is a </w:t>
      </w:r>
      <w:r>
        <w:rPr>
          <w:rFonts w:ascii="Courier New" w:eastAsia="Times New Roman" w:hAnsi="Courier New" w:cs="Courier New"/>
          <w:sz w:val="24"/>
          <w:szCs w:val="24"/>
        </w:rPr>
        <w:t xml:space="preserve">SELECT</w:t>
      </w:r>
      <w:r>
        <w:rPr>
          <w:rFonts w:ascii="Times New Roman" w:eastAsia="Times New Roman" w:hAnsi="Times New Roman" w:cs="Traditional Arabic"/>
          <w:sz w:val="24"/>
          <w:szCs w:val="24"/>
        </w:rPr>
        <w:t xml:space="preserve">.</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An unexpected failure never returns a stack trace to the browser. </w:t>
      </w:r>
      <w:r>
        <w:rPr>
          <w:rFonts w:ascii="Courier New" w:eastAsia="Times New Roman" w:hAnsi="Courier New" w:cs="Courier New"/>
          <w:sz w:val="24"/>
          <w:szCs w:val="24"/>
        </w:rPr>
        <w:t xml:space="preserve">ApiExceptionHandler</w:t>
      </w:r>
      <w:r>
        <w:rPr>
          <w:rFonts w:ascii="Times New Roman" w:eastAsia="Times New Roman" w:hAnsi="Times New Roman" w:cs="Traditional Arabic"/>
          <w:sz w:val="24"/>
          <w:szCs w:val="24"/>
        </w:rPr>
        <w:t xml:space="preserve"> mints a six-character reference from an alphabet with no vowels and no </w:t>
      </w:r>
      <w:r>
        <w:rPr>
          <w:rFonts w:ascii="Courier New" w:eastAsia="Times New Roman" w:hAnsi="Courier New" w:cs="Courier New"/>
          <w:sz w:val="24"/>
          <w:szCs w:val="24"/>
        </w:rPr>
        <w:t xml:space="preserve">0</w:t>
      </w:r>
      <w:r>
        <w:rPr>
          <w:rFonts w:ascii="Times New Roman" w:eastAsia="Times New Roman" w:hAnsi="Times New Roman" w:cs="Traditional Arabic"/>
          <w:sz w:val="24"/>
          <w:szCs w:val="24"/>
        </w:rPr>
        <w:t xml:space="preserve">/</w:t>
      </w:r>
      <w:r>
        <w:rPr>
          <w:rFonts w:ascii="Courier New" w:eastAsia="Times New Roman" w:hAnsi="Courier New" w:cs="Courier New"/>
          <w:sz w:val="24"/>
          <w:szCs w:val="24"/>
        </w:rPr>
        <w:t xml:space="preserve">O</w:t>
      </w:r>
      <w:r>
        <w:rPr>
          <w:rFonts w:ascii="Times New Roman" w:eastAsia="Times New Roman" w:hAnsi="Times New Roman" w:cs="Traditional Arabic"/>
          <w:sz w:val="24"/>
          <w:szCs w:val="24"/>
        </w:rPr>
        <w:t xml:space="preserve"> or </w:t>
      </w:r>
      <w:r>
        <w:rPr>
          <w:rFonts w:ascii="Courier New" w:eastAsia="Times New Roman" w:hAnsi="Courier New" w:cs="Courier New"/>
          <w:sz w:val="24"/>
          <w:szCs w:val="24"/>
        </w:rPr>
        <w:t xml:space="preserve">1</w:t>
      </w:r>
      <w:r>
        <w:rPr>
          <w:rFonts w:ascii="Times New Roman" w:eastAsia="Times New Roman" w:hAnsi="Times New Roman" w:cs="Traditional Arabic"/>
          <w:sz w:val="24"/>
          <w:szCs w:val="24"/>
        </w:rPr>
        <w:t xml:space="preserve">/</w:t>
      </w:r>
      <w:r>
        <w:rPr>
          <w:rFonts w:ascii="Courier New" w:eastAsia="Times New Roman" w:hAnsi="Courier New" w:cs="Courier New"/>
          <w:sz w:val="24"/>
          <w:szCs w:val="24"/>
        </w:rPr>
        <w:t xml:space="preserve">I</w:t>
      </w:r>
      <w:r>
        <w:rPr>
          <w:rFonts w:ascii="Times New Roman" w:eastAsia="Times New Roman" w:hAnsi="Times New Roman" w:cs="Traditional Arabic"/>
          <w:sz w:val="24"/>
          <w:szCs w:val="24"/>
        </w:rPr>
        <w:t xml:space="preserve">, so it survives being read aloud, returns it as the </w:t>
      </w:r>
      <w:r>
        <w:rPr>
          <w:rFonts w:ascii="Courier New" w:eastAsia="Times New Roman" w:hAnsi="Courier New" w:cs="Courier New"/>
          <w:sz w:val="24"/>
          <w:szCs w:val="24"/>
        </w:rPr>
        <w:t xml:space="preserve">reference</w:t>
      </w:r>
      <w:r>
        <w:rPr>
          <w:rFonts w:ascii="Times New Roman" w:eastAsia="Times New Roman" w:hAnsi="Times New Roman" w:cs="Traditional Arabic"/>
          <w:sz w:val="24"/>
          <w:szCs w:val="24"/>
        </w:rPr>
        <w:t xml:space="preserve"> property of the </w:t>
      </w:r>
      <w:r>
        <w:rPr>
          <w:rFonts w:ascii="Courier New" w:eastAsia="Times New Roman" w:hAnsi="Courier New" w:cs="Courier New"/>
          <w:sz w:val="24"/>
          <w:szCs w:val="24"/>
        </w:rPr>
        <w:t xml:space="preserve">ProblemDetail</w:t>
      </w:r>
      <w:r>
        <w:rPr>
          <w:rFonts w:ascii="Times New Roman" w:eastAsia="Times New Roman" w:hAnsi="Times New Roman" w:cs="Traditional Arabic"/>
          <w:sz w:val="24"/>
          <w:szCs w:val="24"/>
        </w:rPr>
        <w:t xml:space="preserve">, and logs the exception against it.</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Database URLs, credentials, the JWT secret and the LDAP settings are all environment variables. Nothing is hardcoded or committed.</w:t>
      </w:r>
    </w:p>
    <w:p>
      <w:pPr>
        <w:pStyle w:val="ListParagraph"/>
        <w:numPr>
          <w:ilvl w:val="0"/>
          <w:numId w:val="2"/>
        </w:numPr>
        <w:spacing w:before="40" w:after="40" w:line="240" w:lineRule="auto"/>
        <w:ind w:left="1352" w:hanging="360"/>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application log and the optional SQL audit log both contain live bank data - request URIs carry customer, account and card numbers - so both are subject to the same handling rules as any other production extract.</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Build, packaging and deployment</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UI is built first and packaged into the jar by the Maven resources plugin, which copies </w:t>
      </w:r>
      <w:r>
        <w:rPr>
          <w:rFonts w:ascii="Courier New" w:eastAsia="Times New Roman" w:hAnsi="Courier New" w:cs="Courier New"/>
          <w:sz w:val="24"/>
          <w:szCs w:val="24"/>
        </w:rPr>
        <w:t xml:space="preserve">bank-ui/dist</w:t>
      </w:r>
      <w:r>
        <w:rPr>
          <w:rFonts w:ascii="Times New Roman" w:eastAsia="Times New Roman" w:hAnsi="Times New Roman" w:cs="Traditional Arabic"/>
          <w:sz w:val="24"/>
          <w:szCs w:val="24"/>
        </w:rPr>
        <w:t xml:space="preserve"> into the jar's static resources. The order matters:</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cd bank-ui  &amp;&amp; npm run build      # refreshes bank-ui/dist</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cd ../bank-api &amp;&amp; mvn package     # bundles dist into the jar</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Verifying a UI change on the Vite dev server proves nothing about the jar. If </w:t>
      </w:r>
      <w:r>
        <w:rPr>
          <w:rFonts w:ascii="Courier New" w:eastAsia="Times New Roman" w:hAnsi="Courier New" w:cs="Courier New"/>
          <w:sz w:val="24"/>
          <w:szCs w:val="24"/>
        </w:rPr>
        <w:t xml:space="preserve">npm run build</w:t>
      </w:r>
      <w:r>
        <w:rPr>
          <w:rFonts w:ascii="Times New Roman" w:eastAsia="Times New Roman" w:hAnsi="Times New Roman" w:cs="Traditional Arabic"/>
          <w:sz w:val="24"/>
          <w:szCs w:val="24"/>
        </w:rPr>
        <w:t xml:space="preserve"> is skipped the jar ships the previous bundle and the change is simply absent from the deployed application.</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w:t>
      </w:r>
      <w:r>
        <w:rPr>
          <w:rFonts w:ascii="Courier New" w:eastAsia="Times New Roman" w:hAnsi="Courier New" w:cs="Courier New"/>
          <w:sz w:val="24"/>
          <w:szCs w:val="24"/>
        </w:rPr>
        <w:t xml:space="preserve">deploy/</w:t>
      </w:r>
      <w:r>
        <w:rPr>
          <w:rFonts w:ascii="Times New Roman" w:eastAsia="Times New Roman" w:hAnsi="Times New Roman" w:cs="Traditional Arabic"/>
          <w:sz w:val="24"/>
          <w:szCs w:val="24"/>
        </w:rPr>
        <w:t xml:space="preserve"> folder is self-contained: the jar, a </w:t>
      </w:r>
      <w:r>
        <w:rPr>
          <w:rFonts w:ascii="Courier New" w:eastAsia="Times New Roman" w:hAnsi="Courier New" w:cs="Courier New"/>
          <w:sz w:val="24"/>
          <w:szCs w:val="24"/>
        </w:rPr>
        <w:t xml:space="preserve">drivers/</w:t>
      </w:r>
      <w:r>
        <w:rPr>
          <w:rFonts w:ascii="Times New Roman" w:eastAsia="Times New Roman" w:hAnsi="Times New Roman" w:cs="Traditional Arabic"/>
          <w:sz w:val="24"/>
          <w:szCs w:val="24"/>
        </w:rPr>
        <w:t xml:space="preserve"> folder, the runtime properties file and start scripts for both profiles. The Denodo JDBC driver is not on Maven Central and ships with the Denodo installation, so it is dropped into </w:t>
      </w:r>
      <w:r>
        <w:rPr>
          <w:rFonts w:ascii="Courier New" w:eastAsia="Times New Roman" w:hAnsi="Courier New" w:cs="Courier New"/>
          <w:sz w:val="24"/>
          <w:szCs w:val="24"/>
        </w:rPr>
        <w:t xml:space="preserve">drivers/</w:t>
      </w:r>
      <w:r>
        <w:rPr>
          <w:rFonts w:ascii="Times New Roman" w:eastAsia="Times New Roman" w:hAnsi="Times New Roman" w:cs="Traditional Arabic"/>
          <w:sz w:val="24"/>
          <w:szCs w:val="24"/>
        </w:rPr>
        <w:t xml:space="preserve"> and picked up at run time - the jar is built with the PropertiesLauncher (ZIP layout) for exactly this. The Oracle driver for the statement archive is an ordinary pom dependency and needs nothing dropped in.</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export ARCHIVAL_DB_URL="jdbc:vdb://&lt;denodo-host&gt;:9999/&lt;vdb&gt;"</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export ARCHIVAL_DB_USER="..."</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export ARCHIVAL_DB_PASSWORD="..."</w:t>
      </w:r>
    </w:p>
    <w:p>
      <w:pPr>
        <w:spacing w:before="0" w:after="0" w:line="240" w:lineRule="auto"/>
        <w:ind w:left="1352"/>
        <w:rPr>
          <w:rFonts w:ascii="Courier New" w:eastAsia="Times New Roman" w:hAnsi="Courier New" w:cs="Courier New"/>
          <w:sz w:val="16"/>
          <w:szCs w:val="16"/>
        </w:rPr>
      </w:pP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java -Dloader.path=drivers -jar bank-api-0.1.0-SNAPSHOT.jar \</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--spring.profiles.active=denodo</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application serves on port 8085. </w:t>
      </w:r>
      <w:r>
        <w:rPr>
          <w:rFonts w:ascii="Courier New" w:eastAsia="Times New Roman" w:hAnsi="Courier New" w:cs="Courier New"/>
          <w:sz w:val="24"/>
          <w:szCs w:val="24"/>
        </w:rPr>
        <w:t xml:space="preserve">GET /api/health/db</w:t>
      </w:r>
      <w:r>
        <w:rPr>
          <w:rFonts w:ascii="Times New Roman" w:eastAsia="Times New Roman" w:hAnsi="Times New Roman" w:cs="Traditional Arabic"/>
          <w:sz w:val="24"/>
          <w:szCs w:val="24"/>
        </w:rPr>
        <w:t xml:space="preserve"> is the smoke test to run before opening the UI: it reports the connections, the resolved BankingDate and the </w:t>
      </w:r>
      <w:r>
        <w:rPr>
          <w:rFonts w:ascii="Courier New" w:eastAsia="Times New Roman" w:hAnsi="Courier New" w:cs="Courier New"/>
          <w:sz w:val="24"/>
          <w:szCs w:val="24"/>
        </w:rPr>
        <w:t xml:space="preserve">stcusttab</w:t>
      </w:r>
      <w:r>
        <w:rPr>
          <w:rFonts w:ascii="Times New Roman" w:eastAsia="Times New Roman" w:hAnsi="Times New Roman" w:cs="Traditional Arabic"/>
          <w:sz w:val="24"/>
          <w:szCs w:val="24"/>
        </w:rPr>
        <w:t xml:space="preserve"> row count. An interactive API explorer is published at </w:t>
      </w:r>
      <w:r>
        <w:rPr>
          <w:rFonts w:ascii="Courier New" w:eastAsia="Times New Roman" w:hAnsi="Courier New" w:cs="Courier New"/>
          <w:sz w:val="24"/>
          <w:szCs w:val="24"/>
        </w:rPr>
        <w:t xml:space="preserve">/swagger-ui.html</w:t>
      </w:r>
      <w:r>
        <w:rPr>
          <w:rFonts w:ascii="Times New Roman" w:eastAsia="Times New Roman" w:hAnsi="Times New Roman" w:cs="Traditional Arabic"/>
          <w:sz w:val="24"/>
          <w:szCs w:val="24"/>
        </w:rPr>
        <w:t xml:space="preserve">, with the raw OpenAPI document at </w:t>
      </w:r>
      <w:r>
        <w:rPr>
          <w:rFonts w:ascii="Courier New" w:eastAsia="Times New Roman" w:hAnsi="Courier New" w:cs="Courier New"/>
          <w:sz w:val="24"/>
          <w:szCs w:val="24"/>
        </w:rPr>
        <w:t xml:space="preserve">/v3/api-docs</w:t>
      </w:r>
      <w:r>
        <w:rPr>
          <w:rFonts w:ascii="Times New Roman" w:eastAsia="Times New Roman" w:hAnsi="Times New Roman" w:cs="Traditional Arabic"/>
          <w:sz w:val="24"/>
          <w:szCs w:val="24"/>
        </w:rPr>
        <w:t xml:space="preserve">.</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Settings that change in service</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Two settings live outside the jar, in </w:t>
      </w:r>
      <w:r>
        <w:rPr>
          <w:rFonts w:ascii="Courier New" w:eastAsia="Times New Roman" w:hAnsi="Courier New" w:cs="Courier New"/>
          <w:sz w:val="24"/>
          <w:szCs w:val="24"/>
        </w:rPr>
        <w:t xml:space="preserve">bank-runtime.properties</w:t>
      </w:r>
      <w:r>
        <w:rPr>
          <w:rFonts w:ascii="Times New Roman" w:eastAsia="Times New Roman" w:hAnsi="Times New Roman" w:cs="Traditional Arabic"/>
          <w:sz w:val="24"/>
          <w:szCs w:val="24"/>
        </w:rPr>
        <w:t xml:space="preserve">, because they are the ones that get changed while the application is running:</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allowed-users=DEVUSER,OPER1,ENQ1   # blank = any authenticated user</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banking-date=2009-07-11            # blank = MAX(BankingDate) from stcusttab</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Editing and saving that file takes effect within a second: the next login sees the new list and the next query binds the new date. A file that fails to parse, or a date that is neither </w:t>
      </w:r>
      <w:r>
        <w:rPr>
          <w:rFonts w:ascii="Courier New" w:eastAsia="Times New Roman" w:hAnsi="Courier New" w:cs="Courier New"/>
          <w:sz w:val="24"/>
          <w:szCs w:val="24"/>
        </w:rPr>
        <w:t xml:space="preserve">yyyy-MM-dd</w:t>
      </w:r>
      <w:r>
        <w:rPr>
          <w:rFonts w:ascii="Times New Roman" w:eastAsia="Times New Roman" w:hAnsi="Times New Roman" w:cs="Traditional Arabic"/>
          <w:sz w:val="24"/>
          <w:szCs w:val="24"/>
        </w:rPr>
        <w:t xml:space="preserve"> nor </w:t>
      </w:r>
      <w:r>
        <w:rPr>
          <w:rFonts w:ascii="Courier New" w:eastAsia="Times New Roman" w:hAnsi="Courier New" w:cs="Courier New"/>
          <w:sz w:val="24"/>
          <w:szCs w:val="24"/>
        </w:rPr>
        <w:t xml:space="preserve">yyyyMMdd</w:t>
      </w:r>
      <w:r>
        <w:rPr>
          <w:rFonts w:ascii="Times New Roman" w:eastAsia="Times New Roman" w:hAnsi="Times New Roman" w:cs="Traditional Arabic"/>
          <w:sz w:val="24"/>
          <w:szCs w:val="24"/>
        </w:rPr>
        <w:t xml:space="preserve">, is rejected with an error in the log and the previously loaded values stay in force, so a typo cannot take a running application down. Everything else - database URLs, credentials, JWT settings and the port - is startup configuration and needs a restart.</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Logging and observability</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7"/>
        <w:gridCol w:w="1239"/>
        <w:gridCol w:w="4954"/>
      </w:tblGrid>
      <w:tr>
        <w:trPr>
          <w:tblHeader/>
          <w:cantSplit/>
        </w:trPr>
        <w:tc>
          <w:tcPr>
            <w:tcW w:w="2477"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Log</w:t>
            </w:r>
          </w:p>
        </w:tc>
        <w:tc>
          <w:tcPr>
            <w:tcW w:w="1239"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Default</w:t>
            </w:r>
          </w:p>
        </w:tc>
        <w:tc>
          <w:tcPr>
            <w:tcW w:w="495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Contents</w:t>
            </w:r>
          </w:p>
        </w:tc>
      </w:tr>
      <w:tr>
        <w:tc>
          <w:tcPr>
            <w:tcW w:w="247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Application log (</w:t>
            </w:r>
            <w:r>
              <w:rPr>
                <w:rFonts w:ascii="Courier New" w:eastAsia="Times New Roman" w:hAnsi="Courier New" w:cs="Courier New"/>
                <w:sz w:val="16"/>
                <w:szCs w:val="19"/>
              </w:rPr>
              <w:t xml:space="preserve">logs/bank-api.log</w:t>
            </w:r>
            <w:r>
              <w:rPr>
                <w:rFonts w:ascii="Arial" w:eastAsia="Times New Roman" w:hAnsi="Arial" w:cs="Traditional Arabic"/>
                <w:sz w:val="16"/>
                <w:szCs w:val="19"/>
              </w:rPr>
              <w:t xml:space="preserve">)</w:t>
            </w:r>
          </w:p>
        </w:tc>
        <w:tc>
          <w:tcPr>
            <w:tcW w:w="1239"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On</w:t>
            </w:r>
          </w:p>
        </w:tc>
        <w:tc>
          <w:tcPr>
            <w:tcW w:w="495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Startup and faults, each unexpected failure written against the six-character reference the operator was shown. Rolls at 20MB, keeps 30 days.</w:t>
            </w:r>
          </w:p>
        </w:tc>
      </w:tr>
      <w:tr>
        <w:tc>
          <w:tcPr>
            <w:tcW w:w="247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SQL audit log (</w:t>
            </w:r>
            <w:r>
              <w:rPr>
                <w:rFonts w:ascii="Courier New" w:eastAsia="Times New Roman" w:hAnsi="Courier New" w:cs="Courier New"/>
                <w:sz w:val="16"/>
                <w:szCs w:val="19"/>
              </w:rPr>
              <w:t xml:space="preserve">logs/bank-api-sql.log</w:t>
            </w:r>
            <w:r>
              <w:rPr>
                <w:rFonts w:ascii="Arial" w:eastAsia="Times New Roman" w:hAnsi="Arial" w:cs="Traditional Arabic"/>
                <w:sz w:val="16"/>
                <w:szCs w:val="19"/>
              </w:rPr>
              <w:t xml:space="preserve">)</w:t>
            </w:r>
          </w:p>
        </w:tc>
        <w:tc>
          <w:tcPr>
            <w:tcW w:w="1239"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Off</w:t>
            </w:r>
          </w:p>
        </w:tc>
        <w:tc>
          <w:tcPr>
            <w:tcW w:w="495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Every </w:t>
            </w:r>
            <w:r>
              <w:rPr>
                <w:rFonts w:ascii="Courier New" w:eastAsia="Times New Roman" w:hAnsi="Courier New" w:cs="Courier New"/>
                <w:sz w:val="16"/>
                <w:szCs w:val="19"/>
              </w:rPr>
              <w:t xml:space="preserve">/api</w:t>
            </w:r>
            <w:r>
              <w:rPr>
                <w:rFonts w:ascii="Arial" w:eastAsia="Times New Roman" w:hAnsi="Arial" w:cs="Traditional Arabic"/>
                <w:sz w:val="16"/>
                <w:szCs w:val="19"/>
              </w:rPr>
              <w:t xml:space="preserve"> call and each statement behind it: the SQL as the driver received it with prefixes applied, and the bound values.</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Archives are deliberately </w:t>
      </w:r>
      <w:r>
        <w:rPr>
          <w:rFonts w:ascii="Times New Roman" w:eastAsia="Times New Roman" w:hAnsi="Times New Roman" w:cs="Traditional Arabic"/>
          <w:sz w:val="24"/>
          <w:szCs w:val="24"/>
          <w:b/>
          <w:bCs/>
        </w:rPr>
        <w:t xml:space="preserve">not</w:t>
      </w:r>
      <w:r>
        <w:rPr>
          <w:rFonts w:ascii="Times New Roman" w:eastAsia="Times New Roman" w:hAnsi="Times New Roman" w:cs="Traditional Arabic"/>
          <w:sz w:val="24"/>
          <w:szCs w:val="24"/>
        </w:rPr>
        <w:t xml:space="preserve"> gzipped. Windows has no </w:t>
      </w:r>
      <w:r>
        <w:rPr>
          <w:rFonts w:ascii="Courier New" w:eastAsia="Times New Roman" w:hAnsi="Courier New" w:cs="Courier New"/>
          <w:sz w:val="24"/>
          <w:szCs w:val="24"/>
        </w:rPr>
        <w:t xml:space="preserve">zgrep</w:t>
      </w:r>
      <w:r>
        <w:rPr>
          <w:rFonts w:ascii="Times New Roman" w:eastAsia="Times New Roman" w:hAnsi="Times New Roman" w:cs="Traditional Arabic"/>
          <w:sz w:val="24"/>
          <w:szCs w:val="24"/>
        </w:rPr>
        <w:t xml:space="preserve">, and an archive the help desk cannot search is the same as no log at all, so </w:t>
      </w:r>
      <w:r>
        <w:rPr>
          <w:rFonts w:ascii="Courier New" w:eastAsia="Times New Roman" w:hAnsi="Courier New" w:cs="Courier New"/>
          <w:sz w:val="24"/>
          <w:szCs w:val="24"/>
        </w:rPr>
        <w:t xml:space="preserve">findstr /S KQ7MTX logs\*</w:t>
      </w:r>
      <w:r>
        <w:rPr>
          <w:rFonts w:ascii="Times New Roman" w:eastAsia="Times New Roman" w:hAnsi="Times New Roman" w:cs="Traditional Arabic"/>
          <w:sz w:val="24"/>
          <w:szCs w:val="24"/>
        </w:rPr>
        <w:t xml:space="preserve"> finds a reference wherever it landed.</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One limit is worth knowing. Only the </w:t>
      </w:r>
      <w:r>
        <w:rPr>
          <w:rFonts w:ascii="Courier New" w:eastAsia="Times New Roman" w:hAnsi="Courier New" w:cs="Courier New"/>
          <w:sz w:val="24"/>
          <w:szCs w:val="24"/>
        </w:rPr>
        <w:t xml:space="preserve">RuntimeException</w:t>
      </w:r>
      <w:r>
        <w:rPr>
          <w:rFonts w:ascii="Times New Roman" w:eastAsia="Times New Roman" w:hAnsi="Times New Roman" w:cs="Traditional Arabic"/>
          <w:sz w:val="24"/>
          <w:szCs w:val="24"/>
        </w:rPr>
        <w:t xml:space="preserve"> catch-all (HTTP 500) mints a server-side reference; 4xx and 501 carry ported business messages and deliberately have none. When a request never reached the API at all, </w:t>
      </w:r>
      <w:r>
        <w:rPr>
          <w:rFonts w:ascii="Courier New" w:eastAsia="Times New Roman" w:hAnsi="Courier New" w:cs="Courier New"/>
          <w:sz w:val="24"/>
          <w:szCs w:val="24"/>
        </w:rPr>
        <w:t xml:space="preserve">clientReference()</w:t>
      </w:r>
      <w:r>
        <w:rPr>
          <w:rFonts w:ascii="Times New Roman" w:eastAsia="Times New Roman" w:hAnsi="Times New Roman" w:cs="Traditional Arabic"/>
          <w:sz w:val="24"/>
          <w:szCs w:val="24"/>
        </w:rPr>
        <w:t xml:space="preserve"> in </w:t>
      </w:r>
      <w:r>
        <w:rPr>
          <w:rFonts w:ascii="Courier New" w:eastAsia="Times New Roman" w:hAnsi="Courier New" w:cs="Courier New"/>
          <w:sz w:val="24"/>
          <w:szCs w:val="24"/>
        </w:rPr>
        <w:t xml:space="preserve">bank-ui/src/api.ts</w:t>
      </w:r>
      <w:r>
        <w:rPr>
          <w:rFonts w:ascii="Times New Roman" w:eastAsia="Times New Roman" w:hAnsi="Times New Roman" w:cs="Traditional Arabic"/>
          <w:sz w:val="24"/>
          <w:szCs w:val="24"/>
        </w:rPr>
        <w:t xml:space="preserve"> mints one with the same alphabet that exists </w:t>
      </w:r>
      <w:r>
        <w:rPr>
          <w:rFonts w:ascii="Times New Roman" w:eastAsia="Times New Roman" w:hAnsi="Times New Roman" w:cs="Traditional Arabic"/>
          <w:sz w:val="24"/>
          <w:szCs w:val="24"/>
          <w:b/>
          <w:bCs/>
        </w:rPr>
        <w:t xml:space="preserve">only</w:t>
      </w:r>
      <w:r>
        <w:rPr>
          <w:rFonts w:ascii="Times New Roman" w:eastAsia="Times New Roman" w:hAnsi="Times New Roman" w:cs="Traditional Arabic"/>
          <w:sz w:val="24"/>
          <w:szCs w:val="24"/>
        </w:rPr>
        <w:t xml:space="preserve"> in the browser console. A reference that yields no server hit means "look in DevTools", not "the log is broken".</w:t>
      </w:r>
    </w:p>
    <w:p>
      <w:pPr>
        <w:keepNext/>
        <w:numPr>
          <w:ilvl w:val="2"/>
          <w:numId w:val="1"/>
        </w:numPr>
        <w:spacing w:before="120" w:after="120" w:line="240" w:lineRule="auto"/>
        <w:jc w:val="lowKashida"/>
        <w:outlineLvl w:val="2"/>
        <w:rPr>
          <w:rFonts w:ascii="Arial" w:eastAsia="Times New Roman" w:hAnsi="Arial" w:cs="Traditional Arabic"/>
          <w:spacing w:val="-10"/>
          <w:kern w:val="28"/>
          <w:sz w:val="26"/>
          <w:szCs w:val="31"/>
        </w:rPr>
      </w:pPr>
      <w:r>
        <w:rPr>
          <w:rFonts w:ascii="Arial" w:eastAsia="Times New Roman" w:hAnsi="Arial" w:cs="Traditional Arabic"/>
          <w:spacing w:val="-10"/>
          <w:kern w:val="28"/>
          <w:sz w:val="26"/>
          <w:szCs w:val="31"/>
        </w:rPr>
        <w:t xml:space="preserve">Testing</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153 tests across 24 test classes run on every build, covering the ported business rules, the encodings, the category routing and the SQL prefixer. What they do not cover is the SQL itself: because the mock repositories match on Java objects rather than statements, a query defect passes them all. Verification is therefore done by driving the built jar in a headless browser - not the dev server - and by comparing screens against the legacy captures under </w:t>
      </w:r>
      <w:r>
        <w:rPr>
          <w:rFonts w:ascii="Courier New" w:eastAsia="Times New Roman" w:hAnsi="Courier New" w:cs="Courier New"/>
          <w:sz w:val="24"/>
          <w:szCs w:val="24"/>
        </w:rPr>
        <w:t xml:space="preserve">docs/Screens</w:t>
      </w:r>
      <w:r>
        <w:rPr>
          <w:rFonts w:ascii="Times New Roman" w:eastAsia="Times New Roman" w:hAnsi="Times New Roman" w:cs="Traditional Arabic"/>
          <w:sz w:val="24"/>
          <w:szCs w:val="24"/>
        </w:rPr>
        <w:t xml:space="preserve">.</w:t>
      </w:r>
    </w:p>
    <w:p>
      <w:pPr>
        <w:keepNext/>
        <w:numPr>
          <w:ilvl w:val="1"/>
          <w:numId w:val="1"/>
        </w:numPr>
        <w:tabs>
          <w:tab w:val="left" w:pos="992"/>
        </w:tabs>
        <w:spacing w:before="120" w:after="120" w:line="240" w:lineRule="auto"/>
        <w:ind w:left="993" w:hanging="993"/>
        <w:jc w:val="lowKashida"/>
        <w:outlineLvl w:val="1"/>
        <w:rPr>
          <w:rFonts w:ascii="Arial" w:eastAsia="Times New Roman" w:hAnsi="Arial" w:cs="Traditional Arabic"/>
          <w:spacing w:val="-10"/>
          <w:kern w:val="28"/>
          <w:sz w:val="28"/>
          <w:szCs w:val="33"/>
        </w:rPr>
      </w:pPr>
      <w:r>
        <w:rPr>
          <w:rFonts w:ascii="Arial" w:eastAsia="Times New Roman" w:hAnsi="Arial" w:cs="Traditional Arabic"/>
          <w:spacing w:val="-10"/>
          <w:kern w:val="28"/>
          <w:sz w:val="28"/>
          <w:szCs w:val="33"/>
        </w:rPr>
        <w:t xml:space="preserve">Known Gaps and Open Decisions</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7"/>
        <w:gridCol w:w="1927"/>
        <w:gridCol w:w="4816"/>
      </w:tblGrid>
      <w:tr>
        <w:trPr>
          <w:tblHeader/>
          <w:cantSplit/>
        </w:trPr>
        <w:tc>
          <w:tcPr>
            <w:tcW w:w="1927"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Item</w:t>
            </w:r>
          </w:p>
        </w:tc>
        <w:tc>
          <w:tcPr>
            <w:tcW w:w="1927"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State</w:t>
            </w:r>
          </w:p>
        </w:tc>
        <w:tc>
          <w:tcPr>
            <w:tcW w:w="4816"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Effect</w:t>
            </w:r>
          </w:p>
        </w:tc>
      </w:tr>
      <w:tr>
        <w:tc>
          <w:tcPr>
            <w:tcW w:w="192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Per-user authorities</w:t>
            </w:r>
          </w:p>
        </w:tc>
        <w:tc>
          <w:tcPr>
            <w:tcW w:w="192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Open decision</w:t>
            </w:r>
          </w:p>
        </w:tc>
        <w:tc>
          <w:tcPr>
            <w:tcW w:w="48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Every authenticated user currently receives one interim admin authority carrying all the </w:t>
            </w:r>
            <w:r>
              <w:rPr>
                <w:rFonts w:ascii="Courier New" w:eastAsia="Times New Roman" w:hAnsi="Courier New" w:cs="Courier New"/>
                <w:sz w:val="16"/>
                <w:szCs w:val="19"/>
              </w:rPr>
              <w:t xml:space="preserve">~NN</w:t>
            </w:r>
            <w:r>
              <w:rPr>
                <w:rFonts w:ascii="Arial" w:eastAsia="Times New Roman" w:hAnsi="Arial" w:cs="Traditional Arabic"/>
                <w:sz w:val="16"/>
                <w:szCs w:val="19"/>
              </w:rPr>
              <w:t xml:space="preserve"> capability codes. An agreed user-to-capability mapping is needed before go-live.</w:t>
            </w:r>
          </w:p>
        </w:tc>
      </w:tr>
      <w:tr>
        <w:tc>
          <w:tcPr>
            <w:tcW w:w="1927"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bkd0data</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ccarrblk</w:t>
            </w:r>
          </w:p>
        </w:tc>
        <w:tc>
          <w:tcPr>
            <w:tcW w:w="192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Views absent in Denodo</w:t>
            </w:r>
          </w:p>
        </w:tc>
        <w:tc>
          <w:tcPr>
            <w:tcW w:w="48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Blocked Amount Breakup loses sources 3 and 4. The "Total Blocked Balance" tile comes from the </w:t>
            </w:r>
            <w:r>
              <w:rPr>
                <w:rFonts w:ascii="Courier New" w:eastAsia="Times New Roman" w:hAnsi="Courier New" w:cs="Courier New"/>
                <w:sz w:val="16"/>
                <w:szCs w:val="19"/>
              </w:rPr>
              <w:t xml:space="preserve">gld0data</w:t>
            </w:r>
            <w:r>
              <w:rPr>
                <w:rFonts w:ascii="Arial" w:eastAsia="Times New Roman" w:hAnsi="Arial" w:cs="Traditional Arabic"/>
                <w:sz w:val="16"/>
                <w:szCs w:val="19"/>
              </w:rPr>
              <w:t xml:space="preserve"> header and is independent of the detail rows, so for an affected account the total exceeds the sum of the rows shown with nothing on screen explaining the difference.</w:t>
            </w:r>
          </w:p>
        </w:tc>
      </w:tr>
      <w:tr>
        <w:tc>
          <w:tcPr>
            <w:tcW w:w="1927"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stswiftlog</w:t>
            </w:r>
          </w:p>
        </w:tc>
        <w:tc>
          <w:tcPr>
            <w:tcW w:w="192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View absent in Denodo</w:t>
            </w:r>
          </w:p>
        </w:tc>
        <w:tc>
          <w:tcPr>
            <w:tcW w:w="48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Transfer Detail's pending-SWIFT-amendment guard never fires.</w:t>
            </w:r>
          </w:p>
        </w:tc>
      </w:tr>
      <w:tr>
        <w:tc>
          <w:tcPr>
            <w:tcW w:w="192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 customer header</w:t>
            </w:r>
          </w:p>
        </w:tc>
        <w:tc>
          <w:tcPr>
            <w:tcW w:w="192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Needs a genuine DB #2</w:t>
            </w:r>
          </w:p>
        </w:tc>
        <w:tc>
          <w:tcPr>
            <w:tcW w:w="48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only remaining real gateway dependency; marked in </w:t>
            </w:r>
            <w:r>
              <w:rPr>
                <w:rFonts w:ascii="Courier New" w:eastAsia="Times New Roman" w:hAnsi="Courier New" w:cs="Courier New"/>
                <w:sz w:val="16"/>
                <w:szCs w:val="19"/>
              </w:rPr>
              <w:t xml:space="preserve">JdbcCardRepository</w:t>
            </w:r>
            <w:r>
              <w:rPr>
                <w:rFonts w:ascii="Arial" w:eastAsia="Times New Roman" w:hAnsi="Arial" w:cs="Traditional Arabic"/>
                <w:sz w:val="16"/>
                <w:szCs w:val="19"/>
              </w:rPr>
              <w:t xml:space="preserve">.</w:t>
            </w:r>
          </w:p>
        </w:tc>
      </w:tr>
      <w:tr>
        <w:tc>
          <w:tcPr>
            <w:tcW w:w="192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SADAD live bill enquiry</w:t>
            </w:r>
          </w:p>
        </w:tc>
        <w:tc>
          <w:tcPr>
            <w:tcW w:w="192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Not scaffolded</w:t>
            </w:r>
          </w:p>
        </w:tc>
        <w:tc>
          <w:tcPr>
            <w:tcW w:w="48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Gateway decision pending. The archived SADAD log screen works.</w:t>
            </w:r>
          </w:p>
        </w:tc>
      </w:tr>
      <w:tr>
        <w:tc>
          <w:tcPr>
            <w:tcW w:w="192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Statement DB table names</w:t>
            </w:r>
          </w:p>
        </w:tc>
        <w:tc>
          <w:tcPr>
            <w:tcW w:w="192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Three of four are placeholders</w:t>
            </w:r>
          </w:p>
        </w:tc>
        <w:tc>
          <w:tcPr>
            <w:tcW w:w="4816"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Only </w:t>
            </w:r>
            <w:r>
              <w:rPr>
                <w:rFonts w:ascii="Courier New" w:eastAsia="Times New Roman" w:hAnsi="Courier New" w:cs="Courier New"/>
                <w:sz w:val="16"/>
                <w:szCs w:val="19"/>
              </w:rPr>
              <w:t xml:space="preserve">PDP_STMT_TXN</w:t>
            </w:r>
            <w:r>
              <w:rPr>
                <w:rFonts w:ascii="Arial" w:eastAsia="Times New Roman" w:hAnsi="Arial" w:cs="Traditional Arabic"/>
                <w:sz w:val="16"/>
                <w:szCs w:val="19"/>
              </w:rPr>
              <w:t xml:space="preserve"> is confirmed from the DBA screenshots. Correct the other three against the real schema before switching DB #3 on - a wrong name is a clean startup and a query-time ORA-00942.</w:t>
            </w:r>
          </w:p>
        </w:tc>
      </w:tr>
      <w:tr>
        <w:tc>
          <w:tcPr>
            <w:tcW w:w="192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Documentation drift</w:t>
            </w:r>
          </w:p>
        </w:tc>
        <w:tc>
          <w:tcPr>
            <w:tcW w:w="192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Minor</w:t>
            </w:r>
          </w:p>
        </w:tc>
        <w:tc>
          <w:tcPr>
            <w:tcW w:w="4816"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bank-api/README.md</w:t>
            </w:r>
            <w:r>
              <w:rPr>
                <w:rFonts w:ascii="Arial" w:eastAsia="Times New Roman" w:hAnsi="Arial" w:cs="Traditional Arabic"/>
                <w:sz w:val="16"/>
                <w:szCs w:val="19"/>
              </w:rPr>
              <w:t xml:space="preserve"> and the deploy notes still state Java 21 and port 8080; </w:t>
            </w:r>
            <w:r>
              <w:rPr>
                <w:rFonts w:ascii="Courier New" w:eastAsia="Times New Roman" w:hAnsi="Courier New" w:cs="Courier New"/>
                <w:sz w:val="16"/>
                <w:szCs w:val="19"/>
              </w:rPr>
              <w:t xml:space="preserve">pom.xml</w:t>
            </w:r>
            <w:r>
              <w:rPr>
                <w:rFonts w:ascii="Arial" w:eastAsia="Times New Roman" w:hAnsi="Arial" w:cs="Traditional Arabic"/>
                <w:sz w:val="16"/>
                <w:szCs w:val="19"/>
              </w:rPr>
              <w:t xml:space="preserve"> sets Java 25 and </w:t>
            </w:r>
            <w:r>
              <w:rPr>
                <w:rFonts w:ascii="Courier New" w:eastAsia="Times New Roman" w:hAnsi="Courier New" w:cs="Courier New"/>
                <w:sz w:val="16"/>
                <w:szCs w:val="19"/>
              </w:rPr>
              <w:t xml:space="preserve">application.yml</w:t>
            </w:r>
            <w:r>
              <w:rPr>
                <w:rFonts w:ascii="Arial" w:eastAsia="Times New Roman" w:hAnsi="Arial" w:cs="Traditional Arabic"/>
                <w:sz w:val="16"/>
                <w:szCs w:val="19"/>
              </w:rPr>
              <w:t xml:space="preserve"> sets port 8085.</w:t>
            </w:r>
          </w:p>
        </w:tc>
      </w:tr>
    </w:tbl>
    <w:p>
      <w:pPr>
        <w:spacing w:before="60" w:after="120" w:line="240" w:lineRule="auto"/>
        <w:ind w:left="992"/>
        <w:jc w:val="lowKashida"/>
        <w:rPr>
          <w:rFonts w:ascii="Times New Roman" w:eastAsia="Times New Roman" w:hAnsi="Times New Roman" w:cs="Traditional Arabic"/>
          <w:sz w:val="24"/>
          <w:szCs w:val="24"/>
        </w:rPr>
      </w:pPr>
    </w:p>
    <w:p>
      <w:pPr>
        <w:keepNext/>
        <w:pageBreakBefore/>
        <w:numPr>
          <w:ilvl w:val="0"/>
          <w:numId w:val="1"/>
        </w:numPr>
        <w:spacing w:before="120" w:after="120" w:line="240" w:lineRule="auto"/>
        <w:jc w:val="lowKashida"/>
        <w:outlineLvl w:val="0"/>
        <w:rPr>
          <w:rFonts w:ascii="Arial" w:eastAsia="Times New Roman" w:hAnsi="Arial" w:cs="Traditional Arabic"/>
          <w:spacing w:val="-10"/>
          <w:kern w:val="28"/>
          <w:sz w:val="32"/>
          <w:szCs w:val="32"/>
        </w:rPr>
      </w:pPr>
      <w:r>
        <w:rPr>
          <w:rFonts w:ascii="Arial" w:eastAsia="Times New Roman" w:hAnsi="Arial" w:cs="Traditional Arabic"/>
          <w:spacing w:val="-10"/>
          <w:kern w:val="28"/>
          <w:sz w:val="32"/>
          <w:szCs w:val="32"/>
        </w:rPr>
        <w:t xml:space="preserve">Systems / Programs Impacted</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7"/>
        <w:gridCol w:w="6193"/>
      </w:tblGrid>
      <w:tr>
        <w:trPr>
          <w:tblHeader/>
          <w:cantSplit/>
        </w:trPr>
        <w:tc>
          <w:tcPr>
            <w:tcW w:w="2477"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System / program</w:t>
            </w:r>
          </w:p>
        </w:tc>
        <w:tc>
          <w:tcPr>
            <w:tcW w:w="6193"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Impact</w:t>
            </w:r>
          </w:p>
        </w:tc>
      </w:tr>
      <w:tr>
        <w:tc>
          <w:tcPr>
            <w:tcW w:w="247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CSD for CBS-CMS Ver 4.0.5 (VB6 client)</w:t>
            </w:r>
          </w:p>
        </w:tc>
        <w:tc>
          <w:tcPr>
            <w:tcW w:w="6193"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Withdrawn. Retained in the repository as the specification of record for fields, labels, captions and screen behaviour.</w:t>
            </w:r>
          </w:p>
        </w:tc>
      </w:tr>
      <w:tr>
        <w:tc>
          <w:tcPr>
            <w:tcW w:w="247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cbcmssrv (C server)</w:t>
            </w:r>
          </w:p>
        </w:tc>
        <w:tc>
          <w:tcPr>
            <w:tcW w:w="6193"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Withdrawn. Its 531 message contracts are the source for the endpoint mapping in appendix 5.3.</w:t>
            </w:r>
          </w:p>
        </w:tc>
      </w:tr>
      <w:tr>
        <w:tc>
          <w:tcPr>
            <w:tcW w:w="247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bank-ui (new)</w:t>
            </w:r>
          </w:p>
        </w:tc>
        <w:tc>
          <w:tcPr>
            <w:tcW w:w="6193"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React single-page application - 47 screens, shared legacy-form components, English/Arabic resources. Built into the API jar.</w:t>
            </w:r>
          </w:p>
        </w:tc>
      </w:tr>
      <w:tr>
        <w:tc>
          <w:tcPr>
            <w:tcW w:w="247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(new)</w:t>
            </w:r>
          </w:p>
        </w:tc>
        <w:tc>
          <w:tcPr>
            <w:tcW w:w="6193"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Spring Boot enquiry API. Controllers, application services and JDBC repositories holding the ported SQL.</w:t>
            </w:r>
          </w:p>
        </w:tc>
      </w:tr>
      <w:tr>
        <w:tc>
          <w:tcPr>
            <w:tcW w:w="247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Denodo</w:t>
            </w:r>
          </w:p>
        </w:tc>
        <w:tc>
          <w:tcPr>
            <w:tcW w:w="6193"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39 views over the BankMaster archival schema must exist, per environment, under the configured prefix. 36 are confirmed; three are listed in section 3.3.</w:t>
            </w:r>
          </w:p>
        </w:tc>
      </w:tr>
      <w:tr>
        <w:tc>
          <w:tcPr>
            <w:tcW w:w="247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Cloudera (BM archival extract)</w:t>
            </w:r>
          </w:p>
        </w:tc>
        <w:tc>
          <w:tcPr>
            <w:tcW w:w="6193"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source of every screen. No change is requested to the extract; the application adapts to its encodings.</w:t>
            </w:r>
          </w:p>
        </w:tc>
      </w:tr>
      <w:tr>
        <w:tc>
          <w:tcPr>
            <w:tcW w:w="247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Omni statement archive (Oracle)</w:t>
            </w:r>
          </w:p>
        </w:tc>
        <w:tc>
          <w:tcPr>
            <w:tcW w:w="6193"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Two header/detail table pairs read by the Historical Statement and PDP Statement screens. Off by default until the table names are confirmed.</w:t>
            </w:r>
          </w:p>
        </w:tc>
      </w:tr>
      <w:tr>
        <w:tc>
          <w:tcPr>
            <w:tcW w:w="247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Active Directory</w:t>
            </w:r>
          </w:p>
        </w:tc>
        <w:tc>
          <w:tcPr>
            <w:tcW w:w="6193"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bind that authenticates sign-on. No schema or group change is requested; the application gates separately on its own allow-list.</w:t>
            </w:r>
          </w:p>
        </w:tc>
      </w:tr>
      <w:tr>
        <w:tc>
          <w:tcPr>
            <w:tcW w:w="247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Branch PC build</w:t>
            </w:r>
          </w:p>
        </w:tc>
        <w:tc>
          <w:tcPr>
            <w:tcW w:w="6193"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 installed client. A supported browser replaces the VB6 distribution.</w:t>
            </w:r>
          </w:p>
        </w:tc>
      </w:tr>
      <w:tr>
        <w:tc>
          <w:tcPr>
            <w:tcW w:w="247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Finacle gateway</w:t>
            </w:r>
          </w:p>
        </w:tc>
        <w:tc>
          <w:tcPr>
            <w:tcW w:w="6193"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 longer called. One residual dependency remains for the card customer header (section 3.3).</w:t>
            </w:r>
          </w:p>
        </w:tc>
      </w:tr>
    </w:tbl>
    <w:p>
      <w:pPr>
        <w:spacing w:before="60" w:after="120" w:line="240" w:lineRule="auto"/>
        <w:ind w:left="992"/>
        <w:jc w:val="lowKashida"/>
        <w:rPr>
          <w:rFonts w:ascii="Times New Roman" w:eastAsia="Times New Roman" w:hAnsi="Times New Roman" w:cs="Traditional Arabic"/>
          <w:sz w:val="24"/>
          <w:szCs w:val="24"/>
        </w:rPr>
      </w:pPr>
    </w:p>
    <w:p>
      <w:pPr>
        <w:keepNext/>
        <w:pageBreakBefore/>
        <w:numPr>
          <w:ilvl w:val="0"/>
          <w:numId w:val="1"/>
        </w:numPr>
        <w:spacing w:before="120" w:after="120" w:line="240" w:lineRule="auto"/>
        <w:jc w:val="lowKashida"/>
        <w:outlineLvl w:val="0"/>
        <w:rPr>
          <w:rFonts w:ascii="Arial" w:eastAsia="Times New Roman" w:hAnsi="Arial" w:cs="Traditional Arabic"/>
          <w:spacing w:val="-10"/>
          <w:kern w:val="28"/>
          <w:sz w:val="32"/>
          <w:szCs w:val="32"/>
        </w:rPr>
      </w:pPr>
      <w:r>
        <w:rPr>
          <w:rFonts w:ascii="Arial" w:eastAsia="Times New Roman" w:hAnsi="Arial" w:cs="Traditional Arabic"/>
          <w:spacing w:val="-10"/>
          <w:kern w:val="28"/>
          <w:sz w:val="32"/>
          <w:szCs w:val="32"/>
        </w:rPr>
        <w:t xml:space="preserve">APPENDIX</w:t>
      </w:r>
    </w:p>
    <w:p>
      <w:pPr>
        <w:keepNext/>
        <w:numPr>
          <w:ilvl w:val="1"/>
          <w:numId w:val="1"/>
        </w:numPr>
        <w:tabs>
          <w:tab w:val="left" w:pos="992"/>
        </w:tabs>
        <w:spacing w:before="120" w:after="120" w:line="240" w:lineRule="auto"/>
        <w:ind w:left="993" w:hanging="993"/>
        <w:jc w:val="lowKashida"/>
        <w:outlineLvl w:val="1"/>
        <w:rPr>
          <w:rFonts w:ascii="Arial" w:eastAsia="Times New Roman" w:hAnsi="Arial" w:cs="Traditional Arabic"/>
          <w:spacing w:val="-10"/>
          <w:kern w:val="28"/>
          <w:sz w:val="28"/>
          <w:szCs w:val="33"/>
        </w:rPr>
      </w:pPr>
      <w:r>
        <w:rPr>
          <w:rFonts w:ascii="Arial" w:eastAsia="Times New Roman" w:hAnsi="Arial" w:cs="Traditional Arabic"/>
          <w:spacing w:val="-10"/>
          <w:kern w:val="28"/>
          <w:sz w:val="28"/>
          <w:szCs w:val="33"/>
        </w:rPr>
        <w:t xml:space="preserve">RDBMS</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Two database connections are used. </w:t>
      </w:r>
      <w:r>
        <w:rPr>
          <w:rFonts w:ascii="Times New Roman" w:eastAsia="Times New Roman" w:hAnsi="Times New Roman" w:cs="Traditional Arabic"/>
          <w:sz w:val="24"/>
          <w:szCs w:val="24"/>
          <w:b/>
          <w:bCs/>
        </w:rPr>
        <w:t xml:space="preserve">DB #1</w:t>
      </w:r>
      <w:r>
        <w:rPr>
          <w:rFonts w:ascii="Times New Roman" w:eastAsia="Times New Roman" w:hAnsi="Times New Roman" w:cs="Traditional Arabic"/>
          <w:sz w:val="24"/>
          <w:szCs w:val="24"/>
        </w:rPr>
        <w:t xml:space="preserve"> is the BankMaster archival schema on Cloudera, reached as Denodo views over JDBC; the driver is loaded at run time from </w:t>
      </w:r>
      <w:r>
        <w:rPr>
          <w:rFonts w:ascii="Courier New" w:eastAsia="Times New Roman" w:hAnsi="Courier New" w:cs="Courier New"/>
          <w:sz w:val="24"/>
          <w:szCs w:val="24"/>
        </w:rPr>
        <w:t xml:space="preserve">drivers/</w:t>
      </w:r>
      <w:r>
        <w:rPr>
          <w:rFonts w:ascii="Times New Roman" w:eastAsia="Times New Roman" w:hAnsi="Times New Roman" w:cs="Traditional Arabic"/>
          <w:sz w:val="24"/>
          <w:szCs w:val="24"/>
        </w:rPr>
        <w:t xml:space="preserve"> because it is not published to Maven Central. </w:t>
      </w:r>
      <w:r>
        <w:rPr>
          <w:rFonts w:ascii="Times New Roman" w:eastAsia="Times New Roman" w:hAnsi="Times New Roman" w:cs="Traditional Arabic"/>
          <w:sz w:val="24"/>
          <w:szCs w:val="24"/>
          <w:b/>
          <w:bCs/>
        </w:rPr>
        <w:t xml:space="preserve">DB #3</w:t>
      </w:r>
      <w:r>
        <w:rPr>
          <w:rFonts w:ascii="Times New Roman" w:eastAsia="Times New Roman" w:hAnsi="Times New Roman" w:cs="Traditional Arabic"/>
          <w:sz w:val="24"/>
          <w:szCs w:val="24"/>
        </w:rPr>
        <w:t xml:space="preserve"> is the Omni statement archive on Oracle, optional and disabled unless </w:t>
      </w:r>
      <w:r>
        <w:rPr>
          <w:rFonts w:ascii="Courier New" w:eastAsia="Times New Roman" w:hAnsi="Courier New" w:cs="Courier New"/>
          <w:sz w:val="24"/>
          <w:szCs w:val="24"/>
        </w:rPr>
        <w:t xml:space="preserve">STATEMENT_DB_ENABLED=true</w:t>
      </w:r>
      <w:r>
        <w:rPr>
          <w:rFonts w:ascii="Times New Roman" w:eastAsia="Times New Roman" w:hAnsi="Times New Roman" w:cs="Traditional Arabic"/>
          <w:sz w:val="24"/>
          <w:szCs w:val="24"/>
        </w:rPr>
        <w:t xml:space="preserve">. The originally planned DB #2 (the online/Finacle source) resolved to the same Denodo server and has no connection of its own.</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All connections are read-only. Every view name below is written bare in the SQL and prefixed at run time (section 3.2.5), and every archival query filters on </w:t>
      </w:r>
      <w:r>
        <w:rPr>
          <w:rFonts w:ascii="Courier New" w:eastAsia="Times New Roman" w:hAnsi="Courier New" w:cs="Courier New"/>
          <w:sz w:val="24"/>
          <w:szCs w:val="24"/>
        </w:rPr>
        <w:t xml:space="preserve">BankingDate</w:t>
      </w:r>
      <w:r>
        <w:rPr>
          <w:rFonts w:ascii="Times New Roman" w:eastAsia="Times New Roman" w:hAnsi="Times New Roman" w:cs="Traditional Arabic"/>
          <w:sz w:val="24"/>
          <w:szCs w:val="24"/>
        </w:rPr>
        <w:t xml:space="preserve">.</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39 views are referenced in total</w:t>
      </w:r>
      <w:r>
        <w:rPr>
          <w:rFonts w:ascii="Times New Roman" w:eastAsia="Times New Roman" w:hAnsi="Times New Roman" w:cs="Traditional Arabic"/>
          <w:sz w:val="24"/>
          <w:szCs w:val="24"/>
        </w:rPr>
        <w:t xml:space="preserve"> - 30 on the BM archival schema and 9 on the online side. 36 exist in the Denodo environment; the three that do not are listed in section 3.3.</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DB #1 - BM archival schema, by area</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Customer</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8"/>
        <w:gridCol w:w="6812"/>
      </w:tblGrid>
      <w:tr>
        <w:trPr>
          <w:tblHeader/>
          <w:cantSplit/>
        </w:trPr>
        <w:tc>
          <w:tcPr>
            <w:tcW w:w="185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w:t>
            </w:r>
          </w:p>
        </w:tc>
        <w:tc>
          <w:tcPr>
            <w:tcW w:w="6812"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Used by</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stcusttab</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Search, Individual Saudi/Others, Juristic Main, Cust Acct Info, Required Documents, Account Maintenance header, Card grid/detail, Transfer/Transaction header</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stcustlog</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 Update History, Customer Profile As-Of (temporal replay)</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stidtab</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Search (by ID), Essential Documents, Signatory Detail</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stidlog</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Profile As-Of (ID section)</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staddrtab</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Juristic Account Info (address)</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staddrlog</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Profile As-Of (address section)</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stheirtab</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Heirs / Proxy</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stjointtab</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Joint Holders</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stcreftab</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References</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stowntab</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Owners</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Account</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8"/>
        <w:gridCol w:w="6812"/>
      </w:tblGrid>
      <w:tr>
        <w:trPr>
          <w:tblHeader/>
          <w:cantSplit/>
        </w:trPr>
        <w:tc>
          <w:tcPr>
            <w:tcW w:w="185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w:t>
            </w:r>
          </w:p>
        </w:tc>
        <w:tc>
          <w:tcPr>
            <w:tcW w:w="6812"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Used by</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stacclog</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Acct Update History, Acct Status History, SAMA Status History, Account Snapshot (as-of), maker/checker on Account Detail, Juristic Account Info</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staccblk</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Blocked Amount Breakup</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stchqtab</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Cheque Book grid + Cheque Book History</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ststchqlog</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Stop Cheque Detail (last-update user)</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stsodlog</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Standing Order Detail (last-update user/time)</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Card</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8"/>
        <w:gridCol w:w="6812"/>
      </w:tblGrid>
      <w:tr>
        <w:trPr>
          <w:tblHeader/>
          <w:cantSplit/>
        </w:trPr>
        <w:tc>
          <w:tcPr>
            <w:tcW w:w="185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w:t>
            </w:r>
          </w:p>
        </w:tc>
        <w:tc>
          <w:tcPr>
            <w:tcW w:w="6812"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Used by</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stcardtab</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 grid, Card Detail, Customer Search (by card no) - reads at card-banking-date</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stcardlog</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 Update History, Card Tracking History - reads at card-banking-date</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Signatory / transfers / bills</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8"/>
        <w:gridCol w:w="6812"/>
      </w:tblGrid>
      <w:tr>
        <w:trPr>
          <w:tblHeader/>
          <w:cantSplit/>
        </w:trPr>
        <w:tc>
          <w:tcPr>
            <w:tcW w:w="185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w:t>
            </w:r>
          </w:p>
        </w:tc>
        <w:tc>
          <w:tcPr>
            <w:tcW w:w="6812"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Used by</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stsigntab</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Signatory grid, Signatory Detail</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stswiftlog</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Transfer Detail - pending-SWIFT-update guard only, no displayed data (absent)</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stsadadlog</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SADAD transactions</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Security / users</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8"/>
        <w:gridCol w:w="6812"/>
      </w:tblGrid>
      <w:tr>
        <w:trPr>
          <w:tblHeader/>
          <w:cantSplit/>
        </w:trPr>
        <w:tc>
          <w:tcPr>
            <w:tcW w:w="185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w:t>
            </w:r>
          </w:p>
        </w:tc>
        <w:tc>
          <w:tcPr>
            <w:tcW w:w="6812"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Used by</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stuser</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Login, user profile</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stusrbrn</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Enquiry-allowed branch list (per-user authorisation)</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Control / reference tables</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8"/>
        <w:gridCol w:w="6812"/>
      </w:tblGrid>
      <w:tr>
        <w:trPr>
          <w:tblHeader/>
          <w:cantSplit/>
        </w:trPr>
        <w:tc>
          <w:tcPr>
            <w:tcW w:w="185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w:t>
            </w:r>
          </w:p>
        </w:tc>
        <w:tc>
          <w:tcPr>
            <w:tcW w:w="6812"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Used by</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stctltab</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Generic code table keyed on RecordType - ID (ID types), BS (business type), SM (SAMA main category)</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stctltabBD</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Branch directory; also the branch balance-enquiry restriction flag</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stctltabNA</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Country codes</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stctltabSS</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SAMA sub-category</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stctltabDC</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Document codes (Essential / Required Documents)</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stctltabMM</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 product / scheme names</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stctltabXC</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Currency codes</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stctltabSC</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Only used by /api/health/db, as a second differently-shaped view to prove the prefix resolves</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DB #2 - online / Finacle source (no connection of its own)</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8"/>
        <w:gridCol w:w="6812"/>
      </w:tblGrid>
      <w:tr>
        <w:trPr>
          <w:tblHeader/>
          <w:cantSplit/>
        </w:trPr>
        <w:tc>
          <w:tcPr>
            <w:tcW w:w="185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View</w:t>
            </w:r>
          </w:p>
        </w:tc>
        <w:tc>
          <w:tcPr>
            <w:tcW w:w="6812"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Used by</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gld0data</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 list for customer, Account Detail (current master), Standing Order Detail branch, Blocked Amount Breakup, On-demand Statement + Transaction Inquiry (bookBal, branchCode)</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sod0data</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Standing Order grid + detail</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pyd0data</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Stop Cheque grid + detail</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thd0data</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Transaction Type Enquiry + Transaction Detail, On-demand Statement + Transaction Inquiry</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crd0data</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On-demand Statement + Transaction Inquiry (customer header); Transfer Detail + Transaction Detail (getCustName fallback for a custNo absent from stcusttab)</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rid0data</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SARIE Transfer Enquiry + Transfer Detail</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aad0data</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Blocked Amount Breakup (source 2)</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bkd0data</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Blocked Amount Breakup (source 3)</w:t>
            </w:r>
          </w:p>
        </w:tc>
      </w:tr>
      <w:tr>
        <w:tc>
          <w:tcPr>
            <w:tcW w:w="185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ccarrblk</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Blocked Amount Breakup (source 4)</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b/>
          <w:bCs/>
        </w:rPr>
        <w:t xml:space="preserve">Omni statement archive (DB #3)</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8"/>
        <w:gridCol w:w="6812"/>
      </w:tblGrid>
      <w:tr>
        <w:trPr>
          <w:tblHeader/>
          <w:cantSplit/>
        </w:trPr>
        <w:tc>
          <w:tcPr>
            <w:tcW w:w="185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Table</w:t>
            </w:r>
          </w:p>
        </w:tc>
        <w:tc>
          <w:tcPr>
            <w:tcW w:w="6812"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Role</w:t>
            </w:r>
          </w:p>
        </w:tc>
      </w:tr>
      <w:tr>
        <w:tc>
          <w:tcPr>
            <w:tcW w:w="185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STMT_HDR</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BM statement header - keyed on account, statement date and </w:t>
            </w:r>
            <w:r>
              <w:rPr>
                <w:rFonts w:ascii="Courier New" w:eastAsia="Times New Roman" w:hAnsi="Courier New" w:cs="Courier New"/>
                <w:sz w:val="16"/>
                <w:szCs w:val="19"/>
              </w:rPr>
              <w:t xml:space="preserve">STMT_NUM</w:t>
            </w:r>
            <w:r>
              <w:rPr>
                <w:rFonts w:ascii="Arial" w:eastAsia="Times New Roman" w:hAnsi="Arial" w:cs="Traditional Arabic"/>
                <w:sz w:val="16"/>
                <w:szCs w:val="19"/>
              </w:rPr>
              <w:t xml:space="preserve">; carries </w:t>
            </w:r>
            <w:r>
              <w:rPr>
                <w:rFonts w:ascii="Courier New" w:eastAsia="Times New Roman" w:hAnsi="Courier New" w:cs="Courier New"/>
                <w:sz w:val="16"/>
                <w:szCs w:val="19"/>
              </w:rPr>
              <w:t xml:space="preserve">CUST_NAME</w:t>
            </w:r>
            <w:r>
              <w:rPr>
                <w:rFonts w:ascii="Arial" w:eastAsia="Times New Roman" w:hAnsi="Arial" w:cs="Traditional Arabic"/>
                <w:sz w:val="16"/>
                <w:szCs w:val="19"/>
              </w:rPr>
              <w:t xml:space="preserve">, IBAN and </w:t>
            </w:r>
            <w:r>
              <w:rPr>
                <w:rFonts w:ascii="Courier New" w:eastAsia="Times New Roman" w:hAnsi="Courier New" w:cs="Courier New"/>
                <w:sz w:val="16"/>
                <w:szCs w:val="19"/>
              </w:rPr>
              <w:t xml:space="preserve">REF_NUM</w:t>
            </w:r>
            <w:r>
              <w:rPr>
                <w:rFonts w:ascii="Arial" w:eastAsia="Times New Roman" w:hAnsi="Arial" w:cs="Traditional Arabic"/>
                <w:sz w:val="16"/>
                <w:szCs w:val="19"/>
              </w:rPr>
              <w:t xml:space="preserve">. </w:t>
            </w:r>
            <w:r>
              <w:rPr>
                <w:rFonts w:ascii="Arial" w:eastAsia="Times New Roman" w:hAnsi="Arial" w:cs="Traditional Arabic"/>
                <w:sz w:val="16"/>
                <w:szCs w:val="19"/>
                <w:b/>
                <w:bCs/>
              </w:rPr>
              <w:t xml:space="preserve">Placeholder name.</w:t>
            </w:r>
          </w:p>
        </w:tc>
      </w:tr>
      <w:tr>
        <w:tc>
          <w:tcPr>
            <w:tcW w:w="185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STMT_TXN</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BM statement detail. </w:t>
            </w:r>
            <w:r>
              <w:rPr>
                <w:rFonts w:ascii="Arial" w:eastAsia="Times New Roman" w:hAnsi="Arial" w:cs="Traditional Arabic"/>
                <w:sz w:val="16"/>
                <w:szCs w:val="19"/>
                <w:b/>
                <w:bCs/>
              </w:rPr>
              <w:t xml:space="preserve">Placeholder name.</w:t>
            </w:r>
          </w:p>
        </w:tc>
      </w:tr>
      <w:tr>
        <w:tc>
          <w:tcPr>
            <w:tcW w:w="185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PDP_STMT_HDR</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PDP statement header - keyed on </w:t>
            </w:r>
            <w:r>
              <w:rPr>
                <w:rFonts w:ascii="Courier New" w:eastAsia="Times New Roman" w:hAnsi="Courier New" w:cs="Courier New"/>
                <w:sz w:val="16"/>
                <w:szCs w:val="19"/>
              </w:rPr>
              <w:t xml:space="preserve">ACCT_NUM</w:t>
            </w:r>
            <w:r>
              <w:rPr>
                <w:rFonts w:ascii="Arial" w:eastAsia="Times New Roman" w:hAnsi="Arial" w:cs="Traditional Arabic"/>
                <w:sz w:val="16"/>
                <w:szCs w:val="19"/>
              </w:rPr>
              <w:t xml:space="preserve"> + </w:t>
            </w:r>
            <w:r>
              <w:rPr>
                <w:rFonts w:ascii="Courier New" w:eastAsia="Times New Roman" w:hAnsi="Courier New" w:cs="Courier New"/>
                <w:sz w:val="16"/>
                <w:szCs w:val="19"/>
              </w:rPr>
              <w:t xml:space="preserve">STMT_DATE</w:t>
            </w:r>
            <w:r>
              <w:rPr>
                <w:rFonts w:ascii="Arial" w:eastAsia="Times New Roman" w:hAnsi="Arial" w:cs="Traditional Arabic"/>
                <w:sz w:val="16"/>
                <w:szCs w:val="19"/>
              </w:rPr>
              <w:t xml:space="preserve"> alone; carries </w:t>
            </w:r>
            <w:r>
              <w:rPr>
                <w:rFonts w:ascii="Courier New" w:eastAsia="Times New Roman" w:hAnsi="Courier New" w:cs="Courier New"/>
                <w:sz w:val="16"/>
                <w:szCs w:val="19"/>
              </w:rPr>
              <w:t xml:space="preserve">CUST_NUM</w:t>
            </w:r>
            <w:r>
              <w:rPr>
                <w:rFonts w:ascii="Arial" w:eastAsia="Times New Roman" w:hAnsi="Arial" w:cs="Traditional Arabic"/>
                <w:sz w:val="16"/>
                <w:szCs w:val="19"/>
              </w:rPr>
              <w:t xml:space="preserve">, title and names, </w:t>
            </w:r>
            <w:r>
              <w:rPr>
                <w:rFonts w:ascii="Courier New" w:eastAsia="Times New Roman" w:hAnsi="Courier New" w:cs="Courier New"/>
                <w:sz w:val="16"/>
                <w:szCs w:val="19"/>
              </w:rPr>
              <w:t xml:space="preserve">PAGE_NUM</w:t>
            </w:r>
            <w:r>
              <w:rPr>
                <w:rFonts w:ascii="Arial" w:eastAsia="Times New Roman" w:hAnsi="Arial" w:cs="Traditional Arabic"/>
                <w:sz w:val="16"/>
                <w:szCs w:val="19"/>
              </w:rPr>
              <w:t xml:space="preserve"> and </w:t>
            </w:r>
            <w:r>
              <w:rPr>
                <w:rFonts w:ascii="Courier New" w:eastAsia="Times New Roman" w:hAnsi="Courier New" w:cs="Courier New"/>
                <w:sz w:val="16"/>
                <w:szCs w:val="19"/>
              </w:rPr>
              <w:t xml:space="preserve">BRANCH_DATA</w:t>
            </w:r>
            <w:r>
              <w:rPr>
                <w:rFonts w:ascii="Arial" w:eastAsia="Times New Roman" w:hAnsi="Arial" w:cs="Traditional Arabic"/>
                <w:sz w:val="16"/>
                <w:szCs w:val="19"/>
              </w:rPr>
              <w:t xml:space="preserve">. </w:t>
            </w:r>
            <w:r>
              <w:rPr>
                <w:rFonts w:ascii="Arial" w:eastAsia="Times New Roman" w:hAnsi="Arial" w:cs="Traditional Arabic"/>
                <w:sz w:val="16"/>
                <w:szCs w:val="19"/>
                <w:b/>
                <w:bCs/>
              </w:rPr>
              <w:t xml:space="preserve">Placeholder name.</w:t>
            </w:r>
          </w:p>
        </w:tc>
      </w:tr>
      <w:tr>
        <w:tc>
          <w:tcPr>
            <w:tcW w:w="185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PDP_STMT_TXN</w:t>
            </w:r>
          </w:p>
        </w:tc>
        <w:tc>
          <w:tcPr>
            <w:tcW w:w="681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PDP statement detail. </w:t>
            </w:r>
            <w:r>
              <w:rPr>
                <w:rFonts w:ascii="Arial" w:eastAsia="Times New Roman" w:hAnsi="Arial" w:cs="Traditional Arabic"/>
                <w:sz w:val="16"/>
                <w:szCs w:val="19"/>
                <w:b/>
                <w:bCs/>
              </w:rPr>
              <w:t xml:space="preserve">The one confirmed name.</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two archives are paired by their key, not by their name: one header/detail pair carries </w:t>
      </w:r>
      <w:r>
        <w:rPr>
          <w:rFonts w:ascii="Courier New" w:eastAsia="Times New Roman" w:hAnsi="Courier New" w:cs="Courier New"/>
          <w:sz w:val="24"/>
          <w:szCs w:val="24"/>
        </w:rPr>
        <w:t xml:space="preserve">STMT_NUM</w:t>
      </w:r>
      <w:r>
        <w:rPr>
          <w:rFonts w:ascii="Times New Roman" w:eastAsia="Times New Roman" w:hAnsi="Times New Roman" w:cs="Traditional Arabic"/>
          <w:sz w:val="24"/>
          <w:szCs w:val="24"/>
        </w:rPr>
        <w:t xml:space="preserve"> and one does not. What distinguishes them in business terms is recorded nowhere - "PDP" appears in neither the VB6, the C, nor the archival data dictionary - so neither is guessed at. The screen carries a System selector (BM / PDP) and exactly the chosen pair is queried; blanking a pair's table names leaves that system unconfigured, and selecting it then reports which properties are missing rather than returning "no report found".</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column-level dictionary for the archival schema is </w:t>
      </w:r>
      <w:r>
        <w:rPr>
          <w:rFonts w:ascii="Courier New" w:eastAsia="Times New Roman" w:hAnsi="Courier New" w:cs="Courier New"/>
          <w:sz w:val="24"/>
          <w:szCs w:val="24"/>
        </w:rPr>
        <w:t xml:space="preserve">docs/BM archival Version 9.xlsx</w:t>
      </w:r>
      <w:r>
        <w:rPr>
          <w:rFonts w:ascii="Times New Roman" w:eastAsia="Times New Roman" w:hAnsi="Times New Roman" w:cs="Traditional Arabic"/>
          <w:sz w:val="24"/>
          <w:szCs w:val="24"/>
        </w:rPr>
        <w:t xml:space="preserve"> (107 tables). The view-to-screen detail is </w:t>
      </w:r>
      <w:r>
        <w:rPr>
          <w:rFonts w:ascii="Courier New" w:eastAsia="Times New Roman" w:hAnsi="Courier New" w:cs="Courier New"/>
          <w:sz w:val="24"/>
          <w:szCs w:val="24"/>
        </w:rPr>
        <w:t xml:space="preserve">docs/DENODO-VIEWS.md</w:t>
      </w:r>
      <w:r>
        <w:rPr>
          <w:rFonts w:ascii="Times New Roman" w:eastAsia="Times New Roman" w:hAnsi="Times New Roman" w:cs="Traditional Arabic"/>
          <w:sz w:val="24"/>
          <w:szCs w:val="24"/>
        </w:rPr>
        <w:t xml:space="preserve">.</w:t>
      </w:r>
    </w:p>
    <w:p>
      <w:pPr>
        <w:keepNext/>
        <w:numPr>
          <w:ilvl w:val="1"/>
          <w:numId w:val="1"/>
        </w:numPr>
        <w:tabs>
          <w:tab w:val="left" w:pos="992"/>
        </w:tabs>
        <w:spacing w:before="120" w:after="120" w:line="240" w:lineRule="auto"/>
        <w:ind w:left="993" w:hanging="993"/>
        <w:jc w:val="lowKashida"/>
        <w:outlineLvl w:val="1"/>
        <w:rPr>
          <w:rFonts w:ascii="Arial" w:eastAsia="Times New Roman" w:hAnsi="Arial" w:cs="Traditional Arabic"/>
          <w:spacing w:val="-10"/>
          <w:kern w:val="28"/>
          <w:sz w:val="28"/>
          <w:szCs w:val="33"/>
        </w:rPr>
      </w:pPr>
      <w:r>
        <w:rPr>
          <w:rFonts w:ascii="Arial" w:eastAsia="Times New Roman" w:hAnsi="Arial" w:cs="Traditional Arabic"/>
          <w:spacing w:val="-10"/>
          <w:kern w:val="28"/>
          <w:sz w:val="28"/>
          <w:szCs w:val="33"/>
        </w:rPr>
        <w:t xml:space="preserve">Error Codes and Action</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Responses carry an RFC 7807 </w:t>
      </w:r>
      <w:r>
        <w:rPr>
          <w:rFonts w:ascii="Courier New" w:eastAsia="Times New Roman" w:hAnsi="Courier New" w:cs="Courier New"/>
          <w:sz w:val="24"/>
          <w:szCs w:val="24"/>
        </w:rPr>
        <w:t xml:space="preserve">ProblemDetail</w:t>
      </w:r>
      <w:r>
        <w:rPr>
          <w:rFonts w:ascii="Times New Roman" w:eastAsia="Times New Roman" w:hAnsi="Times New Roman" w:cs="Traditional Arabic"/>
          <w:sz w:val="24"/>
          <w:szCs w:val="24"/>
        </w:rPr>
        <w:t xml:space="preserve">. Business messages are the legacy's own, ported from the C and the VB6.</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1"/>
        <w:gridCol w:w="3372"/>
        <w:gridCol w:w="1060"/>
        <w:gridCol w:w="3467"/>
      </w:tblGrid>
      <w:tr>
        <w:trPr>
          <w:tblHeader/>
          <w:cantSplit/>
        </w:trPr>
        <w:tc>
          <w:tcPr>
            <w:tcW w:w="771"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Status</w:t>
            </w:r>
          </w:p>
        </w:tc>
        <w:tc>
          <w:tcPr>
            <w:tcW w:w="3372"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Meaning</w:t>
            </w:r>
          </w:p>
        </w:tc>
        <w:tc>
          <w:tcPr>
            <w:tcW w:w="1060"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Reference</w:t>
            </w:r>
          </w:p>
        </w:tc>
        <w:tc>
          <w:tcPr>
            <w:tcW w:w="3467"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Action</w:t>
            </w:r>
          </w:p>
        </w:tc>
      </w:tr>
      <w:tr>
        <w:tc>
          <w:tcPr>
            <w:tcW w:w="771"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200</w:t>
            </w:r>
          </w:p>
        </w:tc>
        <w:tc>
          <w:tcPr>
            <w:tcW w:w="337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enquiry succeeded. An empty grid is a legitimate answer.</w:t>
            </w:r>
          </w:p>
        </w:tc>
        <w:tc>
          <w:tcPr>
            <w:tcW w:w="106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none</w:t>
            </w:r>
          </w:p>
        </w:tc>
        <w:tc>
          <w:tcPr>
            <w:tcW w:w="346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None.</w:t>
            </w:r>
          </w:p>
        </w:tc>
      </w:tr>
      <w:tr>
        <w:tc>
          <w:tcPr>
            <w:tcW w:w="771"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400</w:t>
            </w:r>
          </w:p>
        </w:tc>
        <w:tc>
          <w:tcPr>
            <w:tcW w:w="337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input failed a ported validation - a malformed account number, a date outside range, a search with no criterion.</w:t>
            </w:r>
          </w:p>
        </w:tc>
        <w:tc>
          <w:tcPr>
            <w:tcW w:w="106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none</w:t>
            </w:r>
          </w:p>
        </w:tc>
        <w:tc>
          <w:tcPr>
            <w:tcW w:w="346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message names the field. Correct the input.</w:t>
            </w:r>
          </w:p>
        </w:tc>
      </w:tr>
      <w:tr>
        <w:tc>
          <w:tcPr>
            <w:tcW w:w="771"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401</w:t>
            </w:r>
          </w:p>
        </w:tc>
        <w:tc>
          <w:tcPr>
            <w:tcW w:w="337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 token, an expired token, or a failed directory bind.</w:t>
            </w:r>
          </w:p>
        </w:tc>
        <w:tc>
          <w:tcPr>
            <w:tcW w:w="106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none</w:t>
            </w:r>
          </w:p>
        </w:tc>
        <w:tc>
          <w:tcPr>
            <w:tcW w:w="346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Sign in again. A repeated failure at the bind is a directory or credential problem, not an application one.</w:t>
            </w:r>
          </w:p>
        </w:tc>
      </w:tr>
      <w:tr>
        <w:tc>
          <w:tcPr>
            <w:tcW w:w="771"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403</w:t>
            </w:r>
          </w:p>
        </w:tc>
        <w:tc>
          <w:tcPr>
            <w:tcW w:w="337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Authenticated but not permitted - absent from the allow-list, outside the branch scope, or lacking the </w:t>
            </w:r>
            <w:r>
              <w:rPr>
                <w:rFonts w:ascii="Courier New" w:eastAsia="Times New Roman" w:hAnsi="Courier New" w:cs="Courier New"/>
                <w:sz w:val="16"/>
                <w:szCs w:val="19"/>
              </w:rPr>
              <w:t xml:space="preserve">~NN</w:t>
            </w:r>
            <w:r>
              <w:rPr>
                <w:rFonts w:ascii="Arial" w:eastAsia="Times New Roman" w:hAnsi="Arial" w:cs="Traditional Arabic"/>
                <w:sz w:val="16"/>
                <w:szCs w:val="19"/>
              </w:rPr>
              <w:t xml:space="preserve"> authority the screen requires.</w:t>
            </w:r>
          </w:p>
        </w:tc>
        <w:tc>
          <w:tcPr>
            <w:tcW w:w="106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none</w:t>
            </w:r>
          </w:p>
        </w:tc>
        <w:tc>
          <w:tcPr>
            <w:tcW w:w="346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Check </w:t>
            </w:r>
            <w:r>
              <w:rPr>
                <w:rFonts w:ascii="Courier New" w:eastAsia="Times New Roman" w:hAnsi="Courier New" w:cs="Courier New"/>
                <w:sz w:val="16"/>
                <w:szCs w:val="19"/>
              </w:rPr>
              <w:t xml:space="preserve">allowed-users</w:t>
            </w:r>
            <w:r>
              <w:rPr>
                <w:rFonts w:ascii="Arial" w:eastAsia="Times New Roman" w:hAnsi="Arial" w:cs="Traditional Arabic"/>
                <w:sz w:val="16"/>
                <w:szCs w:val="19"/>
              </w:rPr>
              <w:t xml:space="preserve"> in </w:t>
            </w:r>
            <w:r>
              <w:rPr>
                <w:rFonts w:ascii="Courier New" w:eastAsia="Times New Roman" w:hAnsi="Courier New" w:cs="Courier New"/>
                <w:sz w:val="16"/>
                <w:szCs w:val="19"/>
              </w:rPr>
              <w:t xml:space="preserve">bank-runtime.properties</w:t>
            </w:r>
            <w:r>
              <w:rPr>
                <w:rFonts w:ascii="Arial" w:eastAsia="Times New Roman" w:hAnsi="Arial" w:cs="Traditional Arabic"/>
                <w:sz w:val="16"/>
                <w:szCs w:val="19"/>
              </w:rPr>
              <w:t xml:space="preserve">, and </w:t>
            </w:r>
            <w:r>
              <w:rPr>
                <w:rFonts w:ascii="Courier New" w:eastAsia="Times New Roman" w:hAnsi="Courier New" w:cs="Courier New"/>
                <w:sz w:val="16"/>
                <w:szCs w:val="19"/>
              </w:rPr>
              <w:t xml:space="preserve">stusrbrn</w:t>
            </w:r>
            <w:r>
              <w:rPr>
                <w:rFonts w:ascii="Arial" w:eastAsia="Times New Roman" w:hAnsi="Arial" w:cs="Traditional Arabic"/>
                <w:sz w:val="16"/>
                <w:szCs w:val="19"/>
              </w:rPr>
              <w:t xml:space="preserve"> for branch scope.</w:t>
            </w:r>
          </w:p>
        </w:tc>
      </w:tr>
      <w:tr>
        <w:tc>
          <w:tcPr>
            <w:tcW w:w="771"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404</w:t>
            </w:r>
          </w:p>
        </w:tc>
        <w:tc>
          <w:tcPr>
            <w:tcW w:w="337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key was well formed but no row exists at the configured BankingDate.</w:t>
            </w:r>
          </w:p>
        </w:tc>
        <w:tc>
          <w:tcPr>
            <w:tcW w:w="106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none</w:t>
            </w:r>
          </w:p>
        </w:tc>
        <w:tc>
          <w:tcPr>
            <w:tcW w:w="346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Confirm the snapshot in </w:t>
            </w:r>
            <w:r>
              <w:rPr>
                <w:rFonts w:ascii="Courier New" w:eastAsia="Times New Roman" w:hAnsi="Courier New" w:cs="Courier New"/>
                <w:sz w:val="16"/>
                <w:szCs w:val="19"/>
              </w:rPr>
              <w:t xml:space="preserve">banking-date</w:t>
            </w:r>
            <w:r>
              <w:rPr>
                <w:rFonts w:ascii="Arial" w:eastAsia="Times New Roman" w:hAnsi="Arial" w:cs="Traditional Arabic"/>
                <w:sz w:val="16"/>
                <w:szCs w:val="19"/>
              </w:rPr>
              <w:t xml:space="preserve"> covers the record. A customer created after the snapshot is invisible by design.</w:t>
            </w:r>
          </w:p>
        </w:tc>
      </w:tr>
      <w:tr>
        <w:tc>
          <w:tcPr>
            <w:tcW w:w="771"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501</w:t>
            </w:r>
          </w:p>
        </w:tc>
        <w:tc>
          <w:tcPr>
            <w:tcW w:w="337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 source the screen genuinely needs is not configured or not reachable - the statement archive when it is off, or </w:t>
            </w:r>
            <w:r>
              <w:rPr>
                <w:rFonts w:ascii="Courier New" w:eastAsia="Times New Roman" w:hAnsi="Courier New" w:cs="Courier New"/>
                <w:sz w:val="16"/>
                <w:szCs w:val="19"/>
              </w:rPr>
              <w:t xml:space="preserve">crd0data</w:t>
            </w:r>
            <w:r>
              <w:rPr>
                <w:rFonts w:ascii="Arial" w:eastAsia="Times New Roman" w:hAnsi="Arial" w:cs="Traditional Arabic"/>
                <w:sz w:val="16"/>
                <w:szCs w:val="19"/>
              </w:rPr>
              <w:t xml:space="preserve"> when it cannot be read.</w:t>
            </w:r>
          </w:p>
        </w:tc>
        <w:tc>
          <w:tcPr>
            <w:tcW w:w="106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none</w:t>
            </w:r>
          </w:p>
        </w:tc>
        <w:tc>
          <w:tcPr>
            <w:tcW w:w="346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message names what is missing. This is a configuration answer, not a fault.</w:t>
            </w:r>
          </w:p>
        </w:tc>
      </w:tr>
      <w:tr>
        <w:tc>
          <w:tcPr>
            <w:tcW w:w="771"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500</w:t>
            </w:r>
          </w:p>
        </w:tc>
        <w:tc>
          <w:tcPr>
            <w:tcW w:w="3372"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An unexpected failure.</w:t>
            </w:r>
          </w:p>
        </w:tc>
        <w:tc>
          <w:tcPr>
            <w:tcW w:w="106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six characters</w:t>
            </w:r>
          </w:p>
        </w:tc>
        <w:tc>
          <w:tcPr>
            <w:tcW w:w="3467"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Read the reference back from the operator and search the log: </w:t>
            </w:r>
            <w:r>
              <w:rPr>
                <w:rFonts w:ascii="Courier New" w:eastAsia="Times New Roman" w:hAnsi="Courier New" w:cs="Courier New"/>
                <w:sz w:val="16"/>
                <w:szCs w:val="19"/>
              </w:rPr>
              <w:t xml:space="preserve">findstr /S &lt;REF&gt; logs\*</w:t>
            </w:r>
            <w:r>
              <w:rPr>
                <w:rFonts w:ascii="Arial" w:eastAsia="Times New Roman" w:hAnsi="Arial" w:cs="Traditional Arabic"/>
                <w:sz w:val="16"/>
                <w:szCs w:val="19"/>
              </w:rPr>
              <w:t xml:space="preserve">. The stack trace is logged against it.</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reference alphabet is </w:t>
      </w:r>
      <w:r>
        <w:rPr>
          <w:rFonts w:ascii="Courier New" w:eastAsia="Times New Roman" w:hAnsi="Courier New" w:cs="Courier New"/>
          <w:sz w:val="24"/>
          <w:szCs w:val="24"/>
        </w:rPr>
        <w:t xml:space="preserve">ABCDEFGHJKLMNPQRSTUVWXYZ23456789</w:t>
      </w:r>
      <w:r>
        <w:rPr>
          <w:rFonts w:ascii="Times New Roman" w:eastAsia="Times New Roman" w:hAnsi="Times New Roman" w:cs="Traditional Arabic"/>
          <w:sz w:val="24"/>
          <w:szCs w:val="24"/>
        </w:rPr>
        <w:t xml:space="preserve"> - no vowels, so no word forms by accident, and no </w:t>
      </w:r>
      <w:r>
        <w:rPr>
          <w:rFonts w:ascii="Courier New" w:eastAsia="Times New Roman" w:hAnsi="Courier New" w:cs="Courier New"/>
          <w:sz w:val="24"/>
          <w:szCs w:val="24"/>
        </w:rPr>
        <w:t xml:space="preserve">0</w:t>
      </w:r>
      <w:r>
        <w:rPr>
          <w:rFonts w:ascii="Times New Roman" w:eastAsia="Times New Roman" w:hAnsi="Times New Roman" w:cs="Traditional Arabic"/>
          <w:sz w:val="24"/>
          <w:szCs w:val="24"/>
        </w:rPr>
        <w:t xml:space="preserve">/</w:t>
      </w:r>
      <w:r>
        <w:rPr>
          <w:rFonts w:ascii="Courier New" w:eastAsia="Times New Roman" w:hAnsi="Courier New" w:cs="Courier New"/>
          <w:sz w:val="24"/>
          <w:szCs w:val="24"/>
        </w:rPr>
        <w:t xml:space="preserve">O</w:t>
      </w:r>
      <w:r>
        <w:rPr>
          <w:rFonts w:ascii="Times New Roman" w:eastAsia="Times New Roman" w:hAnsi="Times New Roman" w:cs="Traditional Arabic"/>
          <w:sz w:val="24"/>
          <w:szCs w:val="24"/>
        </w:rPr>
        <w:t xml:space="preserve"> or </w:t>
      </w:r>
      <w:r>
        <w:rPr>
          <w:rFonts w:ascii="Courier New" w:eastAsia="Times New Roman" w:hAnsi="Courier New" w:cs="Courier New"/>
          <w:sz w:val="24"/>
          <w:szCs w:val="24"/>
        </w:rPr>
        <w:t xml:space="preserve">1</w:t>
      </w:r>
      <w:r>
        <w:rPr>
          <w:rFonts w:ascii="Times New Roman" w:eastAsia="Times New Roman" w:hAnsi="Times New Roman" w:cs="Traditional Arabic"/>
          <w:sz w:val="24"/>
          <w:szCs w:val="24"/>
        </w:rPr>
        <w:t xml:space="preserve">/</w:t>
      </w:r>
      <w:r>
        <w:rPr>
          <w:rFonts w:ascii="Courier New" w:eastAsia="Times New Roman" w:hAnsi="Courier New" w:cs="Courier New"/>
          <w:sz w:val="24"/>
          <w:szCs w:val="24"/>
        </w:rPr>
        <w:t xml:space="preserve">I</w:t>
      </w:r>
      <w:r>
        <w:rPr>
          <w:rFonts w:ascii="Times New Roman" w:eastAsia="Times New Roman" w:hAnsi="Times New Roman" w:cs="Traditional Arabic"/>
          <w:sz w:val="24"/>
          <w:szCs w:val="24"/>
        </w:rPr>
        <w:t xml:space="preserve">, so it survives being read down a phone line. A log line looks like this:</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ERROR c.b.a.p.rest.ApiExceptionHandler : [KQ7MTX] Unhandled</w:t>
      </w:r>
    </w:p>
    <w:p>
      <w:pPr>
        <w:spacing w:before="0" w:after="0" w:line="240" w:lineRule="auto"/>
        <w:ind w:left="1352"/>
        <w:rPr>
          <w:rFonts w:ascii="Courier New" w:eastAsia="Times New Roman" w:hAnsi="Courier New" w:cs="Courier New"/>
          <w:sz w:val="16"/>
          <w:szCs w:val="16"/>
        </w:rPr>
      </w:pPr>
      <w:r>
        <w:rPr>
          <w:rFonts w:ascii="Courier New" w:eastAsia="Times New Roman" w:hAnsi="Courier New" w:cs="Courier New"/>
          <w:sz w:val="16"/>
          <w:szCs w:val="16"/>
        </w:rPr>
        <w:t xml:space="preserve">  CannotGetJdbcConnectionException on GET /api/customers/0415741/accounts</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A reference that yields no hit in the server log was minted in the browser by </w:t>
      </w:r>
      <w:r>
        <w:rPr>
          <w:rFonts w:ascii="Courier New" w:eastAsia="Times New Roman" w:hAnsi="Courier New" w:cs="Courier New"/>
          <w:sz w:val="24"/>
          <w:szCs w:val="24"/>
        </w:rPr>
        <w:t xml:space="preserve">clientReference()</w:t>
      </w:r>
      <w:r>
        <w:rPr>
          <w:rFonts w:ascii="Times New Roman" w:eastAsia="Times New Roman" w:hAnsi="Times New Roman" w:cs="Traditional Arabic"/>
          <w:sz w:val="24"/>
          <w:szCs w:val="24"/>
        </w:rPr>
        <w:t xml:space="preserve"> - the request never reached the API. Nothing distinguishes the two on sight, so a fruitless log search means "look in the browser console", not "the log is broken".</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Three data-side conditions are deliberately </w:t>
      </w:r>
      <w:r>
        <w:rPr>
          <w:rFonts w:ascii="Times New Roman" w:eastAsia="Times New Roman" w:hAnsi="Times New Roman" w:cs="Traditional Arabic"/>
          <w:sz w:val="24"/>
          <w:szCs w:val="24"/>
          <w:b/>
          <w:bCs/>
        </w:rPr>
        <w:t xml:space="preserve">not</w:t>
      </w:r>
      <w:r>
        <w:rPr>
          <w:rFonts w:ascii="Times New Roman" w:eastAsia="Times New Roman" w:hAnsi="Times New Roman" w:cs="Traditional Arabic"/>
          <w:sz w:val="24"/>
          <w:szCs w:val="24"/>
        </w:rPr>
        <w:t xml:space="preserve"> errors. A missing </w:t>
      </w:r>
      <w:r>
        <w:rPr>
          <w:rFonts w:ascii="Courier New" w:eastAsia="Times New Roman" w:hAnsi="Courier New" w:cs="Courier New"/>
          <w:sz w:val="24"/>
          <w:szCs w:val="24"/>
        </w:rPr>
        <w:t xml:space="preserve">bkd0data</w:t>
      </w:r>
      <w:r>
        <w:rPr>
          <w:rFonts w:ascii="Times New Roman" w:eastAsia="Times New Roman" w:hAnsi="Times New Roman" w:cs="Traditional Arabic"/>
          <w:sz w:val="24"/>
          <w:szCs w:val="24"/>
        </w:rPr>
        <w:t xml:space="preserve">, </w:t>
      </w:r>
      <w:r>
        <w:rPr>
          <w:rFonts w:ascii="Courier New" w:eastAsia="Times New Roman" w:hAnsi="Courier New" w:cs="Courier New"/>
          <w:sz w:val="24"/>
          <w:szCs w:val="24"/>
        </w:rPr>
        <w:t xml:space="preserve">ccarrblk</w:t>
      </w:r>
      <w:r>
        <w:rPr>
          <w:rFonts w:ascii="Times New Roman" w:eastAsia="Times New Roman" w:hAnsi="Times New Roman" w:cs="Traditional Arabic"/>
          <w:sz w:val="24"/>
          <w:szCs w:val="24"/>
        </w:rPr>
        <w:t xml:space="preserve"> or </w:t>
      </w:r>
      <w:r>
        <w:rPr>
          <w:rFonts w:ascii="Courier New" w:eastAsia="Times New Roman" w:hAnsi="Courier New" w:cs="Courier New"/>
          <w:sz w:val="24"/>
          <w:szCs w:val="24"/>
        </w:rPr>
        <w:t xml:space="preserve">stswiftlog</w:t>
      </w:r>
      <w:r>
        <w:rPr>
          <w:rFonts w:ascii="Times New Roman" w:eastAsia="Times New Roman" w:hAnsi="Times New Roman" w:cs="Traditional Arabic"/>
          <w:sz w:val="24"/>
          <w:szCs w:val="24"/>
        </w:rPr>
        <w:t xml:space="preserve"> view is read inside its own try/catch and fails to a warning in the log, because none of the three breaks a screen; see section 3.3 for what the operator sees instead.</w:t>
      </w:r>
    </w:p>
    <w:p>
      <w:pPr>
        <w:keepNext/>
        <w:numPr>
          <w:ilvl w:val="1"/>
          <w:numId w:val="1"/>
        </w:numPr>
        <w:tabs>
          <w:tab w:val="left" w:pos="992"/>
        </w:tabs>
        <w:spacing w:before="120" w:after="120" w:line="240" w:lineRule="auto"/>
        <w:ind w:left="993" w:hanging="993"/>
        <w:jc w:val="lowKashida"/>
        <w:outlineLvl w:val="1"/>
        <w:rPr>
          <w:rFonts w:ascii="Arial" w:eastAsia="Times New Roman" w:hAnsi="Arial" w:cs="Traditional Arabic"/>
          <w:spacing w:val="-10"/>
          <w:kern w:val="28"/>
          <w:sz w:val="28"/>
          <w:szCs w:val="33"/>
        </w:rPr>
      </w:pPr>
      <w:r>
        <w:rPr>
          <w:rFonts w:ascii="Arial" w:eastAsia="Times New Roman" w:hAnsi="Arial" w:cs="Traditional Arabic"/>
          <w:spacing w:val="-10"/>
          <w:kern w:val="28"/>
          <w:sz w:val="28"/>
          <w:szCs w:val="33"/>
        </w:rPr>
        <w:t xml:space="preserve">Message layout</w:t>
      </w: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The legacy protocol was one fixed-length request and response message per action over a raw TCP/IP socket, the contracts declared in </w:t>
      </w:r>
      <w:r>
        <w:rPr>
          <w:rFonts w:ascii="Courier New" w:eastAsia="Times New Roman" w:hAnsi="Courier New" w:cs="Courier New"/>
          <w:sz w:val="24"/>
          <w:szCs w:val="24"/>
        </w:rPr>
        <w:t xml:space="preserve">cbserver.h</w:t>
      </w:r>
      <w:r>
        <w:rPr>
          <w:rFonts w:ascii="Times New Roman" w:eastAsia="Times New Roman" w:hAnsi="Times New Roman" w:cs="Traditional Arabic"/>
          <w:sz w:val="24"/>
          <w:szCs w:val="24"/>
        </w:rPr>
        <w:t xml:space="preserve">. Each is replaced by a JSON REST resource under </w:t>
      </w:r>
      <w:r>
        <w:rPr>
          <w:rFonts w:ascii="Courier New" w:eastAsia="Times New Roman" w:hAnsi="Courier New" w:cs="Courier New"/>
          <w:sz w:val="24"/>
          <w:szCs w:val="24"/>
        </w:rPr>
        <w:t xml:space="preserve">/api</w:t>
      </w:r>
      <w:r>
        <w:rPr>
          <w:rFonts w:ascii="Times New Roman" w:eastAsia="Times New Roman" w:hAnsi="Times New Roman" w:cs="Traditional Arabic"/>
          <w:sz w:val="24"/>
          <w:szCs w:val="24"/>
        </w:rPr>
        <w:t xml:space="preserve">, authenticated with a Bearer JWT. The mapping is how the port is reviewed - an endpoint is read against the service it replaces, not against the archival schema.</w:t>
      </w:r>
    </w:p>
    <w:tbl>
      <w:tblPr>
        <w:tblW w:w="0" w:type="auto"/>
        <w:tblInd w:w="1101"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28"/>
        <w:gridCol w:w="2218"/>
        <w:gridCol w:w="3024"/>
      </w:tblGrid>
      <w:tr>
        <w:trPr>
          <w:tblHeader/>
          <w:cantSplit/>
        </w:trPr>
        <w:tc>
          <w:tcPr>
            <w:tcW w:w="342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Endpoint</w:t>
            </w:r>
          </w:p>
        </w:tc>
        <w:tc>
          <w:tcPr>
            <w:tcW w:w="2218"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Legacy service</w:t>
            </w:r>
          </w:p>
        </w:tc>
        <w:tc>
          <w:tcPr>
            <w:tcW w:w="3024" w:type="dxa"/>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Source</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POST /api/login</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00 logon (</w:t>
            </w:r>
            <w:r>
              <w:rPr>
                <w:rFonts w:ascii="Courier New" w:eastAsia="Times New Roman" w:hAnsi="Courier New" w:cs="Courier New"/>
                <w:sz w:val="16"/>
                <w:szCs w:val="19"/>
              </w:rPr>
              <w:t xml:space="preserve">cblogin.c</w:t>
            </w:r>
            <w:r>
              <w:rPr>
                <w:rFonts w:ascii="Arial" w:eastAsia="Times New Roman" w:hAnsi="Arial" w:cs="Traditional Arabic"/>
                <w:sz w:val="16"/>
                <w:szCs w:val="19"/>
              </w:rPr>
              <w:t xml:space="preserve">)</w:t>
            </w:r>
          </w:p>
        </w:tc>
        <w:tc>
          <w:tcPr>
            <w:tcW w:w="302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LDAP bind + </w:t>
            </w:r>
            <w:r>
              <w:rPr>
                <w:rFonts w:ascii="Courier New" w:eastAsia="Times New Roman" w:hAnsi="Courier New" w:cs="Courier New"/>
                <w:sz w:val="16"/>
                <w:szCs w:val="19"/>
              </w:rPr>
              <w:t xml:space="preserve">stuser</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stusrbrn</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/api/codes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reference data</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stctltab</w:t>
            </w:r>
            <w:r>
              <w:rPr>
                <w:rFonts w:ascii="Arial" w:eastAsia="Times New Roman" w:hAnsi="Arial" w:cs="Traditional Arabic"/>
                <w:sz w:val="16"/>
                <w:szCs w:val="19"/>
              </w:rPr>
              <w:t xml:space="preserve"> family + legacy combo tables</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/api/customers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16 customer search (</w:t>
            </w:r>
            <w:r>
              <w:rPr>
                <w:rFonts w:ascii="Courier New" w:eastAsia="Times New Roman" w:hAnsi="Courier New" w:cs="Courier New"/>
                <w:sz w:val="16"/>
                <w:szCs w:val="19"/>
              </w:rPr>
              <w:t xml:space="preserve">cbbranch2.c</w:t>
            </w:r>
            <w:r>
              <w:rPr>
                <w:rFonts w:ascii="Arial" w:eastAsia="Times New Roman" w:hAnsi="Arial" w:cs="Traditional Arabic"/>
                <w:sz w:val="16"/>
                <w:szCs w:val="19"/>
              </w:rPr>
              <w:t xml:space="preserve">)</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stcusttab</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stidtab</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stcardtab</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/api/customers/{no}/profile</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stcusttab</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stidtab</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staddrtab</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/api/customers/{no}/profile-asof/{dateTime}</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11 requestType 01</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stcustlog</w:t>
            </w:r>
            <w:r>
              <w:rPr>
                <w:rFonts w:ascii="Arial" w:eastAsia="Times New Roman" w:hAnsi="Arial" w:cs="Traditional Arabic"/>
                <w:sz w:val="16"/>
                <w:szCs w:val="19"/>
              </w:rPr>
              <w:t xml:space="preserve"> / </w:t>
            </w:r>
            <w:r>
              <w:rPr>
                <w:rFonts w:ascii="Courier New" w:eastAsia="Times New Roman" w:hAnsi="Courier New" w:cs="Courier New"/>
                <w:sz w:val="16"/>
                <w:szCs w:val="19"/>
              </w:rPr>
              <w:t xml:space="preserve">custlogYYYY</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/api/customers/{no}/update-history</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67 customer history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stcustlog</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/api/customers/{no}/accounts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21 account search</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gld0data</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/api/customers/{no}/joint-holders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joint holder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stjointtab</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/api/customers/{no}/owners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owner / management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stowntab</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/api/customers/{no}/heirs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heirs / proxy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stheirtab</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/api/customers/{no}/references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reference / legal representative</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stcreftab</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/api/customers/{no}/documents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required documents</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stctltabDC</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stcusttab</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/api/accounts/{no}/detail</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gld0data</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stctltabMM</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stctltabXC</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/api/accounts/{no}/status-history</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57 requestType 0</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stacclog</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/api/accounts/{no}/snapshot/{dateTime}</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33 requestType 01</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stacclog</w:t>
            </w:r>
            <w:r>
              <w:rPr>
                <w:rFonts w:ascii="Arial" w:eastAsia="Times New Roman" w:hAnsi="Arial" w:cs="Traditional Arabic"/>
                <w:sz w:val="16"/>
                <w:szCs w:val="19"/>
              </w:rPr>
              <w:t xml:space="preserve"> / </w:t>
            </w:r>
            <w:r>
              <w:rPr>
                <w:rFonts w:ascii="Courier New" w:eastAsia="Times New Roman" w:hAnsi="Courier New" w:cs="Courier New"/>
                <w:sz w:val="16"/>
                <w:szCs w:val="19"/>
              </w:rPr>
              <w:t xml:space="preserve">acclogYYYY</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/api/accounts/{no}/blocked-amount-breakup</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blocked amount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gld0data</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aad0data</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bkd0data</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ccarrblk</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staccblk</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/api/accounts/{no}/standing-orders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standing order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sod0data</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stsodlog</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/api/accounts/{no}/stop-cheques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stop cheque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pyd0data</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ststchqlog</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/api/accounts/{no}/chequebook-requests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cheque book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stchqtab</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/api/accounts/{no}/signatories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signatory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stsigntab</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stidtab</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/api/accounts/{no}/transfers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transfer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rid0data</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stswiftlog</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/api/accounts/{no}/transactions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transaction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thd0data</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/api/accounts/{no}/historical-statement</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historical statement printing</w:t>
            </w:r>
          </w:p>
        </w:tc>
        <w:tc>
          <w:tcPr>
            <w:tcW w:w="302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statement archive (DB #3)</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/api/cards/{cardNo}</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stcardtab</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stcusttab</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/api/cards/{cardNo}/history</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 / PIN history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stcardlog</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/api/sadad/transactions</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SADAD log enquiry</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stsadadlog</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/api/merchant/statement</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merchant statement</w:t>
            </w:r>
          </w:p>
        </w:tc>
        <w:tc>
          <w:tcPr>
            <w:tcW w:w="302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statement archive (DB #3)</w:t>
            </w:r>
          </w:p>
        </w:tc>
      </w:tr>
      <w:tr>
        <w:tc>
          <w:tcPr>
            <w:tcW w:w="3428"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GET /api/health/db</w:t>
            </w:r>
          </w:p>
        </w:tc>
        <w:tc>
          <w:tcPr>
            <w:tcW w:w="221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n/a - new</w:t>
            </w:r>
          </w:p>
        </w:tc>
        <w:tc>
          <w:tcPr>
            <w:tcW w:w="3024" w:type="dxa"/>
            <w:vAlign w:val="top"/>
          </w:tcPr>
          <w:p>
            <w:pPr>
              <w:spacing w:before="40" w:after="40" w:line="240" w:lineRule="auto"/>
              <w:rPr>
                <w:rFonts w:ascii="Arial" w:eastAsia="Times New Roman" w:hAnsi="Arial" w:cs="Traditional Arabic"/>
                <w:sz w:val="16"/>
                <w:szCs w:val="19"/>
              </w:rPr>
            </w:pPr>
            <w:r>
              <w:rPr>
                <w:rFonts w:ascii="Courier New" w:eastAsia="Times New Roman" w:hAnsi="Courier New" w:cs="Courier New"/>
                <w:sz w:val="16"/>
                <w:szCs w:val="19"/>
              </w:rPr>
              <w:t xml:space="preserve">stcusttab</w:t>
            </w:r>
            <w:r>
              <w:rPr>
                <w:rFonts w:ascii="Arial" w:eastAsia="Times New Roman" w:hAnsi="Arial" w:cs="Traditional Arabic"/>
                <w:sz w:val="16"/>
                <w:szCs w:val="19"/>
              </w:rPr>
              <w:t xml:space="preserve">, </w:t>
            </w:r>
            <w:r>
              <w:rPr>
                <w:rFonts w:ascii="Courier New" w:eastAsia="Times New Roman" w:hAnsi="Courier New" w:cs="Courier New"/>
                <w:sz w:val="16"/>
                <w:szCs w:val="19"/>
              </w:rPr>
              <w:t xml:space="preserve">stctltabSC</w:t>
            </w:r>
          </w:p>
        </w:tc>
      </w:tr>
    </w:tbl>
    <w:p>
      <w:pPr>
        <w:spacing w:before="60" w:after="120" w:line="240" w:lineRule="auto"/>
        <w:ind w:left="992"/>
        <w:jc w:val="lowKashida"/>
        <w:rPr>
          <w:rFonts w:ascii="Times New Roman" w:eastAsia="Times New Roman" w:hAnsi="Times New Roman" w:cs="Traditional Arabic"/>
          <w:sz w:val="24"/>
          <w:szCs w:val="24"/>
        </w:rPr>
      </w:pPr>
    </w:p>
    <w:p>
      <w:pPr>
        <w:spacing w:before="60" w:after="120" w:line="240" w:lineRule="auto"/>
        <w:ind w:left="992"/>
        <w:jc w:val="lowKashida"/>
        <w:rPr>
          <w:rFonts w:ascii="Times New Roman" w:eastAsia="Times New Roman" w:hAnsi="Times New Roman" w:cs="Traditional Arabic"/>
          <w:sz w:val="24"/>
          <w:szCs w:val="24"/>
        </w:rPr>
      </w:pPr>
      <w:r>
        <w:rPr>
          <w:rFonts w:ascii="Times New Roman" w:eastAsia="Times New Roman" w:hAnsi="Times New Roman" w:cs="Traditional Arabic"/>
          <w:sz w:val="24"/>
          <w:szCs w:val="24"/>
        </w:rPr>
        <w:t xml:space="preserve">Conventions that apply across the whole surface: a page is 10 rows with an n+1 probe; 4xx and 501 carry ported business messages and no reference, and only an unexpected 500 mints one; and a screen whose source is absent answers 501 rather than presenting an empty form. The complete endpoint list, with parameters and response shapes, is published live by the running application at </w:t>
      </w:r>
      <w:r>
        <w:rPr>
          <w:rFonts w:ascii="Courier New" w:eastAsia="Times New Roman" w:hAnsi="Courier New" w:cs="Courier New"/>
          <w:sz w:val="24"/>
          <w:szCs w:val="24"/>
        </w:rPr>
        <w:t xml:space="preserve">/swagger-ui.html</w:t>
      </w:r>
      <w:r>
        <w:rPr>
          <w:rFonts w:ascii="Times New Roman" w:eastAsia="Times New Roman" w:hAnsi="Times New Roman" w:cs="Traditional Arabic"/>
          <w:sz w:val="24"/>
          <w:szCs w:val="24"/>
        </w:rPr>
        <w:t xml:space="preserve">.</w:t>
      </w:r>
    </w:p>
    <w:p>
      <w:pPr>
        <w:keepNext/>
        <w:pageBreakBefore/>
        <w:numPr>
          <w:ilvl w:val="0"/>
          <w:numId w:val="1"/>
        </w:numPr>
        <w:spacing w:before="120" w:after="120" w:line="240" w:lineRule="auto"/>
        <w:jc w:val="lowKashida"/>
        <w:outlineLvl w:val="0"/>
        <w:rPr>
          <w:rFonts w:ascii="Arial" w:eastAsia="Times New Roman" w:hAnsi="Arial" w:cs="Traditional Arabic"/>
          <w:spacing w:val="-10"/>
          <w:kern w:val="28"/>
          <w:sz w:val="32"/>
          <w:szCs w:val="32"/>
        </w:rPr>
      </w:pPr>
      <w:r>
        <w:rPr>
          <w:rFonts w:ascii="Arial" w:eastAsia="Times New Roman" w:hAnsi="Arial" w:cs="Traditional Arabic"/>
          <w:spacing w:val="-10"/>
          <w:kern w:val="28"/>
          <w:sz w:val="32"/>
          <w:szCs w:val="32"/>
        </w:rPr>
        <w:t xml:space="preserve">Document History</w:t>
      </w:r>
    </w:p>
    <w:tbl>
      <w:tblPr>
        <w:tblW w:w="8937" w:type="dxa"/>
        <w:tblInd w:w="107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85" w:type="dxa"/>
          <w:right w:w="85" w:type="dxa"/>
        </w:tblCellMar>
        <w:tblLook w:val="0000" w:firstRow="0" w:lastRow="0" w:firstColumn="0" w:lastColumn="0" w:noHBand="0" w:noVBand="0"/>
      </w:tblPr>
      <w:tblGrid>
        <w:gridCol w:w="850"/>
        <w:gridCol w:w="667"/>
        <w:gridCol w:w="1318"/>
        <w:gridCol w:w="1842"/>
        <w:gridCol w:w="709"/>
        <w:gridCol w:w="288"/>
        <w:gridCol w:w="3263"/>
      </w:tblGrid>
      <w:tr w:rsidR="00D20125" w:rsidRPr="00D20125" w14:paraId="157DB631" w14:textId="77777777" w:rsidTr="007C7FA6">
        <w:trPr>
          <w:cantSplit/>
        </w:trPr>
        <w:tc>
          <w:tcPr>
            <w:tcW w:w="1517" w:type="dxa"/>
            <w:gridSpan w:val="2"/>
            <w:tcBorders>
              <w:top w:val="single" w:sz="12" w:space="0" w:color="auto"/>
            </w:tcBorders>
            <w:shd w:val="clear" w:color="auto" w:fill="D9D9D9"/>
          </w:tcPr>
          <w:p w14:paraId="66F0AFCF" w14:textId="77777777" w:rsidR="00D20125" w:rsidRPr="00D20125" w:rsidRDefault="00D20125" w:rsidP="00D20125">
            <w:pPr>
              <w:keepNext/>
              <w:spacing w:before="60" w:after="60" w:line="240" w:lineRule="auto"/>
              <w:rPr>
                <w:rFonts w:ascii="Arial" w:eastAsia="Times New Roman" w:hAnsi="Arial" w:cs="Traditional Arabic"/>
                <w:b/>
                <w:bCs/>
                <w:sz w:val="16"/>
                <w:szCs w:val="16"/>
              </w:rPr>
            </w:pPr>
            <w:r w:rsidRPr="00D20125">
              <w:rPr>
                <w:rFonts w:ascii="Arial" w:eastAsia="Times New Roman" w:hAnsi="Arial" w:cs="Traditional Arabic"/>
                <w:b/>
                <w:bCs/>
                <w:sz w:val="16"/>
                <w:szCs w:val="16"/>
              </w:rPr>
              <w:t>Document Title</w:t>
            </w:r>
          </w:p>
        </w:tc>
        <w:tc>
          <w:tcPr>
            <w:tcW w:w="7420" w:type="dxa"/>
            <w:gridSpan w:val="5"/>
            <w:tcBorders>
              <w:top w:val="single" w:sz="12" w:space="0" w:color="auto"/>
            </w:tcBorders>
          </w:tcPr>
          <w:p w14:paraId="3A95878B" w14:textId="77777777" w:rsidR="00D20125" w:rsidRPr="00D20125" w:rsidRDefault="00D20125" w:rsidP="00D20125">
            <w:pPr>
              <w:keepNext/>
              <w:spacing w:before="60" w:after="60" w:line="240" w:lineRule="auto"/>
              <w:rPr>
                <w:rFonts w:ascii="Arial" w:eastAsia="Times New Roman" w:hAnsi="Arial" w:cs="Traditional Arabic"/>
                <w:sz w:val="16"/>
                <w:szCs w:val="16"/>
              </w:rPr>
            </w:pPr>
            <w:r w:rsidRPr="00D20125">
              <w:rPr>
                <w:rFonts w:ascii="Arial" w:eastAsia="Times New Roman" w:hAnsi="Arial" w:cs="Traditional Arabic"/>
                <w:sz w:val="16"/>
                <w:szCs w:val="16"/>
              </w:rPr>
              <w:fldChar w:fldCharType="begin"/>
            </w:r>
            <w:r w:rsidRPr="00D20125">
              <w:rPr>
                <w:rFonts w:ascii="Arial" w:eastAsia="Times New Roman" w:hAnsi="Arial" w:cs="Traditional Arabic"/>
                <w:sz w:val="16"/>
                <w:szCs w:val="16"/>
              </w:rPr>
              <w:instrText xml:space="preserve"> STYLEREF \l"Main Style" </w:instrText>
            </w:r>
            <w:r w:rsidRPr="00D20125">
              <w:rPr>
                <w:rFonts w:ascii="Arial" w:eastAsia="Times New Roman" w:hAnsi="Arial" w:cs="Traditional Arabic"/>
                <w:sz w:val="16"/>
                <w:szCs w:val="16"/>
              </w:rPr>
              <w:fldChar w:fldCharType="separate"/>
            </w:r>
            <w:r w:rsidRPr="00D20125">
              <w:rPr>
                <w:rFonts w:ascii="Arial" w:eastAsia="Times New Roman" w:hAnsi="Arial" w:cs="Traditional Arabic"/>
                <w:noProof/>
                <w:sz w:val="16"/>
                <w:szCs w:val="16"/>
              </w:rPr>
              <w:t>Design Specification</w:t>
            </w:r>
            <w:r w:rsidRPr="00D20125">
              <w:rPr>
                <w:rFonts w:ascii="Arial" w:eastAsia="Times New Roman" w:hAnsi="Arial" w:cs="Traditional Arabic"/>
                <w:sz w:val="16"/>
                <w:szCs w:val="16"/>
              </w:rPr>
              <w:fldChar w:fldCharType="end"/>
            </w:r>
          </w:p>
        </w:tc>
      </w:tr>
      <w:tr w:rsidR="00D20125" w:rsidRPr="00D20125" w14:paraId="39C9E1C4" w14:textId="77777777" w:rsidTr="007C7FA6">
        <w:trPr>
          <w:cantSplit/>
        </w:trPr>
        <w:tc>
          <w:tcPr>
            <w:tcW w:w="1517" w:type="dxa"/>
            <w:gridSpan w:val="2"/>
            <w:shd w:val="clear" w:color="auto" w:fill="D9D9D9"/>
          </w:tcPr>
          <w:p w14:paraId="12C32F59" w14:textId="77777777" w:rsidR="00D20125" w:rsidRPr="00D20125" w:rsidRDefault="00D20125" w:rsidP="00D20125">
            <w:pPr>
              <w:keepNext/>
              <w:spacing w:before="60" w:after="60" w:line="240" w:lineRule="auto"/>
              <w:rPr>
                <w:rFonts w:ascii="Arial" w:eastAsia="Times New Roman" w:hAnsi="Arial" w:cs="Traditional Arabic"/>
                <w:b/>
                <w:bCs/>
                <w:sz w:val="16"/>
                <w:szCs w:val="16"/>
              </w:rPr>
            </w:pPr>
            <w:r w:rsidRPr="00D20125">
              <w:rPr>
                <w:rFonts w:ascii="Arial" w:eastAsia="Times New Roman" w:hAnsi="Arial" w:cs="Traditional Arabic"/>
                <w:b/>
                <w:bCs/>
                <w:sz w:val="16"/>
                <w:szCs w:val="16"/>
              </w:rPr>
              <w:t>Project Title</w:t>
            </w:r>
          </w:p>
        </w:tc>
        <w:tc>
          <w:tcPr>
            <w:tcW w:w="7420" w:type="dxa"/>
            <w:gridSpan w:val="5"/>
          </w:tcPr>
          <w:p w14:paraId="64FC2FFD" w14:textId="0D745FE0" w:rsidR="00D20125" w:rsidRPr="00D20125" w:rsidRDefault="00D20125" w:rsidP="00D20125">
            <w:pPr>
              <w:keepNext/>
              <w:spacing w:before="60" w:after="60" w:line="240" w:lineRule="auto"/>
              <w:rPr>
                <w:rFonts w:ascii="Arial" w:eastAsia="Times New Roman" w:hAnsi="Arial" w:cs="Traditional Arabic"/>
                <w:noProof/>
                <w:sz w:val="16"/>
                <w:szCs w:val="16"/>
              </w:rPr>
            </w:pPr>
            <w:r w:rsidRPr="00D20125">
              <w:rPr>
                <w:rFonts w:ascii="Arial" w:eastAsia="Times New Roman" w:hAnsi="Arial" w:cs="Traditional Arabic"/>
                <w:noProof/>
                <w:sz w:val="16"/>
                <w:szCs w:val="16"/>
              </w:rPr>
              <w:t>Bankmaster Archival</w:t>
            </w:r>
          </w:p>
        </w:tc>
      </w:tr>
      <w:tr w:rsidR="00D20125" w:rsidRPr="00D20125" w14:paraId="0BF67B29" w14:textId="77777777" w:rsidTr="007C7FA6">
        <w:trPr>
          <w:cantSplit/>
        </w:trPr>
        <w:tc>
          <w:tcPr>
            <w:tcW w:w="1517" w:type="dxa"/>
            <w:gridSpan w:val="2"/>
            <w:shd w:val="clear" w:color="auto" w:fill="D9D9D9"/>
          </w:tcPr>
          <w:p w14:paraId="10E6E26A" w14:textId="77777777" w:rsidR="00D20125" w:rsidRPr="00D20125" w:rsidRDefault="00D20125" w:rsidP="00D20125">
            <w:pPr>
              <w:keepNext/>
              <w:spacing w:before="60" w:after="60" w:line="240" w:lineRule="auto"/>
              <w:rPr>
                <w:rFonts w:ascii="Arial" w:eastAsia="Times New Roman" w:hAnsi="Arial" w:cs="Traditional Arabic"/>
                <w:b/>
                <w:bCs/>
                <w:sz w:val="16"/>
                <w:szCs w:val="16"/>
              </w:rPr>
            </w:pPr>
            <w:r w:rsidRPr="00D20125">
              <w:rPr>
                <w:rFonts w:ascii="Arial" w:eastAsia="Times New Roman" w:hAnsi="Arial" w:cs="Traditional Arabic"/>
                <w:b/>
                <w:bCs/>
                <w:sz w:val="16"/>
                <w:szCs w:val="16"/>
              </w:rPr>
              <w:t>File Name and Path</w:t>
            </w:r>
          </w:p>
        </w:tc>
        <w:tc>
          <w:tcPr>
            <w:tcW w:w="7420" w:type="dxa"/>
            <w:gridSpan w:val="5"/>
          </w:tcPr>
          <w:p w14:paraId="0488B78E" w14:textId="4A3E8652" w:rsidR="00D20125" w:rsidRPr="00D20125" w:rsidRDefault="00D20125" w:rsidP="00D20125">
            <w:pPr>
              <w:keepNext/>
              <w:spacing w:before="60" w:after="60" w:line="240" w:lineRule="auto"/>
              <w:rPr>
                <w:rFonts w:ascii="Arial" w:eastAsia="Times New Roman" w:hAnsi="Arial" w:cs="Traditional Arabic"/>
                <w:sz w:val="16"/>
                <w:szCs w:val="16"/>
              </w:rPr>
            </w:pPr>
            <w:r w:rsidRPr="00D20125">
              <w:rPr>
                <w:rFonts w:ascii="Arial" w:eastAsia="Times New Roman" w:hAnsi="Arial" w:cs="Traditional Arabic"/>
                <w:sz w:val="16"/>
                <w:szCs w:val="19"/>
              </w:rPr>
              <w:t xml:space="preserve">docs/</w:t>
            </w:r>
            <w:r>
              <w:rPr>
                <w:rFonts w:ascii="Arial" w:eastAsia="Times New Roman" w:hAnsi="Arial" w:cs="Traditional Arabic"/>
                <w:sz w:val="16"/>
                <w:szCs w:val="19"/>
              </w:rPr>
              <w:t xml:space="preserve">BankSystem-Design-</w:t>
            </w:r>
            <w:r w:rsidRPr="00D20125">
              <w:rPr>
                <w:rFonts w:ascii="Arial" w:eastAsia="Times New Roman" w:hAnsi="Arial" w:cs="Traditional Arabic"/>
                <w:sz w:val="16"/>
                <w:szCs w:val="19"/>
              </w:rPr>
              <w:t xml:space="preserve">Specification.docx</w:t>
            </w:r>
          </w:p>
        </w:tc>
      </w:tr>
      <w:tr w:rsidR="00D20125" w:rsidRPr="00D20125" w14:paraId="0DAF57B4" w14:textId="77777777" w:rsidTr="007C7FA6">
        <w:trPr>
          <w:cantSplit/>
        </w:trPr>
        <w:tc>
          <w:tcPr>
            <w:tcW w:w="1517" w:type="dxa"/>
            <w:gridSpan w:val="2"/>
            <w:shd w:val="clear" w:color="auto" w:fill="D9D9D9"/>
          </w:tcPr>
          <w:p w14:paraId="09DF8CB2" w14:textId="77777777" w:rsidR="00D20125" w:rsidRPr="00D20125" w:rsidRDefault="00D20125" w:rsidP="00D20125">
            <w:pPr>
              <w:keepNext/>
              <w:spacing w:before="60" w:after="60" w:line="240" w:lineRule="auto"/>
              <w:rPr>
                <w:rFonts w:ascii="Arial" w:eastAsia="Times New Roman" w:hAnsi="Arial" w:cs="Traditional Arabic"/>
                <w:b/>
                <w:bCs/>
                <w:sz w:val="16"/>
                <w:szCs w:val="16"/>
              </w:rPr>
            </w:pPr>
            <w:r w:rsidRPr="00D20125">
              <w:rPr>
                <w:rFonts w:ascii="Arial" w:eastAsia="Times New Roman" w:hAnsi="Arial" w:cs="Traditional Arabic"/>
                <w:b/>
                <w:bCs/>
                <w:sz w:val="16"/>
                <w:szCs w:val="16"/>
              </w:rPr>
              <w:t>Release date</w:t>
            </w:r>
          </w:p>
        </w:tc>
        <w:tc>
          <w:tcPr>
            <w:tcW w:w="7420" w:type="dxa"/>
            <w:gridSpan w:val="5"/>
            <w:tcBorders>
              <w:bottom w:val="single" w:sz="2" w:space="0" w:color="auto"/>
            </w:tcBorders>
          </w:tcPr>
          <w:p w14:paraId="60253000" w14:textId="77777777" w:rsidR="00D20125" w:rsidRPr="00D20125" w:rsidRDefault="00D20125" w:rsidP="00D20125">
            <w:pPr>
              <w:keepNext/>
              <w:spacing w:before="60" w:after="60" w:line="240" w:lineRule="auto"/>
              <w:rPr>
                <w:rFonts w:ascii="Arial" w:eastAsia="Times New Roman" w:hAnsi="Arial" w:cs="Traditional Arabic"/>
                <w:sz w:val="16"/>
                <w:szCs w:val="16"/>
              </w:rPr>
            </w:pPr>
            <w:r w:rsidRPr="00D20125">
              <w:rPr>
                <w:rFonts w:ascii="Arial" w:eastAsia="Times New Roman" w:hAnsi="Arial" w:cs="Traditional Arabic"/>
                <w:sz w:val="16"/>
                <w:szCs w:val="16"/>
              </w:rPr>
              <w:t xml:space="preserve">10 September 2026</w:t>
            </w:r>
          </w:p>
        </w:tc>
      </w:tr>
      <w:tr w:rsidR="00D20125" w:rsidRPr="00D20125" w14:paraId="5EA49A4F" w14:textId="77777777" w:rsidTr="007C7FA6">
        <w:trPr>
          <w:cantSplit/>
        </w:trPr>
        <w:tc>
          <w:tcPr>
            <w:tcW w:w="1517" w:type="dxa"/>
            <w:gridSpan w:val="2"/>
            <w:shd w:val="clear" w:color="auto" w:fill="D9D9D9"/>
          </w:tcPr>
          <w:p w14:paraId="1AC456DB" w14:textId="77777777" w:rsidR="00D20125" w:rsidRPr="00D20125" w:rsidRDefault="00D20125" w:rsidP="00D20125">
            <w:pPr>
              <w:keepNext/>
              <w:spacing w:before="60" w:after="60" w:line="240" w:lineRule="auto"/>
              <w:rPr>
                <w:rFonts w:ascii="Arial" w:eastAsia="Times New Roman" w:hAnsi="Arial" w:cs="Traditional Arabic"/>
                <w:b/>
                <w:bCs/>
                <w:sz w:val="16"/>
                <w:szCs w:val="19"/>
              </w:rPr>
            </w:pPr>
            <w:r w:rsidRPr="00D20125">
              <w:rPr>
                <w:rFonts w:ascii="Arial" w:eastAsia="Times New Roman" w:hAnsi="Arial" w:cs="Traditional Arabic"/>
                <w:b/>
                <w:bCs/>
                <w:sz w:val="16"/>
                <w:szCs w:val="19"/>
              </w:rPr>
              <w:t>Number of pages</w:t>
            </w:r>
          </w:p>
        </w:tc>
        <w:tc>
          <w:tcPr>
            <w:tcW w:w="7420" w:type="dxa"/>
            <w:gridSpan w:val="5"/>
            <w:tcBorders>
              <w:top w:val="single" w:sz="2" w:space="0" w:color="auto"/>
            </w:tcBorders>
          </w:tcPr>
          <w:p w14:paraId="7944C774" w14:textId="77777777" w:rsidR="00D20125" w:rsidRPr="00D20125" w:rsidRDefault="00D20125" w:rsidP="00D20125">
            <w:pPr>
              <w:keepNext/>
              <w:spacing w:before="60" w:after="60" w:line="240" w:lineRule="auto"/>
              <w:rPr>
                <w:rFonts w:ascii="Arial" w:eastAsia="Times New Roman" w:hAnsi="Arial" w:cs="Traditional Arabic"/>
                <w:sz w:val="16"/>
                <w:szCs w:val="16"/>
              </w:rPr>
            </w:pPr>
            <w:r w:rsidRPr="00D20125">
              <w:rPr>
                <w:rFonts w:ascii="Arial" w:eastAsia="Times New Roman" w:hAnsi="Arial" w:cs="Traditional Arabic"/>
                <w:sz w:val="16"/>
                <w:szCs w:val="19"/>
              </w:rPr>
              <w:t xml:space="preserve"/>
            </w:r>
          </w:p>
        </w:tc>
      </w:tr>
      <w:tr w:rsidR="00D20125" w:rsidRPr="00D20125" w14:paraId="7EE834B4" w14:textId="77777777" w:rsidTr="007C7FA6">
        <w:trPr>
          <w:cantSplit/>
        </w:trPr>
        <w:tc>
          <w:tcPr>
            <w:tcW w:w="1517" w:type="dxa"/>
            <w:gridSpan w:val="2"/>
            <w:shd w:val="clear" w:color="auto" w:fill="D9D9D9"/>
          </w:tcPr>
          <w:p w14:paraId="6BC0BB90" w14:textId="77777777" w:rsidR="00D20125" w:rsidRPr="00D20125" w:rsidRDefault="00D20125" w:rsidP="00D20125">
            <w:pPr>
              <w:keepNext/>
              <w:spacing w:before="60" w:after="60" w:line="240" w:lineRule="auto"/>
              <w:rPr>
                <w:rFonts w:ascii="Arial" w:eastAsia="Times New Roman" w:hAnsi="Arial" w:cs="Traditional Arabic"/>
                <w:b/>
                <w:bCs/>
                <w:sz w:val="16"/>
                <w:szCs w:val="16"/>
              </w:rPr>
            </w:pPr>
            <w:r w:rsidRPr="00D20125">
              <w:rPr>
                <w:rFonts w:ascii="Arial" w:eastAsia="Times New Roman" w:hAnsi="Arial" w:cs="Traditional Arabic"/>
                <w:b/>
                <w:bCs/>
                <w:sz w:val="16"/>
                <w:szCs w:val="16"/>
              </w:rPr>
              <w:t>Author</w:t>
            </w:r>
          </w:p>
        </w:tc>
        <w:tc>
          <w:tcPr>
            <w:tcW w:w="7420" w:type="dxa"/>
            <w:gridSpan w:val="5"/>
          </w:tcPr>
          <w:p w14:paraId="5BE86E9C" w14:textId="77777777" w:rsidR="00D20125" w:rsidRPr="00D20125" w:rsidRDefault="00D20125" w:rsidP="00D20125">
            <w:pPr>
              <w:keepNext/>
              <w:spacing w:before="60" w:after="60" w:line="240" w:lineRule="auto"/>
              <w:rPr>
                <w:rFonts w:ascii="Arial" w:eastAsia="Times New Roman" w:hAnsi="Arial" w:cs="Traditional Arabic"/>
                <w:sz w:val="16"/>
                <w:szCs w:val="16"/>
              </w:rPr>
            </w:pPr>
            <w:r>
              <w:rPr>
                <w:rFonts w:ascii="Arial" w:eastAsia="Times New Roman" w:hAnsi="Arial" w:cs="Traditional Arabic"/>
                <w:sz w:val="16"/>
                <w:szCs w:val="16"/>
              </w:rPr>
              <w:t xml:space="preserve">Manish Kumar</w:t>
            </w:r>
          </w:p>
        </w:tc>
      </w:tr>
      <w:tr w:rsidR="00D20125" w:rsidRPr="00D20125" w14:paraId="76F25572" w14:textId="77777777" w:rsidTr="007C7FA6">
        <w:trPr>
          <w:cantSplit/>
        </w:trPr>
        <w:tc>
          <w:tcPr>
            <w:tcW w:w="1517" w:type="dxa"/>
            <w:gridSpan w:val="2"/>
            <w:shd w:val="clear" w:color="auto" w:fill="D9D9D9"/>
          </w:tcPr>
          <w:p w14:paraId="2D3ADC05" w14:textId="77777777" w:rsidR="00D20125" w:rsidRPr="00D20125" w:rsidRDefault="00D20125" w:rsidP="00D20125">
            <w:pPr>
              <w:keepNext/>
              <w:spacing w:before="60" w:after="60" w:line="240" w:lineRule="auto"/>
              <w:rPr>
                <w:rFonts w:ascii="Arial" w:eastAsia="Times New Roman" w:hAnsi="Arial" w:cs="Traditional Arabic"/>
                <w:b/>
                <w:bCs/>
                <w:sz w:val="16"/>
                <w:szCs w:val="16"/>
              </w:rPr>
            </w:pPr>
            <w:r w:rsidRPr="00D20125">
              <w:rPr>
                <w:rFonts w:ascii="Arial" w:eastAsia="Times New Roman" w:hAnsi="Arial" w:cs="Traditional Arabic"/>
                <w:b/>
                <w:bCs/>
                <w:sz w:val="16"/>
                <w:szCs w:val="16"/>
              </w:rPr>
              <w:t>Project Manager</w:t>
            </w:r>
          </w:p>
        </w:tc>
        <w:tc>
          <w:tcPr>
            <w:tcW w:w="3160" w:type="dxa"/>
            <w:gridSpan w:val="2"/>
          </w:tcPr>
          <w:p w14:paraId="461784C2"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997" w:type="dxa"/>
            <w:gridSpan w:val="2"/>
          </w:tcPr>
          <w:p w14:paraId="0F4CD142" w14:textId="77777777" w:rsidR="00D20125" w:rsidRPr="00D20125" w:rsidRDefault="00D20125" w:rsidP="00D20125">
            <w:pPr>
              <w:keepNext/>
              <w:spacing w:before="60" w:after="60" w:line="240" w:lineRule="auto"/>
              <w:rPr>
                <w:rFonts w:ascii="Arial" w:eastAsia="Times New Roman" w:hAnsi="Arial" w:cs="Traditional Arabic"/>
                <w:b/>
                <w:bCs/>
                <w:sz w:val="16"/>
                <w:szCs w:val="16"/>
              </w:rPr>
            </w:pPr>
            <w:r w:rsidRPr="00D20125">
              <w:rPr>
                <w:rFonts w:ascii="Arial" w:eastAsia="Times New Roman" w:hAnsi="Arial" w:cs="Traditional Arabic"/>
                <w:b/>
                <w:bCs/>
                <w:sz w:val="16"/>
                <w:szCs w:val="16"/>
              </w:rPr>
              <w:t>Div./Dept.</w:t>
            </w:r>
          </w:p>
        </w:tc>
        <w:tc>
          <w:tcPr>
            <w:tcW w:w="3263" w:type="dxa"/>
          </w:tcPr>
          <w:p w14:paraId="11048F18"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r>
      <w:tr w:rsidR="00D20125" w:rsidRPr="00D20125" w14:paraId="09F51DB7" w14:textId="77777777" w:rsidTr="007C7FA6">
        <w:trPr>
          <w:cantSplit/>
        </w:trPr>
        <w:tc>
          <w:tcPr>
            <w:tcW w:w="1517" w:type="dxa"/>
            <w:gridSpan w:val="2"/>
            <w:shd w:val="clear" w:color="auto" w:fill="D9D9D9"/>
          </w:tcPr>
          <w:p w14:paraId="49C4EC6D" w14:textId="77777777" w:rsidR="00D20125" w:rsidRPr="00D20125" w:rsidRDefault="00D20125" w:rsidP="00D20125">
            <w:pPr>
              <w:keepNext/>
              <w:spacing w:before="60" w:after="60" w:line="240" w:lineRule="auto"/>
              <w:rPr>
                <w:rFonts w:ascii="Arial" w:eastAsia="Times New Roman" w:hAnsi="Arial" w:cs="Traditional Arabic"/>
                <w:b/>
                <w:bCs/>
                <w:sz w:val="16"/>
                <w:szCs w:val="16"/>
              </w:rPr>
            </w:pPr>
            <w:r w:rsidRPr="00D20125">
              <w:rPr>
                <w:rFonts w:ascii="Arial" w:eastAsia="Times New Roman" w:hAnsi="Arial" w:cs="Traditional Arabic"/>
                <w:b/>
                <w:bCs/>
                <w:sz w:val="16"/>
                <w:szCs w:val="16"/>
              </w:rPr>
              <w:t xml:space="preserve">Manager </w:t>
            </w:r>
          </w:p>
        </w:tc>
        <w:tc>
          <w:tcPr>
            <w:tcW w:w="3160" w:type="dxa"/>
            <w:gridSpan w:val="2"/>
          </w:tcPr>
          <w:p w14:paraId="22AEEEBC"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997" w:type="dxa"/>
            <w:gridSpan w:val="2"/>
          </w:tcPr>
          <w:p w14:paraId="2C0973AC" w14:textId="77777777" w:rsidR="00D20125" w:rsidRPr="00D20125" w:rsidRDefault="00D20125" w:rsidP="00D20125">
            <w:pPr>
              <w:keepNext/>
              <w:spacing w:before="60" w:after="60" w:line="240" w:lineRule="auto"/>
              <w:rPr>
                <w:rFonts w:ascii="Arial" w:eastAsia="Times New Roman" w:hAnsi="Arial" w:cs="Traditional Arabic"/>
                <w:b/>
                <w:bCs/>
                <w:sz w:val="16"/>
                <w:szCs w:val="16"/>
              </w:rPr>
            </w:pPr>
            <w:r w:rsidRPr="00D20125">
              <w:rPr>
                <w:rFonts w:ascii="Arial" w:eastAsia="Times New Roman" w:hAnsi="Arial" w:cs="Traditional Arabic"/>
                <w:b/>
                <w:bCs/>
                <w:sz w:val="16"/>
                <w:szCs w:val="16"/>
              </w:rPr>
              <w:t>Div./Dept.</w:t>
            </w:r>
          </w:p>
        </w:tc>
        <w:tc>
          <w:tcPr>
            <w:tcW w:w="3263" w:type="dxa"/>
          </w:tcPr>
          <w:p w14:paraId="01A74B01"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r>
      <w:tr w:rsidR="00D20125" w:rsidRPr="00D20125" w14:paraId="28DE5C07" w14:textId="77777777" w:rsidTr="007C7FA6">
        <w:trPr>
          <w:cantSplit/>
        </w:trPr>
        <w:tc>
          <w:tcPr>
            <w:tcW w:w="1517" w:type="dxa"/>
            <w:gridSpan w:val="2"/>
            <w:tcBorders>
              <w:bottom w:val="single" w:sz="12" w:space="0" w:color="auto"/>
            </w:tcBorders>
            <w:shd w:val="clear" w:color="auto" w:fill="D9D9D9"/>
          </w:tcPr>
          <w:p w14:paraId="1B819960" w14:textId="77777777" w:rsidR="00D20125" w:rsidRPr="00D20125" w:rsidRDefault="00D20125" w:rsidP="00D20125">
            <w:pPr>
              <w:keepNext/>
              <w:spacing w:before="60" w:after="60" w:line="240" w:lineRule="auto"/>
              <w:rPr>
                <w:rFonts w:ascii="Arial" w:eastAsia="Times New Roman" w:hAnsi="Arial" w:cs="Traditional Arabic"/>
                <w:b/>
                <w:bCs/>
                <w:sz w:val="16"/>
                <w:szCs w:val="16"/>
              </w:rPr>
            </w:pPr>
            <w:r w:rsidRPr="00D20125">
              <w:rPr>
                <w:rFonts w:ascii="Arial" w:eastAsia="Times New Roman" w:hAnsi="Arial" w:cs="Traditional Arabic"/>
                <w:b/>
                <w:bCs/>
                <w:sz w:val="16"/>
                <w:szCs w:val="16"/>
              </w:rPr>
              <w:t>Head of ITG</w:t>
            </w:r>
          </w:p>
        </w:tc>
        <w:tc>
          <w:tcPr>
            <w:tcW w:w="3160" w:type="dxa"/>
            <w:gridSpan w:val="2"/>
            <w:tcBorders>
              <w:bottom w:val="single" w:sz="12" w:space="0" w:color="auto"/>
            </w:tcBorders>
          </w:tcPr>
          <w:p w14:paraId="55E5B713"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997" w:type="dxa"/>
            <w:gridSpan w:val="2"/>
            <w:tcBorders>
              <w:bottom w:val="single" w:sz="12" w:space="0" w:color="auto"/>
            </w:tcBorders>
          </w:tcPr>
          <w:p w14:paraId="68AD4920" w14:textId="77777777" w:rsidR="00D20125" w:rsidRPr="00D20125" w:rsidRDefault="00D20125" w:rsidP="00D20125">
            <w:pPr>
              <w:keepNext/>
              <w:spacing w:before="60" w:after="60" w:line="240" w:lineRule="auto"/>
              <w:rPr>
                <w:rFonts w:ascii="Arial" w:eastAsia="Times New Roman" w:hAnsi="Arial" w:cs="Traditional Arabic"/>
                <w:b/>
                <w:bCs/>
                <w:sz w:val="16"/>
                <w:szCs w:val="16"/>
              </w:rPr>
            </w:pPr>
            <w:r w:rsidRPr="00D20125">
              <w:rPr>
                <w:rFonts w:ascii="Arial" w:eastAsia="Times New Roman" w:hAnsi="Arial" w:cs="Traditional Arabic"/>
                <w:b/>
                <w:bCs/>
                <w:sz w:val="16"/>
                <w:szCs w:val="16"/>
              </w:rPr>
              <w:t>Sponsor</w:t>
            </w:r>
          </w:p>
        </w:tc>
        <w:tc>
          <w:tcPr>
            <w:tcW w:w="3263" w:type="dxa"/>
            <w:tcBorders>
              <w:bottom w:val="single" w:sz="12" w:space="0" w:color="auto"/>
            </w:tcBorders>
          </w:tcPr>
          <w:p w14:paraId="5ADB4476"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r>
      <w:tr w:rsidR="00D20125" w:rsidRPr="00D20125" w14:paraId="6227BE48" w14:textId="77777777" w:rsidTr="007C7FA6">
        <w:trPr>
          <w:cantSplit/>
        </w:trPr>
        <w:tc>
          <w:tcPr>
            <w:tcW w:w="8937" w:type="dxa"/>
            <w:gridSpan w:val="7"/>
            <w:tcBorders>
              <w:top w:val="single" w:sz="12" w:space="0" w:color="auto"/>
              <w:bottom w:val="single" w:sz="12" w:space="0" w:color="auto"/>
            </w:tcBorders>
            <w:shd w:val="clear" w:color="auto" w:fill="D9D9D9"/>
          </w:tcPr>
          <w:p w14:paraId="757D475D" w14:textId="77777777" w:rsidR="00D20125" w:rsidRPr="00D20125" w:rsidRDefault="00D20125" w:rsidP="00D20125">
            <w:pPr>
              <w:keepNext/>
              <w:spacing w:before="60" w:after="60" w:line="240" w:lineRule="auto"/>
              <w:jc w:val="center"/>
              <w:rPr>
                <w:rFonts w:ascii="Arial" w:eastAsia="Times New Roman" w:hAnsi="Arial" w:cs="Traditional Arabic"/>
                <w:b/>
                <w:bCs/>
                <w:sz w:val="16"/>
                <w:szCs w:val="16"/>
              </w:rPr>
            </w:pPr>
            <w:r w:rsidRPr="00D20125">
              <w:rPr>
                <w:rFonts w:ascii="Arial" w:eastAsia="Times New Roman" w:hAnsi="Arial" w:cs="Traditional Arabic"/>
                <w:b/>
                <w:bCs/>
                <w:sz w:val="16"/>
                <w:szCs w:val="16"/>
              </w:rPr>
              <w:t>Version Control</w:t>
            </w:r>
          </w:p>
        </w:tc>
      </w:tr>
      <w:tr w:rsidR="00D20125" w:rsidRPr="00D20125" w14:paraId="36A0347B" w14:textId="77777777" w:rsidTr="007C7FA6">
        <w:trPr>
          <w:cantSplit/>
        </w:trPr>
        <w:tc>
          <w:tcPr>
            <w:tcW w:w="850" w:type="dxa"/>
            <w:tcBorders>
              <w:top w:val="single" w:sz="12" w:space="0" w:color="auto"/>
              <w:bottom w:val="single" w:sz="8" w:space="0" w:color="auto"/>
              <w:right w:val="single" w:sz="2" w:space="0" w:color="auto"/>
            </w:tcBorders>
            <w:shd w:val="clear" w:color="auto" w:fill="E0E0E0"/>
          </w:tcPr>
          <w:p w14:paraId="29BBC7F8" w14:textId="77777777" w:rsidR="00D20125" w:rsidRPr="00D20125" w:rsidRDefault="00D20125" w:rsidP="00D20125">
            <w:pPr>
              <w:keepNext/>
              <w:spacing w:before="60" w:after="60" w:line="240" w:lineRule="auto"/>
              <w:rPr>
                <w:rFonts w:ascii="Arial" w:eastAsia="Times New Roman" w:hAnsi="Arial" w:cs="Traditional Arabic"/>
                <w:sz w:val="16"/>
                <w:szCs w:val="16"/>
              </w:rPr>
            </w:pPr>
            <w:r w:rsidRPr="00D20125">
              <w:rPr>
                <w:rFonts w:ascii="Arial" w:eastAsia="Times New Roman" w:hAnsi="Arial" w:cs="Traditional Arabic"/>
                <w:sz w:val="16"/>
                <w:szCs w:val="16"/>
              </w:rPr>
              <w:t>Version #</w:t>
            </w:r>
          </w:p>
        </w:tc>
        <w:tc>
          <w:tcPr>
            <w:tcW w:w="1985" w:type="dxa"/>
            <w:gridSpan w:val="2"/>
            <w:tcBorders>
              <w:top w:val="single" w:sz="12" w:space="0" w:color="auto"/>
              <w:left w:val="single" w:sz="2" w:space="0" w:color="auto"/>
              <w:bottom w:val="single" w:sz="8" w:space="0" w:color="auto"/>
              <w:right w:val="single" w:sz="2" w:space="0" w:color="auto"/>
            </w:tcBorders>
            <w:shd w:val="clear" w:color="auto" w:fill="E0E0E0"/>
          </w:tcPr>
          <w:p w14:paraId="23F33995" w14:textId="77777777" w:rsidR="00D20125" w:rsidRPr="00D20125" w:rsidRDefault="00D20125" w:rsidP="00D20125">
            <w:pPr>
              <w:keepNext/>
              <w:spacing w:before="60" w:after="60" w:line="240" w:lineRule="auto"/>
              <w:rPr>
                <w:rFonts w:ascii="Arial" w:eastAsia="Times New Roman" w:hAnsi="Arial" w:cs="Traditional Arabic"/>
                <w:sz w:val="16"/>
                <w:szCs w:val="16"/>
              </w:rPr>
            </w:pPr>
            <w:r w:rsidRPr="00D20125">
              <w:rPr>
                <w:rFonts w:ascii="Arial" w:eastAsia="Times New Roman" w:hAnsi="Arial" w:cs="Traditional Arabic"/>
                <w:sz w:val="16"/>
                <w:szCs w:val="16"/>
              </w:rPr>
              <w:t>Date</w:t>
            </w:r>
          </w:p>
        </w:tc>
        <w:tc>
          <w:tcPr>
            <w:tcW w:w="2551" w:type="dxa"/>
            <w:gridSpan w:val="2"/>
            <w:tcBorders>
              <w:top w:val="single" w:sz="12" w:space="0" w:color="auto"/>
              <w:left w:val="single" w:sz="2" w:space="0" w:color="auto"/>
              <w:bottom w:val="single" w:sz="8" w:space="0" w:color="auto"/>
              <w:right w:val="single" w:sz="2" w:space="0" w:color="auto"/>
            </w:tcBorders>
            <w:shd w:val="clear" w:color="auto" w:fill="E0E0E0"/>
          </w:tcPr>
          <w:p w14:paraId="44F4BD5B" w14:textId="77777777" w:rsidR="00D20125" w:rsidRPr="00D20125" w:rsidRDefault="00D20125" w:rsidP="00D20125">
            <w:pPr>
              <w:keepNext/>
              <w:spacing w:before="60" w:after="60" w:line="240" w:lineRule="auto"/>
              <w:rPr>
                <w:rFonts w:ascii="Arial" w:eastAsia="Times New Roman" w:hAnsi="Arial" w:cs="Traditional Arabic"/>
                <w:sz w:val="16"/>
                <w:szCs w:val="16"/>
              </w:rPr>
            </w:pPr>
            <w:r w:rsidRPr="00D20125">
              <w:rPr>
                <w:rFonts w:ascii="Arial" w:eastAsia="Times New Roman" w:hAnsi="Arial" w:cs="Traditional Arabic"/>
                <w:sz w:val="16"/>
                <w:szCs w:val="16"/>
              </w:rPr>
              <w:t>Author</w:t>
            </w:r>
          </w:p>
        </w:tc>
        <w:tc>
          <w:tcPr>
            <w:tcW w:w="3551" w:type="dxa"/>
            <w:gridSpan w:val="2"/>
            <w:tcBorders>
              <w:top w:val="single" w:sz="12" w:space="0" w:color="auto"/>
              <w:left w:val="single" w:sz="2" w:space="0" w:color="auto"/>
              <w:bottom w:val="single" w:sz="8" w:space="0" w:color="auto"/>
            </w:tcBorders>
            <w:shd w:val="clear" w:color="auto" w:fill="E0E0E0"/>
          </w:tcPr>
          <w:p w14:paraId="7C1116AF" w14:textId="77777777" w:rsidR="00D20125" w:rsidRPr="00D20125" w:rsidRDefault="00D20125" w:rsidP="00D20125">
            <w:pPr>
              <w:keepNext/>
              <w:spacing w:before="60" w:after="60" w:line="240" w:lineRule="auto"/>
              <w:rPr>
                <w:rFonts w:ascii="Arial" w:eastAsia="Times New Roman" w:hAnsi="Arial" w:cs="Traditional Arabic"/>
                <w:sz w:val="16"/>
                <w:szCs w:val="16"/>
              </w:rPr>
            </w:pPr>
            <w:r w:rsidRPr="00D20125">
              <w:rPr>
                <w:rFonts w:ascii="Arial" w:eastAsia="Times New Roman" w:hAnsi="Arial" w:cs="Traditional Arabic"/>
                <w:sz w:val="16"/>
                <w:szCs w:val="16"/>
              </w:rPr>
              <w:t>Change Details</w:t>
            </w:r>
          </w:p>
        </w:tc>
      </w:tr>
      <w:tr w:rsidR="00D20125" w:rsidRPr="00D20125" w14:paraId="1DF513B9" w14:textId="77777777" w:rsidTr="007C7FA6">
        <w:trPr>
          <w:cantSplit/>
        </w:trPr>
        <w:tc>
          <w:tcPr>
            <w:tcW w:w="850" w:type="dxa"/>
            <w:tcBorders>
              <w:top w:val="single" w:sz="8" w:space="0" w:color="auto"/>
              <w:bottom w:val="single" w:sz="2" w:space="0" w:color="auto"/>
              <w:right w:val="single" w:sz="2" w:space="0" w:color="auto"/>
            </w:tcBorders>
          </w:tcPr>
          <w:p w14:paraId="3B0A24BB" w14:textId="77777777" w:rsidR="00D20125" w:rsidRPr="00D20125" w:rsidRDefault="00D20125" w:rsidP="00D20125">
            <w:pPr>
              <w:keepNext/>
              <w:spacing w:before="60" w:after="60" w:line="240" w:lineRule="auto"/>
              <w:rPr>
                <w:rFonts w:ascii="Arial" w:eastAsia="Times New Roman" w:hAnsi="Arial" w:cs="Traditional Arabic"/>
                <w:sz w:val="16"/>
                <w:szCs w:val="16"/>
              </w:rPr>
            </w:pPr>
            <w:r w:rsidRPr="00D20125">
              <w:rPr>
                <w:rFonts w:ascii="Arial" w:eastAsia="Times New Roman" w:hAnsi="Arial" w:cs="Traditional Arabic"/>
                <w:sz w:val="16"/>
                <w:szCs w:val="16"/>
              </w:rPr>
              <w:t>1.0</w:t>
            </w:r>
          </w:p>
        </w:tc>
        <w:tc>
          <w:tcPr>
            <w:tcW w:w="1985" w:type="dxa"/>
            <w:gridSpan w:val="2"/>
            <w:tcBorders>
              <w:top w:val="single" w:sz="8" w:space="0" w:color="auto"/>
              <w:left w:val="single" w:sz="2" w:space="0" w:color="auto"/>
              <w:bottom w:val="single" w:sz="2" w:space="0" w:color="auto"/>
              <w:right w:val="single" w:sz="2" w:space="0" w:color="auto"/>
            </w:tcBorders>
          </w:tcPr>
          <w:p w14:paraId="0F2FEFCE" w14:textId="77777777" w:rsidR="00D20125" w:rsidRPr="00D20125" w:rsidRDefault="00D20125" w:rsidP="00D20125">
            <w:pPr>
              <w:keepNext/>
              <w:spacing w:before="60" w:after="60" w:line="240" w:lineRule="auto"/>
              <w:rPr>
                <w:rFonts w:ascii="Arial" w:eastAsia="Times New Roman" w:hAnsi="Arial" w:cs="Traditional Arabic"/>
                <w:sz w:val="16"/>
                <w:szCs w:val="16"/>
              </w:rPr>
            </w:pPr>
            <w:r w:rsidRPr="00D20125">
              <w:rPr>
                <w:rFonts w:ascii="Arial" w:eastAsia="Times New Roman" w:hAnsi="Arial" w:cs="Traditional Arabic"/>
                <w:sz w:val="16"/>
                <w:szCs w:val="16"/>
              </w:rPr>
              <w:t xml:space="preserve">10 September 2026</w:t>
            </w:r>
          </w:p>
        </w:tc>
        <w:tc>
          <w:tcPr>
            <w:tcW w:w="2551" w:type="dxa"/>
            <w:gridSpan w:val="2"/>
            <w:tcBorders>
              <w:top w:val="single" w:sz="8" w:space="0" w:color="auto"/>
              <w:left w:val="single" w:sz="2" w:space="0" w:color="auto"/>
              <w:bottom w:val="single" w:sz="2" w:space="0" w:color="auto"/>
              <w:right w:val="single" w:sz="2" w:space="0" w:color="auto"/>
            </w:tcBorders>
          </w:tcPr>
          <w:p w14:paraId="3D0F6B75" w14:textId="77777777" w:rsidR="00D20125" w:rsidRPr="00D20125" w:rsidRDefault="00D20125" w:rsidP="00D20125">
            <w:pPr>
              <w:keepNext/>
              <w:spacing w:before="60" w:after="60" w:line="240" w:lineRule="auto"/>
              <w:rPr>
                <w:rFonts w:ascii="Arial" w:eastAsia="Times New Roman" w:hAnsi="Arial" w:cs="Traditional Arabic"/>
                <w:sz w:val="16"/>
                <w:szCs w:val="16"/>
              </w:rPr>
            </w:pPr>
            <w:r w:rsidRPr="00D20125">
              <w:rPr>
                <w:rFonts w:ascii="Arial" w:eastAsia="Times New Roman" w:hAnsi="Arial" w:cs="Traditional Arabic"/>
                <w:sz w:val="16"/>
                <w:szCs w:val="16"/>
              </w:rPr>
              <w:t>Manish Kumar</w:t>
            </w:r>
          </w:p>
        </w:tc>
        <w:tc>
          <w:tcPr>
            <w:tcW w:w="3551" w:type="dxa"/>
            <w:gridSpan w:val="2"/>
            <w:tcBorders>
              <w:top w:val="single" w:sz="8" w:space="0" w:color="auto"/>
              <w:left w:val="single" w:sz="2" w:space="0" w:color="auto"/>
              <w:bottom w:val="single" w:sz="2" w:space="0" w:color="auto"/>
            </w:tcBorders>
          </w:tcPr>
          <w:p w14:paraId="139A3522" w14:textId="77777777" w:rsidR="00D20125" w:rsidRPr="00D20125" w:rsidRDefault="00D20125" w:rsidP="00D20125">
            <w:pPr>
              <w:keepNext/>
              <w:spacing w:before="60" w:after="60" w:line="240" w:lineRule="auto"/>
              <w:rPr>
                <w:rFonts w:ascii="Arial" w:eastAsia="Times New Roman" w:hAnsi="Arial" w:cs="Traditional Arabic"/>
                <w:sz w:val="16"/>
                <w:szCs w:val="16"/>
              </w:rPr>
            </w:pPr>
            <w:r w:rsidRPr="00D20125">
              <w:rPr>
                <w:rFonts w:ascii="Arial" w:eastAsia="Times New Roman" w:hAnsi="Arial" w:cs="Traditional Arabic"/>
                <w:sz w:val="16"/>
                <w:szCs w:val="16"/>
              </w:rPr>
              <w:t xml:space="preserve">Initial issue - design specification for the CSD enquiry revamp</w:t>
            </w:r>
          </w:p>
        </w:tc>
      </w:tr>
      <w:tr w:rsidR="00D20125" w:rsidRPr="00D20125" w14:paraId="1F7C90AA" w14:textId="77777777" w:rsidTr="007C7FA6">
        <w:trPr>
          <w:cantSplit/>
        </w:trPr>
        <w:tc>
          <w:tcPr>
            <w:tcW w:w="850" w:type="dxa"/>
            <w:tcBorders>
              <w:top w:val="single" w:sz="2" w:space="0" w:color="auto"/>
              <w:bottom w:val="single" w:sz="2" w:space="0" w:color="auto"/>
              <w:right w:val="single" w:sz="2" w:space="0" w:color="auto"/>
            </w:tcBorders>
          </w:tcPr>
          <w:p w14:paraId="5E0266CA"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1985" w:type="dxa"/>
            <w:gridSpan w:val="2"/>
            <w:tcBorders>
              <w:top w:val="single" w:sz="2" w:space="0" w:color="auto"/>
              <w:left w:val="single" w:sz="2" w:space="0" w:color="auto"/>
              <w:bottom w:val="single" w:sz="2" w:space="0" w:color="auto"/>
              <w:right w:val="single" w:sz="2" w:space="0" w:color="auto"/>
            </w:tcBorders>
          </w:tcPr>
          <w:p w14:paraId="1D2E3145"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2551" w:type="dxa"/>
            <w:gridSpan w:val="2"/>
            <w:tcBorders>
              <w:top w:val="single" w:sz="2" w:space="0" w:color="auto"/>
              <w:left w:val="single" w:sz="2" w:space="0" w:color="auto"/>
              <w:bottom w:val="single" w:sz="2" w:space="0" w:color="auto"/>
              <w:right w:val="single" w:sz="2" w:space="0" w:color="auto"/>
            </w:tcBorders>
          </w:tcPr>
          <w:p w14:paraId="1024EE66"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3551" w:type="dxa"/>
            <w:gridSpan w:val="2"/>
            <w:tcBorders>
              <w:top w:val="single" w:sz="2" w:space="0" w:color="auto"/>
              <w:left w:val="single" w:sz="2" w:space="0" w:color="auto"/>
              <w:bottom w:val="single" w:sz="2" w:space="0" w:color="auto"/>
            </w:tcBorders>
          </w:tcPr>
          <w:p w14:paraId="73DA79B9"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r>
      <w:tr w:rsidR="00D20125" w:rsidRPr="00D20125" w14:paraId="0EE87519" w14:textId="77777777" w:rsidTr="007C7FA6">
        <w:trPr>
          <w:cantSplit/>
        </w:trPr>
        <w:tc>
          <w:tcPr>
            <w:tcW w:w="850" w:type="dxa"/>
            <w:tcBorders>
              <w:top w:val="single" w:sz="2" w:space="0" w:color="auto"/>
              <w:bottom w:val="single" w:sz="2" w:space="0" w:color="auto"/>
              <w:right w:val="single" w:sz="2" w:space="0" w:color="auto"/>
            </w:tcBorders>
          </w:tcPr>
          <w:p w14:paraId="08C69750"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1985" w:type="dxa"/>
            <w:gridSpan w:val="2"/>
            <w:tcBorders>
              <w:top w:val="single" w:sz="2" w:space="0" w:color="auto"/>
              <w:left w:val="single" w:sz="2" w:space="0" w:color="auto"/>
              <w:bottom w:val="single" w:sz="2" w:space="0" w:color="auto"/>
              <w:right w:val="single" w:sz="2" w:space="0" w:color="auto"/>
            </w:tcBorders>
          </w:tcPr>
          <w:p w14:paraId="45A78B77"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2551" w:type="dxa"/>
            <w:gridSpan w:val="2"/>
            <w:tcBorders>
              <w:top w:val="single" w:sz="2" w:space="0" w:color="auto"/>
              <w:left w:val="single" w:sz="2" w:space="0" w:color="auto"/>
              <w:bottom w:val="single" w:sz="2" w:space="0" w:color="auto"/>
              <w:right w:val="single" w:sz="2" w:space="0" w:color="auto"/>
            </w:tcBorders>
          </w:tcPr>
          <w:p w14:paraId="479E1EEF"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3551" w:type="dxa"/>
            <w:gridSpan w:val="2"/>
            <w:tcBorders>
              <w:top w:val="single" w:sz="2" w:space="0" w:color="auto"/>
              <w:left w:val="single" w:sz="2" w:space="0" w:color="auto"/>
              <w:bottom w:val="single" w:sz="2" w:space="0" w:color="auto"/>
            </w:tcBorders>
          </w:tcPr>
          <w:p w14:paraId="18159456"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r>
      <w:tr w:rsidR="00D20125" w:rsidRPr="00D20125" w14:paraId="3AC3106B" w14:textId="77777777" w:rsidTr="007C7FA6">
        <w:trPr>
          <w:cantSplit/>
        </w:trPr>
        <w:tc>
          <w:tcPr>
            <w:tcW w:w="850" w:type="dxa"/>
            <w:tcBorders>
              <w:top w:val="single" w:sz="2" w:space="0" w:color="auto"/>
              <w:bottom w:val="single" w:sz="2" w:space="0" w:color="auto"/>
              <w:right w:val="single" w:sz="2" w:space="0" w:color="auto"/>
            </w:tcBorders>
          </w:tcPr>
          <w:p w14:paraId="06E0E8FF"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1985" w:type="dxa"/>
            <w:gridSpan w:val="2"/>
            <w:tcBorders>
              <w:top w:val="single" w:sz="2" w:space="0" w:color="auto"/>
              <w:left w:val="single" w:sz="2" w:space="0" w:color="auto"/>
              <w:bottom w:val="single" w:sz="2" w:space="0" w:color="auto"/>
              <w:right w:val="single" w:sz="2" w:space="0" w:color="auto"/>
            </w:tcBorders>
          </w:tcPr>
          <w:p w14:paraId="7D5738DA"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2551" w:type="dxa"/>
            <w:gridSpan w:val="2"/>
            <w:tcBorders>
              <w:top w:val="single" w:sz="2" w:space="0" w:color="auto"/>
              <w:left w:val="single" w:sz="2" w:space="0" w:color="auto"/>
              <w:bottom w:val="single" w:sz="2" w:space="0" w:color="auto"/>
              <w:right w:val="single" w:sz="2" w:space="0" w:color="auto"/>
            </w:tcBorders>
          </w:tcPr>
          <w:p w14:paraId="162D0892"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3551" w:type="dxa"/>
            <w:gridSpan w:val="2"/>
            <w:tcBorders>
              <w:top w:val="single" w:sz="2" w:space="0" w:color="auto"/>
              <w:left w:val="single" w:sz="2" w:space="0" w:color="auto"/>
              <w:bottom w:val="single" w:sz="2" w:space="0" w:color="auto"/>
            </w:tcBorders>
          </w:tcPr>
          <w:p w14:paraId="58AE88CD"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r>
      <w:tr w:rsidR="00D20125" w:rsidRPr="00D20125" w14:paraId="53E78A77" w14:textId="77777777" w:rsidTr="007C7FA6">
        <w:trPr>
          <w:cantSplit/>
        </w:trPr>
        <w:tc>
          <w:tcPr>
            <w:tcW w:w="850" w:type="dxa"/>
            <w:tcBorders>
              <w:top w:val="single" w:sz="2" w:space="0" w:color="auto"/>
              <w:bottom w:val="single" w:sz="2" w:space="0" w:color="auto"/>
              <w:right w:val="single" w:sz="2" w:space="0" w:color="auto"/>
            </w:tcBorders>
          </w:tcPr>
          <w:p w14:paraId="68599A95"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1985" w:type="dxa"/>
            <w:gridSpan w:val="2"/>
            <w:tcBorders>
              <w:top w:val="single" w:sz="2" w:space="0" w:color="auto"/>
              <w:left w:val="single" w:sz="2" w:space="0" w:color="auto"/>
              <w:bottom w:val="single" w:sz="2" w:space="0" w:color="auto"/>
              <w:right w:val="single" w:sz="2" w:space="0" w:color="auto"/>
            </w:tcBorders>
          </w:tcPr>
          <w:p w14:paraId="508C2B6E"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2551" w:type="dxa"/>
            <w:gridSpan w:val="2"/>
            <w:tcBorders>
              <w:top w:val="single" w:sz="2" w:space="0" w:color="auto"/>
              <w:left w:val="single" w:sz="2" w:space="0" w:color="auto"/>
              <w:bottom w:val="single" w:sz="2" w:space="0" w:color="auto"/>
              <w:right w:val="single" w:sz="2" w:space="0" w:color="auto"/>
            </w:tcBorders>
          </w:tcPr>
          <w:p w14:paraId="2C6B0AFB"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3551" w:type="dxa"/>
            <w:gridSpan w:val="2"/>
            <w:tcBorders>
              <w:top w:val="single" w:sz="2" w:space="0" w:color="auto"/>
              <w:left w:val="single" w:sz="2" w:space="0" w:color="auto"/>
              <w:bottom w:val="single" w:sz="2" w:space="0" w:color="auto"/>
            </w:tcBorders>
          </w:tcPr>
          <w:p w14:paraId="219107DE"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r>
      <w:tr w:rsidR="00D20125" w:rsidRPr="00D20125" w14:paraId="7427E059" w14:textId="77777777" w:rsidTr="007C7FA6">
        <w:trPr>
          <w:cantSplit/>
        </w:trPr>
        <w:tc>
          <w:tcPr>
            <w:tcW w:w="850" w:type="dxa"/>
            <w:tcBorders>
              <w:top w:val="single" w:sz="2" w:space="0" w:color="auto"/>
              <w:bottom w:val="single" w:sz="12" w:space="0" w:color="auto"/>
              <w:right w:val="single" w:sz="2" w:space="0" w:color="auto"/>
            </w:tcBorders>
          </w:tcPr>
          <w:p w14:paraId="74B7E79F"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1985" w:type="dxa"/>
            <w:gridSpan w:val="2"/>
            <w:tcBorders>
              <w:top w:val="single" w:sz="2" w:space="0" w:color="auto"/>
              <w:left w:val="single" w:sz="2" w:space="0" w:color="auto"/>
              <w:bottom w:val="single" w:sz="12" w:space="0" w:color="auto"/>
              <w:right w:val="single" w:sz="2" w:space="0" w:color="auto"/>
            </w:tcBorders>
          </w:tcPr>
          <w:p w14:paraId="4E3DAA49"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2551" w:type="dxa"/>
            <w:gridSpan w:val="2"/>
            <w:tcBorders>
              <w:top w:val="single" w:sz="2" w:space="0" w:color="auto"/>
              <w:left w:val="single" w:sz="2" w:space="0" w:color="auto"/>
              <w:bottom w:val="single" w:sz="12" w:space="0" w:color="auto"/>
              <w:right w:val="single" w:sz="2" w:space="0" w:color="auto"/>
            </w:tcBorders>
          </w:tcPr>
          <w:p w14:paraId="2EBA7F2C"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c>
          <w:tcPr>
            <w:tcW w:w="3551" w:type="dxa"/>
            <w:gridSpan w:val="2"/>
            <w:tcBorders>
              <w:top w:val="single" w:sz="2" w:space="0" w:color="auto"/>
              <w:left w:val="single" w:sz="2" w:space="0" w:color="auto"/>
              <w:bottom w:val="single" w:sz="12" w:space="0" w:color="auto"/>
            </w:tcBorders>
          </w:tcPr>
          <w:p w14:paraId="43AD8DDB"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r>
      <w:tr w:rsidR="00D20125" w:rsidRPr="00D20125" w14:paraId="1B5D76A5" w14:textId="77777777" w:rsidTr="007C7FA6">
        <w:trPr>
          <w:cantSplit/>
        </w:trPr>
        <w:tc>
          <w:tcPr>
            <w:tcW w:w="1517" w:type="dxa"/>
            <w:gridSpan w:val="2"/>
            <w:tcBorders>
              <w:top w:val="single" w:sz="12" w:space="0" w:color="auto"/>
              <w:bottom w:val="single" w:sz="12" w:space="0" w:color="auto"/>
            </w:tcBorders>
          </w:tcPr>
          <w:p w14:paraId="38D6B5B6" w14:textId="77777777" w:rsidR="00D20125" w:rsidRPr="00D20125" w:rsidRDefault="00D20125" w:rsidP="00D20125">
            <w:pPr>
              <w:keepNext/>
              <w:spacing w:before="60" w:after="60" w:line="240" w:lineRule="auto"/>
              <w:rPr>
                <w:rFonts w:ascii="Arial" w:eastAsia="Times New Roman" w:hAnsi="Arial" w:cs="Traditional Arabic"/>
                <w:b/>
                <w:bCs/>
                <w:sz w:val="16"/>
                <w:szCs w:val="16"/>
              </w:rPr>
            </w:pPr>
            <w:r w:rsidRPr="00D20125">
              <w:rPr>
                <w:rFonts w:ascii="Arial" w:eastAsia="Times New Roman" w:hAnsi="Arial" w:cs="Traditional Arabic"/>
                <w:b/>
                <w:bCs/>
                <w:sz w:val="16"/>
                <w:szCs w:val="16"/>
              </w:rPr>
              <w:t xml:space="preserve">Document id </w:t>
            </w:r>
          </w:p>
        </w:tc>
        <w:tc>
          <w:tcPr>
            <w:tcW w:w="7420" w:type="dxa"/>
            <w:gridSpan w:val="5"/>
            <w:tcBorders>
              <w:top w:val="single" w:sz="12" w:space="0" w:color="auto"/>
              <w:bottom w:val="single" w:sz="12" w:space="0" w:color="auto"/>
            </w:tcBorders>
          </w:tcPr>
          <w:p w14:paraId="2005D8DE" w14:textId="4F45FB7A" w:rsidR="00D20125" w:rsidRPr="00D20125" w:rsidRDefault="00D20125" w:rsidP="00D20125">
            <w:pPr>
              <w:keepNext/>
              <w:spacing w:before="60" w:after="60" w:line="240" w:lineRule="auto"/>
              <w:rPr>
                <w:rFonts w:ascii="Arial" w:eastAsia="Times New Roman" w:hAnsi="Arial" w:cs="Traditional Arabic"/>
                <w:sz w:val="16"/>
                <w:szCs w:val="16"/>
              </w:rPr>
            </w:pPr>
            <w:r w:rsidRPr="00D20125">
              <w:rPr>
                <w:rFonts w:ascii="Arial" w:eastAsia="Times New Roman" w:hAnsi="Arial" w:cs="Traditional Arabic"/>
                <w:sz w:val="16"/>
                <w:szCs w:val="16"/>
              </w:rPr>
              <w:fldChar w:fldCharType="begin"/>
            </w:r>
            <w:r w:rsidRPr="00D20125">
              <w:rPr>
                <w:rFonts w:ascii="Arial" w:eastAsia="Times New Roman" w:hAnsi="Arial" w:cs="Traditional Arabic"/>
                <w:sz w:val="16"/>
                <w:szCs w:val="16"/>
              </w:rPr>
              <w:instrText xml:space="preserve"> STYLEREF \l"Main Style" </w:instrText>
            </w:r>
            <w:r w:rsidRPr="00D20125">
              <w:rPr>
                <w:rFonts w:ascii="Arial" w:eastAsia="Times New Roman" w:hAnsi="Arial" w:cs="Traditional Arabic"/>
                <w:sz w:val="16"/>
                <w:szCs w:val="16"/>
              </w:rPr>
              <w:fldChar w:fldCharType="separate"/>
            </w:r>
            <w:r w:rsidRPr="00D20125">
              <w:rPr>
                <w:rFonts w:ascii="Arial" w:eastAsia="Times New Roman" w:hAnsi="Arial" w:cs="Traditional Arabic"/>
                <w:noProof/>
                <w:sz w:val="16"/>
                <w:szCs w:val="16"/>
              </w:rPr>
              <w:t>Design Specification</w:t>
            </w:r>
            <w:r w:rsidRPr="00D20125">
              <w:rPr>
                <w:rFonts w:ascii="Arial" w:eastAsia="Times New Roman" w:hAnsi="Arial" w:cs="Traditional Arabic"/>
                <w:sz w:val="16"/>
                <w:szCs w:val="16"/>
              </w:rPr>
              <w:fldChar w:fldCharType="end"/>
            </w:r>
            <w:r w:rsidRPr="00D20125">
              <w:rPr>
                <w:rFonts w:ascii="Arial" w:eastAsia="Times New Roman" w:hAnsi="Arial" w:cs="Traditional Arabic"/>
                <w:sz w:val="16"/>
                <w:szCs w:val="16"/>
              </w:rPr>
              <w:t xml:space="preserve"> </w:t>
            </w:r>
          </w:p>
        </w:tc>
      </w:tr>
      <w:tr w:rsidR="00D20125" w:rsidRPr="00D20125" w14:paraId="67E8ADDD" w14:textId="77777777" w:rsidTr="007C7FA6">
        <w:trPr>
          <w:cantSplit/>
        </w:trPr>
        <w:tc>
          <w:tcPr>
            <w:tcW w:w="1517" w:type="dxa"/>
            <w:gridSpan w:val="2"/>
            <w:tcBorders>
              <w:top w:val="single" w:sz="12" w:space="0" w:color="auto"/>
              <w:bottom w:val="single" w:sz="12" w:space="0" w:color="auto"/>
              <w:right w:val="nil"/>
            </w:tcBorders>
          </w:tcPr>
          <w:p w14:paraId="6B9D620B" w14:textId="77777777" w:rsidR="00D20125" w:rsidRPr="00D20125" w:rsidRDefault="00D20125" w:rsidP="00D20125">
            <w:pPr>
              <w:keepNext/>
              <w:spacing w:before="60" w:after="60" w:line="240" w:lineRule="auto"/>
              <w:rPr>
                <w:rFonts w:ascii="Arial" w:eastAsia="Times New Roman" w:hAnsi="Arial" w:cs="Traditional Arabic"/>
                <w:b/>
                <w:bCs/>
                <w:sz w:val="16"/>
                <w:szCs w:val="16"/>
              </w:rPr>
            </w:pPr>
            <w:r w:rsidRPr="00D20125">
              <w:rPr>
                <w:rFonts w:ascii="Arial" w:eastAsia="Times New Roman" w:hAnsi="Arial" w:cs="Traditional Arabic"/>
                <w:b/>
                <w:bCs/>
                <w:sz w:val="16"/>
                <w:szCs w:val="16"/>
              </w:rPr>
              <w:t>General Remarks</w:t>
            </w:r>
          </w:p>
        </w:tc>
        <w:tc>
          <w:tcPr>
            <w:tcW w:w="7420" w:type="dxa"/>
            <w:gridSpan w:val="5"/>
            <w:tcBorders>
              <w:top w:val="single" w:sz="12" w:space="0" w:color="auto"/>
              <w:bottom w:val="single" w:sz="12" w:space="0" w:color="auto"/>
            </w:tcBorders>
          </w:tcPr>
          <w:p w14:paraId="0FC7327D" w14:textId="77777777" w:rsidR="00D20125" w:rsidRPr="00D20125" w:rsidRDefault="00D20125" w:rsidP="00D20125">
            <w:pPr>
              <w:keepNext/>
              <w:spacing w:before="60" w:after="60" w:line="240" w:lineRule="auto"/>
              <w:rPr>
                <w:rFonts w:ascii="Arial" w:eastAsia="Times New Roman" w:hAnsi="Arial" w:cs="Traditional Arabic"/>
                <w:sz w:val="16"/>
                <w:szCs w:val="16"/>
              </w:rPr>
            </w:pPr>
          </w:p>
        </w:tc>
      </w:tr>
    </w:tbl>
    <w:p>
      <w:pPr>
        <w:spacing w:before="60" w:after="120" w:line="240" w:lineRule="auto"/>
        <w:ind w:left="992"/>
        <w:jc w:val="lowKashida"/>
        <w:rPr>
          <w:rFonts w:ascii="Times New Roman" w:eastAsia="Times New Roman" w:hAnsi="Times New Roman" w:cs="Traditional Arabic"/>
          <w:sz w:val="24"/>
          <w:szCs w:val="24"/>
        </w:rPr>
      </w:pPr>
    </w:p>
    <w:sectPr w:rsidR="00E12D85" w:rsidRPr="00D20125" w:rsidSect="001C7A0D">
      <w:headerReference w:type="default" r:id="rId13"/>
      <w:pgSz w:w="11909" w:h="16834" w:code="9"/>
      <w:pgMar w:top="1440" w:right="852" w:bottom="1440" w:left="988" w:header="720" w:footer="720" w:gutter="28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EC7D9" w14:textId="77777777" w:rsidR="00D20125" w:rsidRDefault="00D20125" w:rsidP="00D20125">
      <w:pPr>
        <w:spacing w:after="0" w:line="240" w:lineRule="auto"/>
      </w:pPr>
      <w:r>
        <w:separator/>
      </w:r>
    </w:p>
  </w:endnote>
  <w:endnote w:type="continuationSeparator" w:id="0">
    <w:p w14:paraId="79FA649A" w14:textId="77777777" w:rsidR="00D20125" w:rsidRDefault="00D20125" w:rsidP="00D20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C13F0" w14:textId="77777777" w:rsidR="00D20125" w:rsidRDefault="00D201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085FF" w14:textId="74757BDC" w:rsidR="004F531F" w:rsidRDefault="00D20125" w:rsidP="00A64D77">
    <w:pPr>
      <w:pStyle w:val="Footer"/>
    </w:pPr>
    <w:r>
      <w:rPr>
        <w:noProof/>
      </w:rPr>
      <mc:AlternateContent>
        <mc:Choice Requires="wps">
          <w:drawing>
            <wp:anchor distT="0" distB="0" distL="114300" distR="114300" simplePos="0" relativeHeight="251661312" behindDoc="0" locked="0" layoutInCell="1" allowOverlap="1" wp14:anchorId="20880458" wp14:editId="6FA3A81E">
              <wp:simplePos x="0" y="0"/>
              <wp:positionH relativeFrom="column">
                <wp:posOffset>-810260</wp:posOffset>
              </wp:positionH>
              <wp:positionV relativeFrom="paragraph">
                <wp:posOffset>367030</wp:posOffset>
              </wp:positionV>
              <wp:extent cx="7562215" cy="444500"/>
              <wp:effectExtent l="0" t="0" r="0" b="0"/>
              <wp:wrapNone/>
              <wp:docPr id="2" name="Text Box 2" title="TrellixVisuallabelFooter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215" cy="444500"/>
                      </a:xfrm>
                      <a:prstGeom prst="rect">
                        <a:avLst/>
                      </a:prstGeom>
                      <a:noFill/>
                      <a:ln w="6350">
                        <a:noFill/>
                      </a:ln>
                    </wps:spPr>
                    <wps:txbx>
                      <w:txbxContent>
                        <w:p w14:paraId="0CD7E780" w14:textId="5936D90B" w:rsidR="004F531F" w:rsidRPr="00B76A74" w:rsidRDefault="00D20125" w:rsidP="00D20125">
                          <w:pPr>
                            <w:spacing w:after="0"/>
                            <w:jc w:val="center"/>
                            <w:rPr>
                              <w:rFonts w:ascii="Calibri" w:hAnsi="Calibri" w:cs="Calibri"/>
                            </w:rPr>
                          </w:pPr>
                          <w:r>
                            <w:rPr>
                              <w:rFonts w:ascii="Calibri" w:hAnsi="Calibri" w:cs="Calibri"/>
                              <w:szCs w:val="28"/>
                            </w:rPr>
                            <w:t>This document is classified as Confidential. by ANB-PDC-CENTRAL\881149 on Thursday, September 10, 2026 4:59:51 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0880458" id="_x0000_t202" coordsize="21600,21600" o:spt="202" path="m,l,21600r21600,l21600,xe">
              <v:stroke joinstyle="miter"/>
              <v:path gradientshapeok="t" o:connecttype="rect"/>
            </v:shapetype>
            <v:shape id="Text Box 2" o:spid="_x0000_s1028" type="#_x0000_t202" alt="Title: TrellixVisuallabelFooter1" style="position:absolute;margin-left:-63.8pt;margin-top:28.9pt;width:595.45pt;height: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" filled="f" stroked="f" strokeweight=".5pt">
              <v:textbox>
                <w:txbxContent>
                  <w:p w14:paraId="0CD7E780" w14:textId="5936D90B" w:rsidR="004F531F" w:rsidRPr="00B76A74" w:rsidRDefault="00D20125" w:rsidP="00D20125">
                    <w:pPr>
                      <w:spacing w:after="0"/>
                      <w:jc w:val="center"/>
                      <w:rPr>
                        <w:rFonts w:ascii="Calibri" w:hAnsi="Calibri" w:cs="Calibri"/>
                      </w:rPr>
                    </w:pPr>
                    <w:r>
                      <w:rPr>
                        <w:rFonts w:ascii="Calibri" w:hAnsi="Calibri" w:cs="Calibri"/>
                        <w:szCs w:val="28"/>
                      </w:rPr>
                      <w:t>This document is classified as Confidential. by ANB-PDC-CENTRAL\881149 on Thursday, September 10, 2026 4:59:51 PM</w:t>
                    </w:r>
                  </w:p>
                </w:txbxContent>
              </v:textbox>
            </v:shape>
          </w:pict>
        </mc:Fallback>
      </mc:AlternateContent>
    </w:r>
    <w:r>
      <w:t>Published on: 09 September 2026</w:t>
    </w:r>
    <w:r>
      <w:tab/>
    </w:r>
    <w:r>
      <w:tab/>
      <w:t xml:space="preserve">Page </w:t>
    </w:r>
    <w:r>
      <w:rPr>
        <w:rStyle w:val="PageNumber"/>
        <w:szCs w:val="20"/>
      </w:rPr>
      <w:fldChar w:fldCharType="begin"/>
    </w:r>
    <w:r>
      <w:rPr>
        <w:rStyle w:val="PageNumber"/>
        <w:szCs w:val="20"/>
      </w:rPr>
      <w:instrText xml:space="preserve"> PAGE </w:instrText>
    </w:r>
    <w:r>
      <w:rPr>
        <w:rStyle w:val="PageNumber"/>
        <w:szCs w:val="20"/>
      </w:rPr>
      <w:fldChar w:fldCharType="separate"/>
    </w:r>
    <w:r>
      <w:rPr>
        <w:rStyle w:val="PageNumber"/>
        <w:noProof/>
        <w:szCs w:val="20"/>
      </w:rPr>
      <w:t>2</w:t>
    </w:r>
    <w:r>
      <w:rPr>
        <w:rStyle w:val="PageNumber"/>
        <w:szCs w:val="20"/>
      </w:rPr>
      <w:fldChar w:fldCharType="end"/>
    </w:r>
    <w:r>
      <w:rPr>
        <w:rStyle w:val="PageNumber"/>
        <w:szCs w:val="20"/>
      </w:rPr>
      <w:t xml:space="preserve"> of </w:t>
    </w:r>
    <w:r>
      <w:rPr>
        <w:rStyle w:val="PageNumber"/>
        <w:szCs w:val="20"/>
      </w:rPr>
      <w:fldChar w:fldCharType="begin"/>
    </w:r>
    <w:r>
      <w:rPr>
        <w:rStyle w:val="PageNumber"/>
        <w:szCs w:val="20"/>
      </w:rPr>
      <w:instrText xml:space="preserve"> NUMPAGES \* ARABIC </w:instrText>
    </w:r>
    <w:r>
      <w:rPr>
        <w:rStyle w:val="PageNumber"/>
        <w:szCs w:val="20"/>
      </w:rPr>
      <w:fldChar w:fldCharType="separate"/>
    </w:r>
    <w:r>
      <w:rPr>
        <w:rStyle w:val="PageNumber"/>
        <w:noProof/>
        <w:szCs w:val="20"/>
      </w:rPr>
      <w:t>10</w:t>
    </w:r>
    <w:r>
      <w:rPr>
        <w:rStyle w:val="PageNumber"/>
        <w:szCs w:val="20"/>
      </w:rPr>
      <w:fldChar w:fldCharType="end"/>
    </w:r>
    <w:r>
      <w:rPr>
        <w:rStyle w:val="PageNumber"/>
        <w:szCs w:val="20"/>
      </w:rP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7FF9B" w14:textId="77777777" w:rsidR="00D20125" w:rsidRDefault="00D20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AD94C" w14:textId="77777777" w:rsidR="00D20125" w:rsidRDefault="00D20125" w:rsidP="00D20125">
      <w:pPr>
        <w:spacing w:after="0" w:line="240" w:lineRule="auto"/>
      </w:pPr>
      <w:r>
        <w:separator/>
      </w:r>
    </w:p>
  </w:footnote>
  <w:footnote w:type="continuationSeparator" w:id="0">
    <w:p w14:paraId="4ABBA451" w14:textId="77777777" w:rsidR="00D20125" w:rsidRDefault="00D20125" w:rsidP="00D201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1C678" w14:textId="77777777" w:rsidR="00D20125" w:rsidRDefault="00D201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068A2" w14:textId="6665D6D7" w:rsidR="004F531F" w:rsidRDefault="00D20125" w:rsidP="00B76A74">
    <w:pPr>
      <w:pStyle w:val="Header"/>
      <w:jc w:val="right"/>
    </w:pPr>
    <w:r>
      <w:rPr>
        <w:noProof/>
      </w:rPr>
      <w:pict w14:anchorId="6BEFE7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TrellixVisuallabelWatermark1" o:spid="_x0000_s1028" type="#_x0000_t136" style="position:absolute;left:0;text-align:left;margin-left:0;margin-top:0;width:595.45pt;height:24.75pt;rotation:310;z-index:251662336;visibility:visible;mso-position-horizontal:center;mso-position-horizontal-relative:margin;mso-position-vertical:center;mso-position-vertical-relative:margin" fillcolor="#a6a6a6" stroked="f">
          <v:fill opacity=".5"/>
          <v:stroke r:id="rId1" o:title=""/>
          <v:shadow color="#868686"/>
          <v:textpath style="font-family:&quot;Calibri&quot;;font-size:20pt;v-text-kern:t" trim="t" fitpath="t" string="This document is classified as Confidential. by ANB-PDC-CENTRAL\881149 on Thursday, September 10, 2026 4:59:51 PM"/>
          <w10:wrap anchorx="margin" anchory="margin"/>
        </v:shape>
      </w:pict>
    </w:r>
    <w:r>
      <w:rPr>
        <w:noProof/>
      </w:rPr>
      <mc:AlternateContent>
        <mc:Choice Requires="wps">
          <w:drawing>
            <wp:anchor distT="0" distB="0" distL="114300" distR="114300" simplePos="0" relativeHeight="251659264" behindDoc="0" locked="0" layoutInCell="1" allowOverlap="1" wp14:anchorId="41B4FF7D" wp14:editId="5AE8EE2B">
              <wp:simplePos x="0" y="0"/>
              <wp:positionH relativeFrom="margin">
                <wp:align>center</wp:align>
              </wp:positionH>
              <wp:positionV relativeFrom="margin">
                <wp:align>center</wp:align>
              </wp:positionV>
              <wp:extent cx="7562215" cy="314325"/>
              <wp:effectExtent l="2376170" t="0" r="2348230" b="0"/>
              <wp:wrapNone/>
              <wp:docPr id="3" name="Text Box 3" descr="This document is classified as Confidential. by ANB-PDC-CENTRAL\881149 on Thursday, September 10, 2026 1:09:09 PM"/>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600000">
                        <a:off x="0" y="0"/>
                        <a:ext cx="7562215" cy="314325"/>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56BC580" w14:textId="77777777" w:rsidR="00D20125" w:rsidRDefault="00D20125" w:rsidP="00D20125">
                          <w:pPr>
                            <w:jc w:val="center"/>
                            <w:rPr>
                              <w:rFonts w:ascii="Calibri" w:eastAsia="Calibri" w:hAnsi="Calibri" w:cs="Calibri"/>
                              <w:color w:val="A6A6A6"/>
                              <w:sz w:val="40"/>
                              <w:szCs w:val="40"/>
                              <w14:textFill>
                                <w14:solidFill>
                                  <w14:srgbClr w14:val="A6A6A6">
                                    <w14:alpha w14:val="50000"/>
                                  </w14:srgbClr>
                                </w14:solidFill>
                              </w14:textFill>
                            </w:rPr>
                          </w:pPr>
                          <w:r>
                            <w:rPr>
                              <w:rFonts w:ascii="Calibri" w:eastAsia="Calibri" w:hAnsi="Calibri" w:cs="Calibri"/>
                              <w:color w:val="A6A6A6"/>
                              <w:sz w:val="40"/>
                              <w:szCs w:val="40"/>
                              <w14:textFill>
                                <w14:solidFill>
                                  <w14:srgbClr w14:val="A6A6A6">
                                    <w14:alpha w14:val="50000"/>
                                  </w14:srgbClr>
                                </w14:solidFill>
                              </w14:textFill>
                            </w:rPr>
                            <w:t>This document is classified as Confidential. by ANB-PDC-CENTRAL\881149 on Thursday, September 10, 2026 1:09:09 PM</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1B4FF7D" id="_x0000_t202" coordsize="21600,21600" o:spt="202" path="m,l,21600r21600,l21600,xe">
              <v:stroke joinstyle="miter"/>
              <v:path gradientshapeok="t" o:connecttype="rect"/>
            </v:shapetype>
            <v:shape id="Text Box 3" o:spid="_x0000_s1026" type="#_x0000_t202" alt="This document is classified as Confidential. by ANB-PDC-CENTRAL\881149 on Thursday, September 10, 2026 1:09:09 PM" style="position:absolute;left:0;text-align:left;margin-left:0;margin-top:0;width:595.45pt;height:24.75pt;rotation:-5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" filled="f" stroked="f">
              <v:stroke joinstyle="round"/>
              <o:lock v:ext="edit" shapetype="t"/>
              <v:textbox style="mso-fit-shape-to-text:t">
                <w:txbxContent>
                  <w:p w14:paraId="056BC580" w14:textId="77777777" w:rsidR="00D20125" w:rsidRDefault="00D20125" w:rsidP="00D20125">
                    <w:pPr>
                      <w:jc w:val="center"/>
                      <w:rPr>
                        <w:rFonts w:ascii="Calibri" w:eastAsia="Calibri" w:hAnsi="Calibri" w:cs="Calibri"/>
                        <w:color w:val="A6A6A6"/>
                        <w:sz w:val="40"/>
                        <w:szCs w:val="40"/>
                        <w14:textFill>
                          <w14:solidFill>
                            <w14:srgbClr w14:val="A6A6A6">
                              <w14:alpha w14:val="50000"/>
                            </w14:srgbClr>
                          </w14:solidFill>
                        </w14:textFill>
                      </w:rPr>
                    </w:pPr>
                    <w:r>
                      <w:rPr>
                        <w:rFonts w:ascii="Calibri" w:eastAsia="Calibri" w:hAnsi="Calibri" w:cs="Calibri"/>
                        <w:color w:val="A6A6A6"/>
                        <w:sz w:val="40"/>
                        <w:szCs w:val="40"/>
                        <w14:textFill>
                          <w14:solidFill>
                            <w14:srgbClr w14:val="A6A6A6">
                              <w14:alpha w14:val="50000"/>
                            </w14:srgbClr>
                          </w14:solidFill>
                        </w14:textFill>
                      </w:rPr>
                      <w:t>This document is classified as Confidential. by ANB-PDC-CENTRAL\881149 on Thursday, September 10, 2026 1:09:09 PM</w:t>
                    </w:r>
                  </w:p>
                </w:txbxContent>
              </v:textbox>
              <w10:wrap anchorx="margin" anchory="margin"/>
            </v:shape>
          </w:pict>
        </mc:Fallback>
      </mc:AlternateContent>
    </w:r>
    <w:r>
      <w:rPr>
        <w:noProof/>
      </w:rPr>
      <mc:AlternateContent>
        <mc:Choice Requires="wps">
          <w:drawing>
            <wp:anchor distT="0" distB="0" distL="114300" distR="114300" simplePos="0" relativeHeight="251660288" behindDoc="0" locked="0" layoutInCell="1" allowOverlap="1" wp14:anchorId="57BA48CF" wp14:editId="6D3799AB">
              <wp:simplePos x="0" y="0"/>
              <wp:positionH relativeFrom="column">
                <wp:posOffset>-810260</wp:posOffset>
              </wp:positionH>
              <wp:positionV relativeFrom="paragraph">
                <wp:posOffset>-457200</wp:posOffset>
              </wp:positionV>
              <wp:extent cx="7562215" cy="444500"/>
              <wp:effectExtent l="0" t="0" r="0" b="0"/>
              <wp:wrapNone/>
              <wp:docPr id="1" name="Text Box 1" title="TrellixVisuallabelHeader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215" cy="444500"/>
                      </a:xfrm>
                      <a:prstGeom prst="rect">
                        <a:avLst/>
                      </a:prstGeom>
                      <a:noFill/>
                      <a:ln w="6350">
                        <a:noFill/>
                      </a:ln>
                    </wps:spPr>
                    <wps:txbx>
                      <w:txbxContent>
                        <w:p w14:paraId="1D1B60F6" w14:textId="038B56F2" w:rsidR="004F531F" w:rsidRPr="00B76A74" w:rsidRDefault="00D20125" w:rsidP="00D20125">
                          <w:pPr>
                            <w:spacing w:after="0"/>
                            <w:jc w:val="center"/>
                            <w:rPr>
                              <w:rFonts w:ascii="Calibri" w:hAnsi="Calibri" w:cs="Calibri"/>
                            </w:rPr>
                          </w:pPr>
                          <w:r>
                            <w:rPr>
                              <w:rFonts w:ascii="Calibri" w:hAnsi="Calibri" w:cs="Calibri"/>
                              <w:szCs w:val="28"/>
                            </w:rPr>
                            <w:t>This document is classified as Confidential. by ANB-PDC-CENTRAL\881149 on Thursday, September 10, 2026 4:59:51 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7BA48CF" id="Text Box 1" o:spid="_x0000_s1027" type="#_x0000_t202" alt="Title: TrellixVisuallabelHeader1" style="position:absolute;left:0;text-align:left;margin-left:-63.8pt;margin-top:-36pt;width:595.45pt;height: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" filled="f" stroked="f" strokeweight=".5pt">
              <v:textbox>
                <w:txbxContent>
                  <w:p w14:paraId="1D1B60F6" w14:textId="038B56F2" w:rsidR="004F531F" w:rsidRPr="00B76A74" w:rsidRDefault="00D20125" w:rsidP="00D20125">
                    <w:pPr>
                      <w:spacing w:after="0"/>
                      <w:jc w:val="center"/>
                      <w:rPr>
                        <w:rFonts w:ascii="Calibri" w:hAnsi="Calibri" w:cs="Calibri"/>
                      </w:rPr>
                    </w:pPr>
                    <w:r>
                      <w:rPr>
                        <w:rFonts w:ascii="Calibri" w:hAnsi="Calibri" w:cs="Calibri"/>
                        <w:szCs w:val="28"/>
                      </w:rPr>
                      <w:t>This document is classified as Confidential. by ANB-PDC-CENTRAL\881149 on Thursday, September 10, 2026 4:59:51 PM</w:t>
                    </w:r>
                  </w:p>
                </w:txbxContent>
              </v:textbox>
            </v:shape>
          </w:pict>
        </mc:Fallback>
      </mc:AlternateContent>
    </w:r>
    <w:r>
      <w:t xml:space="preserve"> </w:t>
    </w:r>
    <w: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F1268" w14:textId="77777777" w:rsidR="00D20125" w:rsidRDefault="00D201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CF372" w14:textId="5821784A" w:rsidR="004F531F" w:rsidRDefault="00D20125" w:rsidP="00C34695">
    <w:pPr>
      <w:pStyle w:val="Header"/>
      <w:jc w:val="right"/>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38AE2C"/>
    <w:lvl w:ilvl="0">
      <w:start w:val="1"/>
      <w:numFmt w:val="decimal"/>
      <w:pStyle w:val="Heading1"/>
      <w:lvlText w:val="%1"/>
      <w:lvlJc w:val="left"/>
      <w:pPr>
        <w:tabs>
          <w:tab w:val="num" w:pos="994"/>
        </w:tabs>
        <w:ind w:left="994" w:hanging="994"/>
      </w:pPr>
      <w:rPr>
        <w:rFonts w:cs="Times New Roman" w:hint="default"/>
      </w:rPr>
    </w:lvl>
    <w:lvl w:ilvl="1">
      <w:start w:val="1"/>
      <w:numFmt w:val="decimal"/>
      <w:pStyle w:val="Heading2"/>
      <w:lvlText w:val="%1.%2"/>
      <w:lvlJc w:val="left"/>
      <w:pPr>
        <w:tabs>
          <w:tab w:val="num" w:pos="992"/>
        </w:tabs>
        <w:ind w:left="992" w:hanging="992"/>
      </w:pPr>
      <w:rPr>
        <w:rFonts w:cs="Times New Roman" w:hint="default"/>
      </w:rPr>
    </w:lvl>
    <w:lvl w:ilvl="2">
      <w:start w:val="1"/>
      <w:numFmt w:val="decimal"/>
      <w:pStyle w:val="Heading3"/>
      <w:lvlText w:val="%1.%2.%3"/>
      <w:lvlJc w:val="left"/>
      <w:pPr>
        <w:tabs>
          <w:tab w:val="num" w:pos="994"/>
        </w:tabs>
        <w:ind w:left="994" w:hanging="994"/>
      </w:pPr>
      <w:rPr>
        <w:rFonts w:cs="Times New Roman" w:hint="default"/>
      </w:rPr>
    </w:lvl>
    <w:lvl w:ilvl="3">
      <w:start w:val="1"/>
      <w:numFmt w:val="decimal"/>
      <w:pStyle w:val="Heading4"/>
      <w:lvlText w:val="%1.%2.%3.%4"/>
      <w:lvlJc w:val="left"/>
      <w:pPr>
        <w:tabs>
          <w:tab w:val="num" w:pos="994"/>
        </w:tabs>
        <w:ind w:left="994" w:hanging="994"/>
      </w:pPr>
      <w:rPr>
        <w:rFonts w:cs="Times New Roman" w:hint="default"/>
      </w:rPr>
    </w:lvl>
    <w:lvl w:ilvl="4">
      <w:start w:val="1"/>
      <w:numFmt w:val="decimal"/>
      <w:pStyle w:val="Heading5"/>
      <w:lvlText w:val="%1.%2.%3.%4.%5"/>
      <w:lvlJc w:val="left"/>
      <w:pPr>
        <w:tabs>
          <w:tab w:val="num" w:pos="1440"/>
        </w:tabs>
        <w:ind w:left="994" w:hanging="994"/>
      </w:pPr>
      <w:rPr>
        <w:rFonts w:cs="Times New Roman" w:hint="default"/>
      </w:rPr>
    </w:lvl>
    <w:lvl w:ilvl="5">
      <w:start w:val="1"/>
      <w:numFmt w:val="decimal"/>
      <w:pStyle w:val="Heading6"/>
      <w:lvlText w:val="%1.%2.%3.%4.%5.%6."/>
      <w:lvlJc w:val="left"/>
      <w:pPr>
        <w:tabs>
          <w:tab w:val="num" w:pos="0"/>
        </w:tabs>
        <w:ind w:left="4320" w:hanging="720"/>
      </w:pPr>
      <w:rPr>
        <w:rFonts w:cs="Times New Roman" w:hint="default"/>
      </w:rPr>
    </w:lvl>
    <w:lvl w:ilvl="6">
      <w:start w:val="1"/>
      <w:numFmt w:val="decimal"/>
      <w:pStyle w:val="Heading7"/>
      <w:lvlText w:val="%1.%2.%3.%4.%5.%6.%7."/>
      <w:lvlJc w:val="left"/>
      <w:pPr>
        <w:tabs>
          <w:tab w:val="num" w:pos="0"/>
        </w:tabs>
        <w:ind w:left="5040" w:hanging="720"/>
      </w:pPr>
      <w:rPr>
        <w:rFonts w:cs="Times New Roman" w:hint="default"/>
      </w:rPr>
    </w:lvl>
    <w:lvl w:ilvl="7">
      <w:start w:val="1"/>
      <w:numFmt w:val="decimal"/>
      <w:pStyle w:val="Heading8"/>
      <w:lvlText w:val="%1.%2.%3.%4.%5.%6.%7.%8."/>
      <w:lvlJc w:val="left"/>
      <w:pPr>
        <w:tabs>
          <w:tab w:val="num" w:pos="0"/>
        </w:tabs>
        <w:ind w:left="5760" w:hanging="720"/>
      </w:pPr>
      <w:rPr>
        <w:rFonts w:cs="Times New Roman" w:hint="default"/>
      </w:rPr>
    </w:lvl>
    <w:lvl w:ilvl="8">
      <w:start w:val="1"/>
      <w:numFmt w:val="decimal"/>
      <w:pStyle w:val="Heading9"/>
      <w:lvlText w:val="%1.%2.%3.%4.%5.%6.%7.%8.%9."/>
      <w:lvlJc w:val="left"/>
      <w:pPr>
        <w:tabs>
          <w:tab w:val="num" w:pos="0"/>
        </w:tabs>
        <w:ind w:left="6480" w:hanging="720"/>
      </w:pPr>
      <w:rPr>
        <w:rFonts w:cs="Times New Roman" w:hint="default"/>
      </w:rPr>
    </w:lvl>
  </w:abstractNum>
  <w:abstractNum w:abstractNumId="1" w15:restartNumberingAfterBreak="0">
    <w:nsid w:val="57D97165"/>
    <w:multiLevelType w:val="hybridMultilevel"/>
    <w:tmpl w:val="F0E2A6BE"/>
    <w:lvl w:ilvl="0" w:tplc="AE92AA8A">
      <w:numFmt w:val="bullet"/>
      <w:lvlText w:val="-"/>
      <w:lvlJc w:val="left"/>
      <w:pPr>
        <w:ind w:left="1352" w:hanging="360"/>
      </w:pPr>
      <w:rPr>
        <w:rFonts w:ascii="Times New Roman" w:eastAsia="Times New Roman" w:hAnsi="Times New Roman" w:hint="default"/>
      </w:rPr>
    </w:lvl>
    <w:lvl w:ilvl="1" w:tplc="04090003">
      <w:start w:val="1"/>
      <w:numFmt w:val="bullet"/>
      <w:lvlText w:val="o"/>
      <w:lvlJc w:val="left"/>
      <w:pPr>
        <w:ind w:left="2072" w:hanging="360"/>
      </w:pPr>
      <w:rPr>
        <w:rFonts w:ascii="Courier New" w:hAnsi="Courier New" w:hint="default"/>
      </w:rPr>
    </w:lvl>
    <w:lvl w:ilvl="2" w:tplc="04090005">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hint="default"/>
      </w:rPr>
    </w:lvl>
    <w:lvl w:ilvl="8" w:tplc="04090005" w:tentative="1">
      <w:start w:val="1"/>
      <w:numFmt w:val="bullet"/>
      <w:lvlText w:val=""/>
      <w:lvlJc w:val="left"/>
      <w:pPr>
        <w:ind w:left="7112"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updateFields w:val="tru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125"/>
    <w:rsid w:val="00D20125"/>
    <w:rsid w:val="00E12D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249BD"/>
  <w15:chartTrackingRefBased/>
  <w15:docId w15:val="{50177D29-3CEF-42B9-B3F2-0ED1AC58C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125"/>
    <w:pPr>
      <w:keepNext/>
      <w:pageBreakBefore/>
      <w:numPr>
        <w:numId w:val="1"/>
      </w:numPr>
      <w:spacing w:before="120" w:after="120" w:line="240" w:lineRule="auto"/>
      <w:jc w:val="lowKashida"/>
      <w:outlineLvl w:val="0"/>
    </w:pPr>
    <w:rPr>
      <w:rFonts w:ascii="Arial" w:eastAsia="Times New Roman" w:hAnsi="Arial" w:cs="Traditional Arabic"/>
      <w:spacing w:val="-10"/>
      <w:kern w:val="28"/>
      <w:sz w:val="32"/>
      <w:szCs w:val="38"/>
    </w:rPr>
  </w:style>
  <w:style w:type="paragraph" w:styleId="Heading2">
    <w:name w:val="heading 2"/>
    <w:aliases w:val="h2,2"/>
    <w:basedOn w:val="Heading1"/>
    <w:next w:val="NormalIndent"/>
    <w:link w:val="Heading2Char"/>
    <w:uiPriority w:val="9"/>
    <w:qFormat/>
    <w:rsid w:val="00D20125"/>
    <w:pPr>
      <w:pageBreakBefore w:val="0"/>
      <w:numPr>
        <w:ilvl w:val="1"/>
      </w:numPr>
      <w:tabs>
        <w:tab w:val="left" w:pos="992"/>
      </w:tabs>
      <w:ind w:left="993" w:hanging="993"/>
      <w:outlineLvl w:val="1"/>
    </w:pPr>
    <w:rPr>
      <w:sz w:val="28"/>
      <w:szCs w:val="33"/>
    </w:rPr>
  </w:style>
  <w:style w:type="paragraph" w:styleId="Heading3">
    <w:name w:val="heading 3"/>
    <w:basedOn w:val="Heading2"/>
    <w:next w:val="Normal"/>
    <w:link w:val="Heading3Char"/>
    <w:uiPriority w:val="9"/>
    <w:qFormat/>
    <w:rsid w:val="00D20125"/>
    <w:pPr>
      <w:numPr>
        <w:ilvl w:val="2"/>
      </w:numPr>
      <w:outlineLvl w:val="2"/>
    </w:pPr>
    <w:rPr>
      <w:sz w:val="26"/>
      <w:szCs w:val="31"/>
    </w:rPr>
  </w:style>
  <w:style w:type="paragraph" w:styleId="Heading4">
    <w:name w:val="heading 4"/>
    <w:basedOn w:val="Heading3"/>
    <w:next w:val="Normal"/>
    <w:link w:val="Heading4Char"/>
    <w:uiPriority w:val="9"/>
    <w:qFormat/>
    <w:rsid w:val="00D20125"/>
    <w:pPr>
      <w:numPr>
        <w:ilvl w:val="3"/>
      </w:numPr>
      <w:tabs>
        <w:tab w:val="clear" w:pos="994"/>
        <w:tab w:val="num" w:pos="993"/>
      </w:tabs>
      <w:outlineLvl w:val="3"/>
    </w:pPr>
    <w:rPr>
      <w:sz w:val="24"/>
      <w:szCs w:val="28"/>
    </w:rPr>
  </w:style>
  <w:style w:type="paragraph" w:styleId="Heading5">
    <w:name w:val="heading 5"/>
    <w:basedOn w:val="Normal"/>
    <w:next w:val="Normal"/>
    <w:link w:val="Heading5Char"/>
    <w:uiPriority w:val="9"/>
    <w:qFormat/>
    <w:rsid w:val="00D20125"/>
    <w:pPr>
      <w:keepNext/>
      <w:numPr>
        <w:ilvl w:val="4"/>
        <w:numId w:val="1"/>
      </w:numPr>
      <w:spacing w:before="120" w:after="120" w:line="240" w:lineRule="auto"/>
      <w:outlineLvl w:val="4"/>
    </w:pPr>
    <w:rPr>
      <w:rFonts w:ascii="Arial" w:eastAsia="Times New Roman" w:hAnsi="Arial" w:cs="Traditional Arabic"/>
      <w:spacing w:val="-20"/>
      <w:szCs w:val="26"/>
    </w:rPr>
  </w:style>
  <w:style w:type="paragraph" w:styleId="Heading6">
    <w:name w:val="heading 6"/>
    <w:basedOn w:val="Normal"/>
    <w:next w:val="Normal"/>
    <w:link w:val="Heading6Char"/>
    <w:uiPriority w:val="9"/>
    <w:qFormat/>
    <w:rsid w:val="00D20125"/>
    <w:pPr>
      <w:keepNext/>
      <w:numPr>
        <w:ilvl w:val="5"/>
        <w:numId w:val="1"/>
      </w:numPr>
      <w:spacing w:before="240" w:after="60" w:line="240" w:lineRule="auto"/>
      <w:jc w:val="lowKashida"/>
      <w:outlineLvl w:val="5"/>
    </w:pPr>
    <w:rPr>
      <w:rFonts w:ascii="Arial" w:eastAsia="Times New Roman" w:hAnsi="Arial" w:cs="Traditional Arabic"/>
      <w:i/>
      <w:iCs/>
      <w:szCs w:val="26"/>
    </w:rPr>
  </w:style>
  <w:style w:type="paragraph" w:styleId="Heading7">
    <w:name w:val="heading 7"/>
    <w:basedOn w:val="Normal"/>
    <w:next w:val="Normal"/>
    <w:link w:val="Heading7Char"/>
    <w:uiPriority w:val="9"/>
    <w:qFormat/>
    <w:rsid w:val="00D20125"/>
    <w:pPr>
      <w:keepNext/>
      <w:numPr>
        <w:ilvl w:val="6"/>
        <w:numId w:val="1"/>
      </w:numPr>
      <w:spacing w:before="240" w:after="60" w:line="240" w:lineRule="auto"/>
      <w:jc w:val="lowKashida"/>
      <w:outlineLvl w:val="6"/>
    </w:pPr>
    <w:rPr>
      <w:rFonts w:ascii="Arial" w:eastAsia="Times New Roman" w:hAnsi="Arial" w:cs="Traditional Arabic"/>
      <w:sz w:val="24"/>
      <w:szCs w:val="28"/>
    </w:rPr>
  </w:style>
  <w:style w:type="paragraph" w:styleId="Heading8">
    <w:name w:val="heading 8"/>
    <w:basedOn w:val="Normal"/>
    <w:next w:val="Normal"/>
    <w:link w:val="Heading8Char"/>
    <w:uiPriority w:val="9"/>
    <w:qFormat/>
    <w:rsid w:val="00D20125"/>
    <w:pPr>
      <w:keepNext/>
      <w:numPr>
        <w:ilvl w:val="7"/>
        <w:numId w:val="1"/>
      </w:numPr>
      <w:spacing w:before="240" w:after="60" w:line="240" w:lineRule="auto"/>
      <w:jc w:val="lowKashida"/>
      <w:outlineLvl w:val="7"/>
    </w:pPr>
    <w:rPr>
      <w:rFonts w:ascii="Arial" w:eastAsia="Times New Roman" w:hAnsi="Arial" w:cs="Traditional Arabic"/>
      <w:i/>
      <w:iCs/>
      <w:sz w:val="24"/>
      <w:szCs w:val="28"/>
    </w:rPr>
  </w:style>
  <w:style w:type="paragraph" w:styleId="Heading9">
    <w:name w:val="heading 9"/>
    <w:basedOn w:val="Normal"/>
    <w:next w:val="Normal"/>
    <w:link w:val="Heading9Char"/>
    <w:uiPriority w:val="9"/>
    <w:qFormat/>
    <w:rsid w:val="00D20125"/>
    <w:pPr>
      <w:keepNext/>
      <w:numPr>
        <w:ilvl w:val="8"/>
        <w:numId w:val="1"/>
      </w:numPr>
      <w:spacing w:before="240" w:after="60" w:line="240" w:lineRule="auto"/>
      <w:jc w:val="lowKashida"/>
      <w:outlineLvl w:val="8"/>
    </w:pPr>
    <w:rPr>
      <w:rFonts w:ascii="Arial" w:eastAsia="Times New Roman" w:hAnsi="Arial" w:cs="Traditional Arabic"/>
      <w:i/>
      <w:iCs/>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125"/>
    <w:rPr>
      <w:rFonts w:ascii="Arial" w:eastAsia="Times New Roman" w:hAnsi="Arial" w:cs="Traditional Arabic"/>
      <w:spacing w:val="-10"/>
      <w:kern w:val="28"/>
      <w:sz w:val="32"/>
      <w:szCs w:val="38"/>
    </w:rPr>
  </w:style>
  <w:style w:type="character" w:customStyle="1" w:styleId="Heading2Char">
    <w:name w:val="Heading 2 Char"/>
    <w:aliases w:val="h2 Char,2 Char"/>
    <w:basedOn w:val="DefaultParagraphFont"/>
    <w:link w:val="Heading2"/>
    <w:uiPriority w:val="9"/>
    <w:rsid w:val="00D20125"/>
    <w:rPr>
      <w:rFonts w:ascii="Arial" w:eastAsia="Times New Roman" w:hAnsi="Arial" w:cs="Traditional Arabic"/>
      <w:spacing w:val="-10"/>
      <w:kern w:val="28"/>
      <w:sz w:val="28"/>
      <w:szCs w:val="33"/>
    </w:rPr>
  </w:style>
  <w:style w:type="character" w:customStyle="1" w:styleId="Heading3Char">
    <w:name w:val="Heading 3 Char"/>
    <w:basedOn w:val="DefaultParagraphFont"/>
    <w:link w:val="Heading3"/>
    <w:uiPriority w:val="9"/>
    <w:rsid w:val="00D20125"/>
    <w:rPr>
      <w:rFonts w:ascii="Arial" w:eastAsia="Times New Roman" w:hAnsi="Arial" w:cs="Traditional Arabic"/>
      <w:spacing w:val="-10"/>
      <w:kern w:val="28"/>
      <w:sz w:val="26"/>
      <w:szCs w:val="31"/>
    </w:rPr>
  </w:style>
  <w:style w:type="character" w:customStyle="1" w:styleId="Heading4Char">
    <w:name w:val="Heading 4 Char"/>
    <w:basedOn w:val="DefaultParagraphFont"/>
    <w:link w:val="Heading4"/>
    <w:uiPriority w:val="9"/>
    <w:rsid w:val="00D20125"/>
    <w:rPr>
      <w:rFonts w:ascii="Arial" w:eastAsia="Times New Roman" w:hAnsi="Arial" w:cs="Traditional Arabic"/>
      <w:spacing w:val="-10"/>
      <w:kern w:val="28"/>
      <w:sz w:val="24"/>
      <w:szCs w:val="28"/>
    </w:rPr>
  </w:style>
  <w:style w:type="character" w:customStyle="1" w:styleId="Heading5Char">
    <w:name w:val="Heading 5 Char"/>
    <w:basedOn w:val="DefaultParagraphFont"/>
    <w:link w:val="Heading5"/>
    <w:uiPriority w:val="9"/>
    <w:rsid w:val="00D20125"/>
    <w:rPr>
      <w:rFonts w:ascii="Arial" w:eastAsia="Times New Roman" w:hAnsi="Arial" w:cs="Traditional Arabic"/>
      <w:spacing w:val="-20"/>
      <w:szCs w:val="26"/>
    </w:rPr>
  </w:style>
  <w:style w:type="character" w:customStyle="1" w:styleId="Heading6Char">
    <w:name w:val="Heading 6 Char"/>
    <w:basedOn w:val="DefaultParagraphFont"/>
    <w:link w:val="Heading6"/>
    <w:uiPriority w:val="9"/>
    <w:rsid w:val="00D20125"/>
    <w:rPr>
      <w:rFonts w:ascii="Arial" w:eastAsia="Times New Roman" w:hAnsi="Arial" w:cs="Traditional Arabic"/>
      <w:i/>
      <w:iCs/>
      <w:szCs w:val="26"/>
    </w:rPr>
  </w:style>
  <w:style w:type="character" w:customStyle="1" w:styleId="Heading7Char">
    <w:name w:val="Heading 7 Char"/>
    <w:basedOn w:val="DefaultParagraphFont"/>
    <w:link w:val="Heading7"/>
    <w:uiPriority w:val="9"/>
    <w:rsid w:val="00D20125"/>
    <w:rPr>
      <w:rFonts w:ascii="Arial" w:eastAsia="Times New Roman" w:hAnsi="Arial" w:cs="Traditional Arabic"/>
      <w:sz w:val="24"/>
      <w:szCs w:val="28"/>
    </w:rPr>
  </w:style>
  <w:style w:type="character" w:customStyle="1" w:styleId="Heading8Char">
    <w:name w:val="Heading 8 Char"/>
    <w:basedOn w:val="DefaultParagraphFont"/>
    <w:link w:val="Heading8"/>
    <w:uiPriority w:val="9"/>
    <w:rsid w:val="00D20125"/>
    <w:rPr>
      <w:rFonts w:ascii="Arial" w:eastAsia="Times New Roman" w:hAnsi="Arial" w:cs="Traditional Arabic"/>
      <w:i/>
      <w:iCs/>
      <w:sz w:val="24"/>
      <w:szCs w:val="28"/>
    </w:rPr>
  </w:style>
  <w:style w:type="character" w:customStyle="1" w:styleId="Heading9Char">
    <w:name w:val="Heading 9 Char"/>
    <w:basedOn w:val="DefaultParagraphFont"/>
    <w:link w:val="Heading9"/>
    <w:uiPriority w:val="9"/>
    <w:rsid w:val="00D20125"/>
    <w:rPr>
      <w:rFonts w:ascii="Arial" w:eastAsia="Times New Roman" w:hAnsi="Arial" w:cs="Traditional Arabic"/>
      <w:i/>
      <w:iCs/>
      <w:sz w:val="18"/>
      <w:szCs w:val="21"/>
    </w:rPr>
  </w:style>
  <w:style w:type="paragraph" w:styleId="NormalIndent">
    <w:name w:val="Normal Indent"/>
    <w:basedOn w:val="Normal"/>
    <w:uiPriority w:val="99"/>
    <w:semiHidden/>
    <w:rsid w:val="00D20125"/>
    <w:pPr>
      <w:keepNext/>
      <w:spacing w:before="120" w:after="120" w:line="240" w:lineRule="auto"/>
      <w:ind w:left="992"/>
      <w:jc w:val="lowKashida"/>
    </w:pPr>
    <w:rPr>
      <w:rFonts w:ascii="Times New Roman" w:eastAsia="Times New Roman" w:hAnsi="Times New Roman" w:cs="Traditional Arabic"/>
      <w:sz w:val="24"/>
      <w:szCs w:val="28"/>
    </w:rPr>
  </w:style>
  <w:style w:type="paragraph" w:styleId="Header">
    <w:name w:val="header"/>
    <w:basedOn w:val="Footer"/>
    <w:link w:val="HeaderChar"/>
    <w:uiPriority w:val="99"/>
    <w:semiHidden/>
    <w:rsid w:val="00D20125"/>
    <w:pPr>
      <w:pBdr>
        <w:top w:val="none" w:sz="0" w:space="0" w:color="auto"/>
        <w:bottom w:val="single" w:sz="12" w:space="3" w:color="auto"/>
      </w:pBdr>
      <w:tabs>
        <w:tab w:val="right" w:pos="4253"/>
      </w:tabs>
      <w:spacing w:before="0" w:after="120"/>
    </w:pPr>
  </w:style>
  <w:style w:type="character" w:customStyle="1" w:styleId="HeaderChar">
    <w:name w:val="Header Char"/>
    <w:basedOn w:val="DefaultParagraphFont"/>
    <w:link w:val="Header"/>
    <w:uiPriority w:val="99"/>
    <w:semiHidden/>
    <w:rsid w:val="00D20125"/>
    <w:rPr>
      <w:rFonts w:ascii="Arial" w:eastAsia="Times New Roman" w:hAnsi="Arial" w:cs="Traditional Arabic"/>
      <w:sz w:val="16"/>
      <w:szCs w:val="19"/>
    </w:rPr>
  </w:style>
  <w:style w:type="paragraph" w:styleId="Footer">
    <w:name w:val="footer"/>
    <w:basedOn w:val="Normal"/>
    <w:link w:val="FooterChar"/>
    <w:uiPriority w:val="99"/>
    <w:semiHidden/>
    <w:rsid w:val="00D20125"/>
    <w:pPr>
      <w:keepNext/>
      <w:pBdr>
        <w:top w:val="single" w:sz="12" w:space="2" w:color="auto"/>
      </w:pBdr>
      <w:tabs>
        <w:tab w:val="center" w:pos="4253"/>
        <w:tab w:val="right" w:pos="9781"/>
      </w:tabs>
      <w:spacing w:before="120" w:after="0" w:line="240" w:lineRule="auto"/>
    </w:pPr>
    <w:rPr>
      <w:rFonts w:ascii="Arial" w:eastAsia="Times New Roman" w:hAnsi="Arial" w:cs="Traditional Arabic"/>
      <w:sz w:val="16"/>
      <w:szCs w:val="19"/>
    </w:rPr>
  </w:style>
  <w:style w:type="character" w:customStyle="1" w:styleId="FooterChar">
    <w:name w:val="Footer Char"/>
    <w:basedOn w:val="DefaultParagraphFont"/>
    <w:link w:val="Footer"/>
    <w:uiPriority w:val="99"/>
    <w:semiHidden/>
    <w:rsid w:val="00D20125"/>
    <w:rPr>
      <w:rFonts w:ascii="Arial" w:eastAsia="Times New Roman" w:hAnsi="Arial" w:cs="Traditional Arabic"/>
      <w:sz w:val="16"/>
      <w:szCs w:val="19"/>
    </w:rPr>
  </w:style>
  <w:style w:type="character" w:styleId="PageNumber">
    <w:name w:val="page number"/>
    <w:basedOn w:val="DefaultParagraphFont"/>
    <w:uiPriority w:val="99"/>
    <w:semiHidden/>
    <w:rsid w:val="00D20125"/>
    <w:rPr>
      <w:sz w:val="20"/>
    </w:rPr>
  </w:style>
  <w:style w:type="paragraph" w:customStyle="1" w:styleId="Tableheading">
    <w:name w:val="Table heading"/>
    <w:basedOn w:val="Normal"/>
    <w:rsid w:val="00D20125"/>
    <w:pPr>
      <w:keepNext/>
      <w:spacing w:before="60" w:after="60" w:line="240" w:lineRule="auto"/>
    </w:pPr>
    <w:rPr>
      <w:rFonts w:ascii="Arial" w:eastAsia="Times New Roman" w:hAnsi="Arial" w:cs="Traditional Arabic"/>
      <w:b/>
      <w:bCs/>
      <w:sz w:val="16"/>
      <w:szCs w:val="19"/>
    </w:rPr>
  </w:style>
  <w:style w:type="paragraph" w:customStyle="1" w:styleId="Tabletext">
    <w:name w:val="Table text"/>
    <w:basedOn w:val="Tableheading"/>
    <w:rsid w:val="00D20125"/>
    <w:rPr>
      <w:b w:val="0"/>
      <w:bCs w:val="0"/>
    </w:rPr>
  </w:style>
  <w:style w:type="paragraph" w:styleId="Title">
    <w:name w:val="Title"/>
    <w:basedOn w:val="Normal"/>
    <w:link w:val="TitleChar"/>
    <w:uiPriority w:val="10"/>
    <w:qFormat/>
    <w:rsid w:val="00D20125"/>
    <w:pPr>
      <w:keepNext/>
      <w:spacing w:before="600" w:after="600" w:line="240" w:lineRule="auto"/>
      <w:jc w:val="center"/>
    </w:pPr>
    <w:rPr>
      <w:rFonts w:ascii="Arial" w:eastAsia="Times New Roman" w:hAnsi="Arial" w:cs="Traditional Arabic"/>
      <w:b/>
      <w:bCs/>
      <w:color w:val="0000FF"/>
      <w:kern w:val="28"/>
      <w:sz w:val="32"/>
      <w:szCs w:val="38"/>
      <w:lang w:val="en-GB"/>
    </w:rPr>
  </w:style>
  <w:style w:type="character" w:customStyle="1" w:styleId="TitleChar">
    <w:name w:val="Title Char"/>
    <w:basedOn w:val="DefaultParagraphFont"/>
    <w:link w:val="Title"/>
    <w:uiPriority w:val="10"/>
    <w:rsid w:val="00D20125"/>
    <w:rPr>
      <w:rFonts w:ascii="Arial" w:eastAsia="Times New Roman" w:hAnsi="Arial" w:cs="Traditional Arabic"/>
      <w:b/>
      <w:bCs/>
      <w:color w:val="0000FF"/>
      <w:kern w:val="28"/>
      <w:sz w:val="32"/>
      <w:szCs w:val="38"/>
      <w:lang w:val="en-GB"/>
    </w:rPr>
  </w:style>
  <w:style w:type="paragraph" w:styleId="TOCHeading">
    <w:name w:val="TOC Heading"/>
    <w:basedOn w:val="Title"/>
    <w:uiPriority w:val="39"/>
    <w:qFormat/>
    <w:rsid w:val="00D20125"/>
    <w:pPr>
      <w:pageBreakBefore/>
      <w:spacing w:before="120"/>
      <w:ind w:left="994"/>
    </w:pPr>
  </w:style>
  <w:style w:type="character" w:customStyle="1" w:styleId="MainStyle">
    <w:name w:val="Main Style"/>
    <w:rsid w:val="00D20125"/>
    <w:rPr>
      <w:color w:val="000080"/>
    </w:rPr>
  </w:style>
  <w:style w:type="character" w:customStyle="1" w:styleId="SubTittle">
    <w:name w:val="Sub Tittle"/>
    <w:rsid w:val="00D20125"/>
    <w:rPr>
      <w:color w:val="000080"/>
    </w:rPr>
  </w:style>
  <w:style w:type="paragraph" w:styleId="ListParagraph">
    <w:name w:val="List Paragraph"/>
    <w:aliases w:val="YC Bulet,lp1,List Paragraph1,Use Case List Paragraph,numbered,FooterText,Paragraphe de liste1,Bulletr List Paragraph,列出段落,列出段落1,List Paragraph2,List Paragraph21,Párrafo de lista1,Parágrafo da Lista1,リスト段落1,Listeafsnit1,lp11,Heading2"/>
    <w:basedOn w:val="Normal"/>
    <w:link w:val="ListParagraphChar"/>
    <w:uiPriority w:val="34"/>
    <w:qFormat/>
    <w:rsid w:val="00D20125"/>
    <w:pPr>
      <w:keepNext/>
      <w:spacing w:before="60" w:after="120" w:line="240" w:lineRule="auto"/>
      <w:ind w:left="720"/>
      <w:contextualSpacing/>
      <w:jc w:val="lowKashida"/>
    </w:pPr>
    <w:rPr>
      <w:rFonts w:ascii="Times New Roman" w:eastAsia="Times New Roman" w:hAnsi="Times New Roman" w:cs="Traditional Arabic"/>
      <w:sz w:val="24"/>
      <w:szCs w:val="28"/>
    </w:rPr>
  </w:style>
  <w:style w:type="character" w:customStyle="1" w:styleId="ListParagraphChar">
    <w:name w:val="List Paragraph Char"/>
    <w:aliases w:val="YC Bulet Char,lp1 Char,List Paragraph1 Char,Use Case List Paragraph Char,numbered Char,FooterText Char,Paragraphe de liste1 Char,Bulletr List Paragraph Char,列出段落 Char,列出段落1 Char,List Paragraph2 Char,List Paragraph21 Char,リスト段落1 Char"/>
    <w:basedOn w:val="DefaultParagraphFont"/>
    <w:link w:val="ListParagraph"/>
    <w:uiPriority w:val="34"/>
    <w:qFormat/>
    <w:locked/>
    <w:rsid w:val="00D20125"/>
    <w:rPr>
      <w:rFonts w:ascii="Times New Roman" w:eastAsia="Times New Roman" w:hAnsi="Times New Roman" w:cs="Traditional Arabic"/>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307</Words>
  <Characters>1756</Characters>
  <Application>Microsoft Office Word</Application>
  <DocSecurity>0</DocSecurity>
  <Lines>14</Lines>
  <Paragraphs>4</Paragraphs>
  <ScaleCrop>false</ScaleCrop>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Specification - Bankmaster Archival - CSD Enquiry Application</dc:title>
  <dc:subject>Bankmaster Archival</dc:subject>
  <dc:creator>Manish K. Kumar</dc:creator>
  <cp:keywords/>
  <dc:description/>
  <cp:lastModifiedBy>Manish K. Kumar</cp:lastModifiedBy>
  <cp:revision>1</cp:revision>
  <dcterms:created xsi:type="dcterms:W3CDTF">2026-09-10T13:58:00Z</dcterms:created>
  <dcterms:modified xsi:type="dcterms:W3CDTF">2026-09-10T13:59:00Z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{96D6C38A-0938-48A7-B7BE-D411855B96C9}</vt:lpwstr>
  </property>
  <property fmtid="{D5CDD505-2E9C-101B-9397-08002B2CF9AE}" pid="3" name="DLPManualFileClassificationLastModifiedBy">
    <vt:lpwstr>ANB-PDC-CENTRAL\881149</vt:lpwstr>
  </property>
  <property fmtid="{D5CDD505-2E9C-101B-9397-08002B2CF9AE}" pid="4" name="DLPManualFileClassificationLastModificationDate">
    <vt:lpwstr>1789048791</vt:lpwstr>
  </property>
  <property fmtid="{D5CDD505-2E9C-101B-9397-08002B2CF9AE}" pid="5" name="DLPManualFileClassificationVersion">
    <vt:lpwstr>11.12.1.21</vt:lpwstr>
  </property>
  <property fmtid="{D5CDD505-2E9C-101B-9397-08002B2CF9AE}" pid="6" name="DLPVisualLabelFileClassification">
    <vt:lpwstr>{96D6C38A-0938-48A7-B7BE-D411855B96C9}</vt:lpwstr>
  </property>
  <property fmtid="{D5CDD505-2E9C-101B-9397-08002B2CF9AE}" pid="7" name="DLPVisualLabelFileClassificationModifiedBy">
    <vt:lpwstr>ANB-PDC-CENTRAL\881149</vt:lpwstr>
  </property>
  <property fmtid="{D5CDD505-2E9C-101B-9397-08002B2CF9AE}" pid="8" name="DLPVisualLabelFileClassificationModifiedDate">
    <vt:lpwstr>1789048791</vt:lpwstr>
  </property>
  <property fmtid="{D5CDD505-2E9C-101B-9397-08002B2CF9AE}" pid="9" name="DLPVisualLabelFileClassificationAlignment">
    <vt:lpwstr>2</vt:lpwstr>
  </property>
  <property fmtid="{D5CDD505-2E9C-101B-9397-08002B2CF9AE}" pid="10" name="DLPVisualLabelFileClassificationPosition">
    <vt:lpwstr>TrellixVisuallabelHeader;TrellixVisuallabelWatermark;TrellixVisuallabelFooter</vt:lpwstr>
  </property>
</Properties>
</file>